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rFonts w:hint="eastAsia" w:ascii="仿宋_GB2312" w:hAnsi="仿宋_GB2312" w:eastAsia="仿宋_GB2312" w:cs="仿宋_GB2312"/>
          <w:sz w:val="32"/>
        </w:rPr>
      </w:pPr>
    </w:p>
    <w:p>
      <w:pPr>
        <w:pStyle w:val="2"/>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4</w:t>
      </w:r>
      <w:r>
        <w:rPr>
          <w:rFonts w:hint="eastAsia" w:ascii="宋体" w:hAnsi="宋体" w:cs="宋体"/>
          <w:sz w:val="32"/>
        </w:rPr>
        <w:t>﹞</w:t>
      </w:r>
      <w:r>
        <w:rPr>
          <w:rFonts w:hint="eastAsia" w:ascii="宋体" w:hAnsi="宋体" w:cs="宋体"/>
          <w:sz w:val="32"/>
          <w:lang w:val="en-US" w:eastAsia="zh-CN"/>
        </w:rPr>
        <w:t>031</w:t>
      </w:r>
      <w:r>
        <w:rPr>
          <w:rFonts w:hint="eastAsia" w:ascii="宋体" w:hAnsi="宋体" w:cs="宋体"/>
          <w:sz w:val="32"/>
        </w:rPr>
        <w:t>号</w:t>
      </w:r>
    </w:p>
    <w:p>
      <w:pPr>
        <w:pStyle w:val="5"/>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关于三鸣阀门有限公司年产阀门</w:t>
      </w:r>
      <w:r>
        <w:rPr>
          <w:rFonts w:hint="eastAsia" w:ascii="方正小标宋简体" w:eastAsia="方正小标宋简体"/>
          <w:sz w:val="44"/>
          <w:szCs w:val="44"/>
          <w:lang w:val="en-US" w:eastAsia="zh-CN"/>
        </w:rPr>
        <w:t>1000吨建设项目</w:t>
      </w:r>
      <w:r>
        <w:rPr>
          <w:rFonts w:hint="eastAsia" w:ascii="方正小标宋简体" w:eastAsia="方正小标宋简体"/>
          <w:sz w:val="44"/>
          <w:szCs w:val="44"/>
          <w:lang w:eastAsia="zh-CN"/>
        </w:rPr>
        <w:t>环境影响报告表审批意见的函</w:t>
      </w:r>
    </w:p>
    <w:p>
      <w:pPr>
        <w:pStyle w:val="3"/>
        <w:spacing w:line="240" w:lineRule="auto"/>
        <w:jc w:val="both"/>
        <w:rPr>
          <w:rFonts w:hint="eastAsia" w:ascii="宋体" w:eastAsia="宋体"/>
          <w:sz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三鸣阀门有限公司：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浙江博越环境科技有限公司编制</w:t>
      </w:r>
      <w:r>
        <w:rPr>
          <w:rFonts w:hint="eastAsia" w:ascii="仿宋_GB2312" w:hAnsi="仿宋_GB2312" w:eastAsia="仿宋_GB2312" w:cs="仿宋_GB2312"/>
          <w:sz w:val="32"/>
          <w:szCs w:val="32"/>
        </w:rPr>
        <w:t>的《</w:t>
      </w:r>
      <w:bookmarkStart w:id="0" w:name="_GoBack"/>
      <w:r>
        <w:rPr>
          <w:rFonts w:hint="eastAsia" w:ascii="仿宋_GB2312" w:hAnsi="仿宋_GB2312" w:eastAsia="仿宋_GB2312" w:cs="仿宋_GB2312"/>
          <w:sz w:val="32"/>
          <w:szCs w:val="32"/>
          <w:lang w:eastAsia="zh-CN"/>
        </w:rPr>
        <w:t>三鸣阀门有限公司年产阀门</w:t>
      </w:r>
      <w:r>
        <w:rPr>
          <w:rFonts w:hint="eastAsia" w:ascii="仿宋_GB2312" w:hAnsi="仿宋_GB2312" w:eastAsia="仿宋_GB2312" w:cs="仿宋_GB2312"/>
          <w:sz w:val="32"/>
          <w:szCs w:val="32"/>
          <w:lang w:val="en-US" w:eastAsia="zh-CN"/>
        </w:rPr>
        <w:t>1000吨建设项目</w:t>
      </w:r>
      <w:bookmarkEnd w:id="0"/>
      <w:r>
        <w:rPr>
          <w:rFonts w:hint="eastAsia" w:ascii="仿宋_GB2312" w:hAnsi="仿宋_GB2312" w:eastAsia="仿宋_GB2312" w:cs="仿宋_GB2312"/>
          <w:sz w:val="32"/>
          <w:szCs w:val="32"/>
        </w:rPr>
        <w:t>环境影响报告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报批稿</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收悉。我局按照建设项目环境管理有关规定对该项目环评文件进行审查并公示，现将审批意见函告如下：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温州海经区昆鹏街道</w:t>
      </w:r>
      <w:r>
        <w:rPr>
          <w:rFonts w:hint="eastAsia" w:ascii="仿宋_GB2312" w:hAnsi="仿宋_GB2312" w:eastAsia="仿宋_GB2312" w:cs="仿宋_GB2312"/>
          <w:sz w:val="32"/>
          <w:szCs w:val="32"/>
          <w:lang w:val="en" w:eastAsia="zh-CN"/>
        </w:rPr>
        <w:t>灵德路</w:t>
      </w:r>
      <w:r>
        <w:rPr>
          <w:rFonts w:hint="eastAsia" w:ascii="仿宋_GB2312" w:hAnsi="仿宋_GB2312" w:eastAsia="仿宋_GB2312" w:cs="仿宋_GB2312"/>
          <w:sz w:val="32"/>
          <w:szCs w:val="32"/>
          <w:lang w:val="en-US" w:eastAsia="zh-CN"/>
        </w:rPr>
        <w:t>988号5号车间，项目</w:t>
      </w:r>
      <w:r>
        <w:rPr>
          <w:rFonts w:hint="eastAsia" w:ascii="仿宋_GB2312" w:hAnsi="仿宋_GB2312" w:eastAsia="仿宋_GB2312" w:cs="仿宋_GB2312"/>
          <w:sz w:val="32"/>
          <w:szCs w:val="32"/>
          <w:lang w:val="en" w:eastAsia="zh-CN"/>
        </w:rPr>
        <w:t>建筑</w:t>
      </w:r>
      <w:r>
        <w:rPr>
          <w:rFonts w:hint="eastAsia" w:ascii="仿宋_GB2312" w:hAnsi="仿宋_GB2312" w:eastAsia="仿宋_GB2312" w:cs="仿宋_GB2312"/>
          <w:sz w:val="32"/>
          <w:szCs w:val="32"/>
          <w:lang w:val="en-US" w:eastAsia="zh-CN"/>
        </w:rPr>
        <w:t>面积5250m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vertAlign w:val="baseline"/>
          <w:lang w:eastAsia="zh-CN"/>
        </w:rPr>
        <w:t>。项目总</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建成后</w:t>
      </w:r>
      <w:r>
        <w:rPr>
          <w:rFonts w:hint="eastAsia" w:ascii="仿宋_GB2312" w:hAnsi="仿宋_GB2312" w:eastAsia="仿宋_GB2312" w:cs="仿宋_GB2312"/>
          <w:sz w:val="32"/>
          <w:szCs w:val="32"/>
          <w:lang w:val="en" w:eastAsia="zh-CN"/>
        </w:rPr>
        <w:t>形成年产阀门</w:t>
      </w:r>
      <w:r>
        <w:rPr>
          <w:rFonts w:hint="eastAsia" w:ascii="仿宋_GB2312" w:hAnsi="仿宋_GB2312" w:eastAsia="仿宋_GB2312" w:cs="仿宋_GB2312"/>
          <w:sz w:val="32"/>
          <w:szCs w:val="32"/>
          <w:lang w:val="en-US" w:eastAsia="zh-CN"/>
        </w:rPr>
        <w:t>1000吨的生产规模</w:t>
      </w:r>
      <w:r>
        <w:rPr>
          <w:rFonts w:hint="eastAsia" w:ascii="仿宋_GB2312" w:hAnsi="仿宋_GB2312" w:eastAsia="仿宋_GB2312" w:cs="仿宋_GB2312"/>
          <w:sz w:val="32"/>
          <w:szCs w:val="32"/>
        </w:rPr>
        <w:t>。具体建设内容见项目环评报告。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三、环境质量标准：</w:t>
      </w:r>
      <w:r>
        <w:rPr>
          <w:rFonts w:hint="eastAsia" w:ascii="仿宋_GB2312" w:hAnsi="仿宋_GB2312" w:eastAsia="仿宋_GB2312" w:cs="仿宋_GB2312"/>
          <w:sz w:val="32"/>
          <w:szCs w:val="32"/>
          <w:lang w:eastAsia="zh-CN"/>
        </w:rPr>
        <w:t>地表水执行《地表水环境质量标准》（</w:t>
      </w:r>
      <w:r>
        <w:rPr>
          <w:rFonts w:hint="eastAsia" w:ascii="仿宋_GB2312" w:hAnsi="仿宋_GB2312" w:eastAsia="仿宋_GB2312" w:cs="仿宋_GB2312"/>
          <w:sz w:val="32"/>
          <w:szCs w:val="32"/>
          <w:lang w:val="en-US" w:eastAsia="zh-CN"/>
        </w:rPr>
        <w:t>GB3838-2002</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IV类标准。涉及海域分别执行《海水水质标准》（GB3097-1997）第一类标准，第四类标准。地下水参照执行《地下水环境质量标准》(GB/T14848-2017)IV类标准。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项目周边环境空气执行《环境空气质量标准》（GB3095-2012）中的二级标准，特征污染物参照执行《环境影响评价技术导则 大气环境》（HJ2.2-2008）中附录D相关标准</w:t>
      </w:r>
      <w:r>
        <w:rPr>
          <w:rFonts w:hint="eastAsia" w:ascii="仿宋_GB2312" w:hAnsi="仿宋_GB2312" w:eastAsia="仿宋_GB2312" w:cs="仿宋_GB2312"/>
          <w:sz w:val="32"/>
          <w:szCs w:val="32"/>
          <w:lang w:eastAsia="zh-CN"/>
        </w:rPr>
        <w:t>。非甲烷总烃参照执行</w:t>
      </w:r>
      <w:r>
        <w:rPr>
          <w:rFonts w:hint="eastAsia" w:ascii="仿宋_GB2312" w:hAnsi="仿宋_GB2312" w:eastAsia="仿宋_GB2312" w:cs="仿宋_GB2312"/>
          <w:sz w:val="32"/>
          <w:szCs w:val="32"/>
          <w:lang w:val="en-US" w:eastAsia="zh-CN"/>
        </w:rPr>
        <w:t>2.0mg/m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FF0000"/>
          <w:sz w:val="32"/>
          <w:szCs w:val="32"/>
          <w:lang w:val="en-US"/>
        </w:rPr>
      </w:pPr>
      <w:r>
        <w:rPr>
          <w:rFonts w:hint="eastAsia" w:ascii="仿宋_GB2312" w:hAnsi="仿宋_GB2312" w:eastAsia="仿宋_GB2312" w:cs="仿宋_GB2312"/>
          <w:color w:val="auto"/>
          <w:sz w:val="32"/>
          <w:szCs w:val="32"/>
        </w:rPr>
        <w:t>区域声环境质量执行《声环境质量标准》（GB3096-2008）的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类标准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FF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土壤环境质量执行《土壤环境质量标准 建设用地土壤污染风险管控标准（试行）》（GB36600-2018）</w:t>
      </w:r>
      <w:r>
        <w:rPr>
          <w:rFonts w:hint="eastAsia" w:ascii="仿宋_GB2312" w:hAnsi="仿宋_GB2312" w:eastAsia="仿宋_GB2312" w:cs="仿宋_GB2312"/>
          <w:sz w:val="32"/>
          <w:szCs w:val="32"/>
          <w:lang w:eastAsia="zh-CN"/>
        </w:rPr>
        <w:t>相关筛选值。</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项目污染物排放标准：</w:t>
      </w:r>
      <w:r>
        <w:rPr>
          <w:rFonts w:hint="eastAsia" w:ascii="仿宋_GB2312" w:hAnsi="仿宋_GB2312" w:eastAsia="仿宋_GB2312" w:cs="仿宋_GB2312"/>
          <w:sz w:val="32"/>
          <w:szCs w:val="32"/>
          <w:lang w:eastAsia="zh-CN"/>
        </w:rPr>
        <w:t>项目主要废水为</w:t>
      </w:r>
      <w:r>
        <w:rPr>
          <w:rFonts w:hint="eastAsia" w:ascii="仿宋_GB2312" w:hAnsi="仿宋_GB2312" w:eastAsia="仿宋_GB2312" w:cs="仿宋_GB2312"/>
          <w:sz w:val="32"/>
          <w:szCs w:val="32"/>
          <w:lang w:val="en" w:eastAsia="zh-CN"/>
        </w:rPr>
        <w:t>清洗废水、喷漆废水、喷淋废水、试压水和</w:t>
      </w:r>
      <w:r>
        <w:rPr>
          <w:rFonts w:hint="eastAsia" w:ascii="仿宋_GB2312" w:hAnsi="仿宋_GB2312" w:eastAsia="仿宋_GB2312" w:cs="仿宋_GB2312"/>
          <w:sz w:val="32"/>
          <w:szCs w:val="32"/>
          <w:lang w:eastAsia="zh-CN"/>
        </w:rPr>
        <w:t>生活污水。</w:t>
      </w:r>
      <w:r>
        <w:rPr>
          <w:rFonts w:hint="eastAsia" w:ascii="仿宋_GB2312" w:hAnsi="仿宋_GB2312" w:eastAsia="仿宋_GB2312" w:cs="仿宋_GB2312"/>
          <w:sz w:val="32"/>
          <w:szCs w:val="32"/>
          <w:lang w:val="en" w:eastAsia="zh-CN"/>
        </w:rPr>
        <w:t>清洗废水、喷漆废水和喷淋废水收集经自建污水处理设施处理达</w:t>
      </w:r>
      <w:r>
        <w:rPr>
          <w:rFonts w:hint="eastAsia" w:ascii="仿宋_GB2312" w:hAnsi="仿宋_GB2312" w:eastAsia="仿宋_GB2312" w:cs="仿宋_GB2312"/>
          <w:sz w:val="32"/>
          <w:szCs w:val="32"/>
          <w:lang w:val="en-US" w:eastAsia="zh-CN"/>
        </w:rPr>
        <w:t>《污水综合排放标准》（GB8978-1996）三级标准及其相关标准后</w:t>
      </w:r>
      <w:r>
        <w:rPr>
          <w:rFonts w:hint="eastAsia" w:ascii="仿宋_GB2312" w:hAnsi="仿宋_GB2312" w:eastAsia="仿宋_GB2312" w:cs="仿宋_GB2312"/>
          <w:sz w:val="32"/>
          <w:szCs w:val="32"/>
          <w:lang w:val="en" w:eastAsia="zh-CN"/>
        </w:rPr>
        <w:t>纳管排放；试压水循环使用，不得外排；生活污水</w:t>
      </w:r>
      <w:r>
        <w:rPr>
          <w:rFonts w:hint="eastAsia" w:ascii="仿宋_GB2312" w:hAnsi="仿宋_GB2312" w:eastAsia="仿宋_GB2312" w:cs="仿宋_GB2312"/>
          <w:sz w:val="32"/>
          <w:szCs w:val="32"/>
          <w:lang w:val="en-US" w:eastAsia="zh-CN"/>
        </w:rPr>
        <w:t>经预处理达《污水综合排放标准》（GB8978-1996）三级标准及其相关标准后纳入瓯江口西片污水处理厂处理达标后排放。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项目主要废气为</w:t>
      </w:r>
      <w:r>
        <w:rPr>
          <w:rFonts w:hint="eastAsia" w:ascii="仿宋_GB2312" w:hAnsi="仿宋_GB2312" w:eastAsia="仿宋_GB2312" w:cs="仿宋_GB2312"/>
          <w:sz w:val="32"/>
          <w:szCs w:val="32"/>
          <w:lang w:val="en" w:eastAsia="zh-CN"/>
        </w:rPr>
        <w:t>焊接烟尘、打磨粉尘、抛丸粉尘和喷漆废气</w:t>
      </w:r>
      <w:r>
        <w:rPr>
          <w:rFonts w:hint="eastAsia" w:ascii="仿宋_GB2312" w:hAnsi="仿宋_GB2312" w:eastAsia="仿宋_GB2312" w:cs="仿宋_GB2312"/>
          <w:sz w:val="32"/>
          <w:szCs w:val="32"/>
          <w:lang w:eastAsia="zh-CN"/>
        </w:rPr>
        <w:t>。项目打磨粉尘、抛丸粉尘、喷漆废气排放执行《工业涂装工序大气污染物排放标准》（</w:t>
      </w:r>
      <w:r>
        <w:rPr>
          <w:rFonts w:hint="eastAsia" w:ascii="仿宋_GB2312" w:hAnsi="仿宋_GB2312" w:eastAsia="仿宋_GB2312" w:cs="仿宋_GB2312"/>
          <w:sz w:val="32"/>
          <w:szCs w:val="32"/>
          <w:lang w:val="en-US" w:eastAsia="zh-CN"/>
        </w:rPr>
        <w:t>DB33/2146-2018</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的大气污染物排放限值和表6企业边界大气污染物浓度限值；焊接烟尘工序产生的颗粒物无组织排放浓度限值执行《大气污染物综合排放标准》(GB16297-1996）表2二级标准；厂区内VOCs无组织排放执行《工业涂装工序大气污染物排放标准》（DB33/2146-2018）表5的排放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噪声</w:t>
      </w:r>
      <w:r>
        <w:rPr>
          <w:rFonts w:hint="eastAsia" w:ascii="仿宋_GB2312" w:hAnsi="仿宋_GB2312" w:eastAsia="仿宋_GB2312" w:cs="仿宋_GB2312"/>
          <w:sz w:val="32"/>
          <w:szCs w:val="32"/>
          <w:lang w:val="en"/>
        </w:rPr>
        <w:t>营运期</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危险废物执行《危险废物贮存污染控制标准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（GB18597-20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相关标准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一般工业固废</w:t>
      </w:r>
      <w:r>
        <w:rPr>
          <w:rFonts w:hint="eastAsia" w:ascii="仿宋_GB2312" w:hAnsi="仿宋_GB2312" w:eastAsia="仿宋_GB2312" w:cs="仿宋_GB2312"/>
          <w:sz w:val="32"/>
          <w:szCs w:val="32"/>
          <w:lang w:eastAsia="zh-CN"/>
        </w:rPr>
        <w:t>贮存过程满足相应防渗漏、防雨淋、防扬尘等环境保护要求</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五、</w:t>
      </w:r>
      <w:r>
        <w:rPr>
          <w:rFonts w:hint="eastAsia" w:ascii="仿宋_GB2312" w:hAnsi="仿宋_GB2312" w:eastAsia="仿宋_GB2312" w:cs="仿宋_GB2312"/>
          <w:color w:val="auto"/>
          <w:sz w:val="32"/>
          <w:szCs w:val="32"/>
        </w:rPr>
        <w:t>落实废气处理设施</w:t>
      </w:r>
      <w:r>
        <w:rPr>
          <w:rFonts w:hint="eastAsia" w:ascii="仿宋_GB2312" w:hAnsi="仿宋_GB2312" w:eastAsia="仿宋_GB2312" w:cs="仿宋_GB2312"/>
          <w:color w:val="auto"/>
          <w:sz w:val="32"/>
          <w:szCs w:val="32"/>
          <w:lang w:eastAsia="zh-CN"/>
        </w:rPr>
        <w:t>。焊接烟尘收集经移动式烟尘净化器处理后排放；打磨粉尘和抛丸粉尘收集经布袋除尘器处理后引高排放；喷漆废气收集经“水喷淋</w:t>
      </w:r>
      <w:r>
        <w:rPr>
          <w:rFonts w:hint="eastAsia" w:ascii="仿宋_GB2312" w:hAnsi="仿宋_GB2312" w:eastAsia="仿宋_GB2312" w:cs="仿宋_GB2312"/>
          <w:color w:val="auto"/>
          <w:sz w:val="32"/>
          <w:szCs w:val="32"/>
          <w:lang w:val="en-US" w:eastAsia="zh-CN"/>
        </w:rPr>
        <w:t>+活性炭吸附</w:t>
      </w:r>
      <w:r>
        <w:rPr>
          <w:rFonts w:hint="eastAsia" w:ascii="仿宋_GB2312" w:hAnsi="仿宋_GB2312" w:eastAsia="仿宋_GB2312" w:cs="仿宋_GB2312"/>
          <w:color w:val="auto"/>
          <w:sz w:val="32"/>
          <w:szCs w:val="32"/>
          <w:lang w:eastAsia="zh-CN"/>
        </w:rPr>
        <w:t>”处理后引高排放；同时加强车间管理；排气筒高度应符合环评要求，且不低于15米，应高出周围200m半径范围的建筑5m以上。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、落实环评中相应降噪、隔声、消声措施，使厂界噪声达标排放。危险废物须按环评要求分类收集，妥善贮存、处置，一般固废、生活垃圾及时收集清运。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项目污染物排放总量：</w:t>
      </w:r>
      <w:r>
        <w:rPr>
          <w:rFonts w:hint="eastAsia" w:ascii="仿宋_GB2312" w:hAnsi="仿宋_GB2312" w:eastAsia="仿宋_GB2312" w:cs="仿宋_GB2312"/>
          <w:sz w:val="32"/>
          <w:szCs w:val="32"/>
          <w:highlight w:val="none"/>
          <w:lang w:eastAsia="zh-CN"/>
        </w:rPr>
        <w:t>化学需氧量</w:t>
      </w:r>
      <w:r>
        <w:rPr>
          <w:rFonts w:hint="eastAsia" w:ascii="仿宋_GB2312" w:hAnsi="仿宋_GB2312" w:eastAsia="仿宋_GB2312" w:cs="仿宋_GB2312"/>
          <w:sz w:val="32"/>
          <w:szCs w:val="32"/>
          <w:highlight w:val="none"/>
          <w:lang w:val="en-US" w:eastAsia="zh-CN"/>
        </w:rPr>
        <w:t>0.017吨/年、氨氮0.001吨/年。经环评测算，厂区温室气体排放总量为78.7tCO</w:t>
      </w:r>
      <w:r>
        <w:rPr>
          <w:rFonts w:hint="eastAsia" w:ascii="仿宋_GB2312" w:hAnsi="仿宋_GB2312" w:eastAsia="仿宋_GB2312" w:cs="仿宋_GB2312"/>
          <w:sz w:val="32"/>
          <w:szCs w:val="32"/>
          <w:highlight w:val="none"/>
          <w:vertAlign w:val="subscript"/>
          <w:lang w:val="en-US" w:eastAsia="zh-CN"/>
        </w:rPr>
        <w:t>2</w:t>
      </w:r>
      <w:r>
        <w:rPr>
          <w:rFonts w:hint="eastAsia" w:ascii="仿宋_GB2312" w:hAnsi="仿宋_GB2312" w:eastAsia="仿宋_GB2312" w:cs="仿宋_GB2312"/>
          <w:sz w:val="32"/>
          <w:szCs w:val="32"/>
          <w:highlight w:val="none"/>
          <w:vertAlign w:val="baseline"/>
          <w:lang w:val="en-US" w:eastAsia="zh-CN"/>
        </w:rPr>
        <w:t>。</w:t>
      </w:r>
      <w:r>
        <w:rPr>
          <w:rFonts w:hint="eastAsia" w:ascii="仿宋_GB2312" w:hAnsi="仿宋_GB2312" w:eastAsia="仿宋_GB2312" w:cs="仿宋_GB2312"/>
          <w:sz w:val="32"/>
          <w:szCs w:val="32"/>
          <w:highlight w:val="none"/>
        </w:rPr>
        <w:t>其他污染物排放量不得超过环评提出的总量指标，新增总量指标须通过排污权交易取得</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、完善环境风险事故应急预案，落实环境风险防范及应急措施。加强管理，防止环境污染事故发生。</w:t>
      </w:r>
      <w:r>
        <w:rPr>
          <w:rFonts w:hint="eastAsia" w:ascii="仿宋_GB2312" w:hAnsi="仿宋_GB2312" w:eastAsia="仿宋_GB2312" w:cs="仿宋_GB2312"/>
          <w:sz w:val="32"/>
          <w:szCs w:val="32"/>
          <w:lang w:eastAsia="zh-CN"/>
        </w:rPr>
        <w:t>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 xml:space="preserve">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   </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、项目须严格执行环保“三同时”制度，</w:t>
      </w:r>
      <w:r>
        <w:rPr>
          <w:rFonts w:hint="eastAsia" w:ascii="仿宋_GB2312" w:hAnsi="仿宋_GB2312" w:eastAsia="仿宋_GB2312" w:cs="仿宋_GB2312"/>
          <w:sz w:val="32"/>
          <w:szCs w:val="32"/>
          <w:highlight w:val="none"/>
        </w:rPr>
        <w:t>项目的日常环境监督管理工作请</w:t>
      </w:r>
      <w:r>
        <w:rPr>
          <w:rFonts w:hint="eastAsia" w:ascii="仿宋_GB2312" w:hAnsi="仿宋_GB2312" w:eastAsia="仿宋_GB2312" w:cs="仿宋_GB2312"/>
          <w:sz w:val="32"/>
          <w:szCs w:val="32"/>
          <w:highlight w:val="none"/>
          <w:lang w:eastAsia="zh-CN"/>
        </w:rPr>
        <w:t>温州海洋经济发展示范区经信生态局</w:t>
      </w:r>
      <w:r>
        <w:rPr>
          <w:rFonts w:hint="eastAsia" w:ascii="仿宋_GB2312" w:hAnsi="仿宋_GB2312" w:eastAsia="仿宋_GB2312" w:cs="仿宋_GB2312"/>
          <w:sz w:val="32"/>
          <w:szCs w:val="32"/>
          <w:highlight w:val="none"/>
        </w:rPr>
        <w:t>负责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项目建成后应在产生实际排污行为前申领排污许可证，并依法依规做好“三同时”环保竣工验收工作。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、若你单位及项目利害关系人对本审批意见内容不服的，可以在六十日内向温州市人民政府提起行政复议,或者在六个月内向鹿城区人民法院提起行政诉讼。</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sz w:val="32"/>
          <w:szCs w:val="32"/>
        </w:rPr>
        <w:t>日</w:t>
      </w:r>
    </w:p>
    <w:p>
      <w:pPr>
        <w:pStyle w:val="2"/>
        <w:rPr>
          <w:rFonts w:hint="eastAsia"/>
        </w:rPr>
      </w:pPr>
    </w:p>
    <w:tbl>
      <w:tblPr>
        <w:tblStyle w:val="9"/>
        <w:tblpPr w:leftFromText="180" w:rightFromText="180" w:vertAnchor="text" w:horzAnchor="page" w:tblpX="1690" w:tblpY="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抄送：</w:t>
            </w:r>
            <w:r>
              <w:rPr>
                <w:rFonts w:hint="eastAsia" w:ascii="Times New Roman" w:hAnsi="Times New Roman" w:eastAsia="仿宋_GB2312" w:cs="Times New Roman"/>
                <w:sz w:val="32"/>
                <w:szCs w:val="32"/>
                <w:highlight w:val="none"/>
                <w:lang w:eastAsia="zh-CN"/>
              </w:rPr>
              <w:t>温州海洋经济发展示范区经信生态局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日印发</w:t>
            </w:r>
          </w:p>
        </w:tc>
      </w:tr>
    </w:tbl>
    <w:p>
      <w:pPr>
        <w:pStyle w:val="2"/>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3D74A"/>
    <w:multiLevelType w:val="singleLevel"/>
    <w:tmpl w:val="8FE3D74A"/>
    <w:lvl w:ilvl="0" w:tentative="0">
      <w:start w:val="4"/>
      <w:numFmt w:val="chineseCounting"/>
      <w:suff w:val="nothing"/>
      <w:lvlText w:val="%1、"/>
      <w:lvlJc w:val="left"/>
      <w:rPr>
        <w:rFonts w:hint="eastAsia"/>
      </w:rPr>
    </w:lvl>
  </w:abstractNum>
  <w:abstractNum w:abstractNumId="1">
    <w:nsid w:val="B023FEC3"/>
    <w:multiLevelType w:val="singleLevel"/>
    <w:tmpl w:val="B023FEC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HorizontalSpacing w:val="14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3879EC"/>
    <w:rsid w:val="0049307C"/>
    <w:rsid w:val="00667255"/>
    <w:rsid w:val="008B45EE"/>
    <w:rsid w:val="00B830B9"/>
    <w:rsid w:val="00B95092"/>
    <w:rsid w:val="00DC3EC5"/>
    <w:rsid w:val="00EF194C"/>
    <w:rsid w:val="00F31001"/>
    <w:rsid w:val="02521CF0"/>
    <w:rsid w:val="04B530D0"/>
    <w:rsid w:val="04DA57A6"/>
    <w:rsid w:val="04E851E9"/>
    <w:rsid w:val="05462A66"/>
    <w:rsid w:val="05694CE1"/>
    <w:rsid w:val="05E736B5"/>
    <w:rsid w:val="063B4E6F"/>
    <w:rsid w:val="07481E7E"/>
    <w:rsid w:val="0A984C04"/>
    <w:rsid w:val="0AB13916"/>
    <w:rsid w:val="0B8D7398"/>
    <w:rsid w:val="0E0452EF"/>
    <w:rsid w:val="0E7E2E09"/>
    <w:rsid w:val="0F352A49"/>
    <w:rsid w:val="121C615D"/>
    <w:rsid w:val="12A37B9B"/>
    <w:rsid w:val="135E286B"/>
    <w:rsid w:val="14C8725B"/>
    <w:rsid w:val="14D8425B"/>
    <w:rsid w:val="163B4A87"/>
    <w:rsid w:val="17604DAB"/>
    <w:rsid w:val="176A5D84"/>
    <w:rsid w:val="18593B10"/>
    <w:rsid w:val="18AC5A24"/>
    <w:rsid w:val="18F57BE9"/>
    <w:rsid w:val="1A635100"/>
    <w:rsid w:val="1B3D0E19"/>
    <w:rsid w:val="1C5203DB"/>
    <w:rsid w:val="1D2F4CBA"/>
    <w:rsid w:val="1D4D095D"/>
    <w:rsid w:val="1DC1392A"/>
    <w:rsid w:val="1E21618F"/>
    <w:rsid w:val="1F434B54"/>
    <w:rsid w:val="20174B33"/>
    <w:rsid w:val="21510D65"/>
    <w:rsid w:val="218B6EE0"/>
    <w:rsid w:val="22942DCC"/>
    <w:rsid w:val="23BC0464"/>
    <w:rsid w:val="24FC0E9A"/>
    <w:rsid w:val="27946297"/>
    <w:rsid w:val="27AF7A58"/>
    <w:rsid w:val="28F371A8"/>
    <w:rsid w:val="2B652CA7"/>
    <w:rsid w:val="2C0D3AE9"/>
    <w:rsid w:val="2CB7552D"/>
    <w:rsid w:val="2CE7613E"/>
    <w:rsid w:val="2DEB6572"/>
    <w:rsid w:val="2DF13312"/>
    <w:rsid w:val="2EDA092B"/>
    <w:rsid w:val="2F027BFA"/>
    <w:rsid w:val="2F333CB2"/>
    <w:rsid w:val="2F8E785D"/>
    <w:rsid w:val="30054380"/>
    <w:rsid w:val="30AE70AD"/>
    <w:rsid w:val="323557C2"/>
    <w:rsid w:val="33E856A3"/>
    <w:rsid w:val="347436C1"/>
    <w:rsid w:val="35835D75"/>
    <w:rsid w:val="359249E5"/>
    <w:rsid w:val="36EC38E5"/>
    <w:rsid w:val="36EE777E"/>
    <w:rsid w:val="36FB0C74"/>
    <w:rsid w:val="376427D7"/>
    <w:rsid w:val="376E164F"/>
    <w:rsid w:val="397E423B"/>
    <w:rsid w:val="3A937DE9"/>
    <w:rsid w:val="3F450EE2"/>
    <w:rsid w:val="40EB1A3D"/>
    <w:rsid w:val="41D37DD1"/>
    <w:rsid w:val="424F3974"/>
    <w:rsid w:val="428C2599"/>
    <w:rsid w:val="45AF37E9"/>
    <w:rsid w:val="489A01C2"/>
    <w:rsid w:val="48ED65C6"/>
    <w:rsid w:val="493E5555"/>
    <w:rsid w:val="49500F4B"/>
    <w:rsid w:val="49C61A31"/>
    <w:rsid w:val="4B1C16D9"/>
    <w:rsid w:val="4BBD55B7"/>
    <w:rsid w:val="4E1C04EB"/>
    <w:rsid w:val="501B75FF"/>
    <w:rsid w:val="51B23253"/>
    <w:rsid w:val="53651E82"/>
    <w:rsid w:val="5404626D"/>
    <w:rsid w:val="56316276"/>
    <w:rsid w:val="566B005F"/>
    <w:rsid w:val="56FE667F"/>
    <w:rsid w:val="584D09B1"/>
    <w:rsid w:val="59AC02AD"/>
    <w:rsid w:val="5BD334CF"/>
    <w:rsid w:val="5C884BE9"/>
    <w:rsid w:val="5D2A20B5"/>
    <w:rsid w:val="5F0F220E"/>
    <w:rsid w:val="5F7E3425"/>
    <w:rsid w:val="602B754E"/>
    <w:rsid w:val="61334C87"/>
    <w:rsid w:val="61BD079F"/>
    <w:rsid w:val="627D79CC"/>
    <w:rsid w:val="63D12988"/>
    <w:rsid w:val="63ED4DF9"/>
    <w:rsid w:val="644E665C"/>
    <w:rsid w:val="65B1302C"/>
    <w:rsid w:val="67835CA1"/>
    <w:rsid w:val="69924B04"/>
    <w:rsid w:val="6A16031B"/>
    <w:rsid w:val="6B75334D"/>
    <w:rsid w:val="6BC941AA"/>
    <w:rsid w:val="6C2615FD"/>
    <w:rsid w:val="6DB17719"/>
    <w:rsid w:val="6EEE7E92"/>
    <w:rsid w:val="72AD635A"/>
    <w:rsid w:val="735A27E4"/>
    <w:rsid w:val="741A1211"/>
    <w:rsid w:val="742B5FD8"/>
    <w:rsid w:val="760279BD"/>
    <w:rsid w:val="7676051E"/>
    <w:rsid w:val="77342CAA"/>
    <w:rsid w:val="77471B03"/>
    <w:rsid w:val="77BB2A95"/>
    <w:rsid w:val="78DC670E"/>
    <w:rsid w:val="7DA91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sz w:val="28"/>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w:basedOn w:val="1"/>
    <w:autoRedefine/>
    <w:qFormat/>
    <w:uiPriority w:val="0"/>
    <w:pPr>
      <w:tabs>
        <w:tab w:val="left" w:pos="1480"/>
      </w:tabs>
      <w:spacing w:line="252" w:lineRule="auto"/>
      <w:jc w:val="center"/>
    </w:pPr>
    <w:rPr>
      <w:rFonts w:ascii="仿宋_GB2312" w:hAnsi="宋体" w:eastAsia="仿宋_GB2312"/>
      <w:b/>
      <w:bCs/>
      <w:sz w:val="44"/>
    </w:rPr>
  </w:style>
  <w:style w:type="paragraph" w:styleId="4">
    <w:name w:val="Body Text Indent"/>
    <w:basedOn w:val="1"/>
    <w:autoRedefine/>
    <w:qFormat/>
    <w:uiPriority w:val="0"/>
    <w:pPr>
      <w:tabs>
        <w:tab w:val="left" w:pos="1480"/>
      </w:tabs>
      <w:adjustRightInd w:val="0"/>
      <w:snapToGrid w:val="0"/>
      <w:ind w:firstLine="640" w:firstLineChars="200"/>
    </w:pPr>
    <w:rPr>
      <w:rFonts w:ascii="宋体" w:hAnsi="宋体"/>
      <w:sz w:val="32"/>
    </w:rPr>
  </w:style>
  <w:style w:type="paragraph" w:styleId="5">
    <w:name w:val="Body Text Indent 2"/>
    <w:basedOn w:val="1"/>
    <w:autoRedefine/>
    <w:qFormat/>
    <w:uiPriority w:val="0"/>
    <w:pPr>
      <w:tabs>
        <w:tab w:val="right" w:pos="8788"/>
      </w:tabs>
      <w:spacing w:line="300" w:lineRule="auto"/>
      <w:ind w:firstLine="640" w:firstLineChars="200"/>
      <w:jc w:val="left"/>
    </w:pPr>
    <w:rPr>
      <w:sz w:val="32"/>
    </w:rPr>
  </w:style>
  <w:style w:type="paragraph" w:styleId="6">
    <w:name w:val="Balloon Text"/>
    <w:basedOn w:val="1"/>
    <w:link w:val="13"/>
    <w:autoRedefine/>
    <w:qFormat/>
    <w:uiPriority w:val="0"/>
    <w:rPr>
      <w:sz w:val="18"/>
      <w:szCs w:val="18"/>
    </w:rPr>
  </w:style>
  <w:style w:type="paragraph" w:styleId="7">
    <w:name w:val="footer"/>
    <w:basedOn w:val="1"/>
    <w:link w:val="1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脚 Char"/>
    <w:basedOn w:val="10"/>
    <w:link w:val="7"/>
    <w:autoRedefine/>
    <w:qFormat/>
    <w:uiPriority w:val="0"/>
    <w:rPr>
      <w:rFonts w:ascii="Times New Roman" w:hAnsi="Times New Roman" w:eastAsia="宋体" w:cs="Times New Roman"/>
      <w:sz w:val="18"/>
      <w:szCs w:val="18"/>
    </w:rPr>
  </w:style>
  <w:style w:type="character" w:styleId="12">
    <w:name w:val="Placeholder Text"/>
    <w:basedOn w:val="10"/>
    <w:autoRedefine/>
    <w:unhideWhenUsed/>
    <w:qFormat/>
    <w:uiPriority w:val="99"/>
    <w:rPr>
      <w:color w:val="808080"/>
    </w:rPr>
  </w:style>
  <w:style w:type="character" w:customStyle="1" w:styleId="13">
    <w:name w:val="批注框文本 Char"/>
    <w:basedOn w:val="10"/>
    <w:link w:val="6"/>
    <w:autoRedefine/>
    <w:qFormat/>
    <w:uiPriority w:val="0"/>
    <w:rPr>
      <w:rFonts w:ascii="Times New Roman" w:hAnsi="Times New Roman" w:eastAsia="宋体" w:cs="Times New Roman"/>
      <w:sz w:val="18"/>
      <w:szCs w:val="18"/>
    </w:rPr>
  </w:style>
  <w:style w:type="paragraph" w:customStyle="1" w:styleId="14">
    <w:name w:val="正文01"/>
    <w:basedOn w:val="1"/>
    <w:autoRedefine/>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1964</Words>
  <Characters>2312</Characters>
  <Lines>2</Lines>
  <Paragraphs>3</Paragraphs>
  <TotalTime>193</TotalTime>
  <ScaleCrop>false</ScaleCrop>
  <LinksUpToDate>false</LinksUpToDate>
  <CharactersWithSpaces>2388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2024-04-12T03:22:00Z</cp:lastPrinted>
  <dcterms:modified xsi:type="dcterms:W3CDTF">2024-04-12T06:20:24Z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