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pStyle w:val="2"/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3</w:t>
      </w:r>
      <w:r>
        <w:rPr>
          <w:rFonts w:hint="eastAsia" w:ascii="宋体" w:hAnsi="宋体" w:cs="宋体"/>
          <w:sz w:val="32"/>
        </w:rPr>
        <w:t>﹞</w:t>
      </w:r>
      <w:r>
        <w:rPr>
          <w:rFonts w:hint="eastAsia" w:ascii="宋体" w:hAnsi="宋体" w:cs="宋体"/>
          <w:sz w:val="32"/>
          <w:lang w:val="en-US" w:eastAsia="zh-CN"/>
        </w:rPr>
        <w:t>003</w:t>
      </w:r>
      <w:r>
        <w:rPr>
          <w:rFonts w:hint="eastAsia" w:ascii="宋体" w:hAnsi="宋体" w:cs="宋体"/>
          <w:sz w:val="32"/>
        </w:rPr>
        <w:t>号</w:t>
      </w:r>
    </w:p>
    <w:p>
      <w:pPr>
        <w:pStyle w:val="4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温州宏星表面处理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年表面处理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紧固件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10000吨迁建项目</w:t>
      </w:r>
      <w:r>
        <w:rPr>
          <w:rFonts w:hint="eastAsia" w:ascii="方正小标宋简体" w:eastAsia="方正小标宋简体"/>
          <w:sz w:val="44"/>
          <w:szCs w:val="44"/>
        </w:rPr>
        <w:t>环境影响报告表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审批意见的函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温州宏星表面处理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你单位的申请报告、由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温州晨正环境科技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温州宏星表面处理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年表面处理紧固件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10000吨迁建项目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环境影响报告表》已悉，我局按照建设项目环境管理有关规定对该项目进行审查及公示，经研究，现将该项目环境影响报告表的审批意见函告如下：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一、根据《中华人民共和国环境影响评价法》第22条的规定，原则同意项目环境影响报告表的结论及建议。报告表中提出的污染防治对策措施可作为环保设计的依据，你公司须逐项予以落实。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项目选址龙湾区永中街道高新大道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，租用浙江百聪网络科技有限公司闲置车间作为生产经营场所，租赁建筑面积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924平方米。搬迁后企业生产规模保持不变，仍为年表面处理紧固件10000吨。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企业主要生产工艺、设备及周边环境见环境影响报告表。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三、项目污染物排放执行以下标准：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项目废水排放执行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温州市东片污水处理厂进水标准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；总氮参照执行《污水排入城镇下水道水质标准》（GB/T31962-2015)中的B级限值；总铁执行《酸洗废水排放总铁浓度限值》（DB33/844-2011)中的二级排放浓度限值；总铬、总镍、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总锌</w:t>
      </w:r>
      <w:r>
        <w:rPr>
          <w:rFonts w:hint="eastAsia" w:ascii="仿宋_GB2312" w:hAnsi="仿宋_GB2312" w:eastAsia="仿宋_GB2312" w:cs="仿宋_GB2312"/>
          <w:sz w:val="32"/>
          <w:szCs w:val="32"/>
        </w:rPr>
        <w:t>等近期执行《电镀水污染物排放标准》（DB33/2260-2020)中表1其他地区间接排放标准限值，远期执行《电镀水污染物排放标准》（DB33/2260-2020)中表1太湖流域地区间接排放标准限值。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-18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颗粒物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非甲烷总烃、氯化氢排放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执行《大气污染物综合排放标准》（GB16297-1996)中表2新污染源大气污染物排放限值中的二级排放标准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</w:rPr>
        <w:t>企业厂区内挥发性有机物（VOCs）无组织排放限值执行《挥发性有机物无组织排放控制标准》（GB37822-2019）附录 A特别排放限值要求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；燃天然气锅炉废气执行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《锅炉大气污染物排放标准》(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</w:rPr>
        <w:t>B13271-2014) 燃气锅炉特别排放限值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NOx浓度限值按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温环通〔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57号文件相关要求落实；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发黑氨气及臭气浓度排放执行《恶臭污染物排放标准》（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GB14554-93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）相关标准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3.项目厂界噪声排放执行《工业企业厂界环境噪声排放标准》（GB12348-2008)中3类声环境功能区标准。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项目产生的一般固废贮存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应满足相应防渗漏、防雨淋、防扬尘等环境保护要求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；危险废物执行《危险废物贮存污染控制标准》（GB18597-2001)及其修改单（环保部公告2013年第36号）中的有关规定。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四、项目须合理布置生产车间，实施干湿区分离，并落实完善的废水收集系统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车间内严格落实防腐、防渗、防混措施，工艺废水管线采取明管收集，废水管道应满足防腐、防渗要求。生产废水经污水处理设施处理达标后纳管排放。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各类工艺废气、锅炉废气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对应废气特点分别采取有效的净化措施，治理达标后高空排放，排气筒高度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按环评要求执行。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六、落实环评中相应降噪、隔声、消声措施，使厂界噪声达标排放。危险废物须按环评要求分类收集，妥善贮存、处置，一般固废、生活垃圾及时收集清运。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七、完善环境风险事故应急预案，落实环境风险防范及应急措施；加强管理，防止环境污染事故发生。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八、项目实施后，全厂主要污染物排放指标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按项目环境影响报告表执行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二氧化硫、氮氧化物</w:t>
      </w:r>
      <w:r>
        <w:rPr>
          <w:rFonts w:hint="eastAsia" w:ascii="仿宋_GB2312" w:hAnsi="仿宋_GB2312" w:eastAsia="仿宋_GB2312" w:cs="仿宋_GB2312"/>
          <w:sz w:val="32"/>
          <w:szCs w:val="32"/>
        </w:rPr>
        <w:t>总量指标须通过排污权交易获得。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九、项目建设期和营运期日常环境管理由温州市生态环境局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龙湾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分局负责，项目建成产生实际排污行为前，应依法依规申领排污许可证，并做好“三同时”环保竣工验收工作。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十、项目的环境影响评价文件经批准后，建设项目的性质、规模、地点、采用的生产工艺或者防治污染、防止生态破坏的措施发生重大变动的，建设单位应当重新报批建设项目的环境影响评价文件。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项目的环境影响评价文件自批准之日起超过五年，方决定该项目开工建设的，其环境影响评价文件应当报原审批部门重新审核。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十一、若你单位及项目利害关系人对本审批意见内容不服的，可以在六十日内向温州市人民政府提起行政复议，或者在六个月内向鹿城区人民法院提起行政诉讼。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90" w:tblpY="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抄送：温州市生态环境局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龙湾分局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3879EC"/>
    <w:rsid w:val="0049307C"/>
    <w:rsid w:val="00667255"/>
    <w:rsid w:val="008B45EE"/>
    <w:rsid w:val="00B830B9"/>
    <w:rsid w:val="00B95092"/>
    <w:rsid w:val="00DC3EC5"/>
    <w:rsid w:val="00EF194C"/>
    <w:rsid w:val="00F31001"/>
    <w:rsid w:val="02521CF0"/>
    <w:rsid w:val="04B530D0"/>
    <w:rsid w:val="04DA57A6"/>
    <w:rsid w:val="04E851E9"/>
    <w:rsid w:val="05462A66"/>
    <w:rsid w:val="05E736B5"/>
    <w:rsid w:val="063B4E6F"/>
    <w:rsid w:val="0A984C04"/>
    <w:rsid w:val="0B8D7398"/>
    <w:rsid w:val="0E0452EF"/>
    <w:rsid w:val="0E7E2E09"/>
    <w:rsid w:val="0F352A49"/>
    <w:rsid w:val="121C615D"/>
    <w:rsid w:val="12A37B9B"/>
    <w:rsid w:val="135E286B"/>
    <w:rsid w:val="14D8425B"/>
    <w:rsid w:val="176A5D84"/>
    <w:rsid w:val="18AC5A24"/>
    <w:rsid w:val="18F57BE9"/>
    <w:rsid w:val="1A635100"/>
    <w:rsid w:val="1B3D0E19"/>
    <w:rsid w:val="1C5203DB"/>
    <w:rsid w:val="1E21618F"/>
    <w:rsid w:val="1F434B54"/>
    <w:rsid w:val="20174B33"/>
    <w:rsid w:val="218B6EE0"/>
    <w:rsid w:val="22942DCC"/>
    <w:rsid w:val="27946297"/>
    <w:rsid w:val="27AF7A58"/>
    <w:rsid w:val="2B652CA7"/>
    <w:rsid w:val="2C0D3AE9"/>
    <w:rsid w:val="2CB7552D"/>
    <w:rsid w:val="2DEB6572"/>
    <w:rsid w:val="2DF13312"/>
    <w:rsid w:val="2EDA092B"/>
    <w:rsid w:val="2F027BFA"/>
    <w:rsid w:val="2F333CB2"/>
    <w:rsid w:val="2F8E785D"/>
    <w:rsid w:val="30054380"/>
    <w:rsid w:val="323557C2"/>
    <w:rsid w:val="359249E5"/>
    <w:rsid w:val="36EC38E5"/>
    <w:rsid w:val="36EE777E"/>
    <w:rsid w:val="36FB0C74"/>
    <w:rsid w:val="376427D7"/>
    <w:rsid w:val="376E164F"/>
    <w:rsid w:val="3F450EE2"/>
    <w:rsid w:val="40EB1A3D"/>
    <w:rsid w:val="41D37DD1"/>
    <w:rsid w:val="428C2599"/>
    <w:rsid w:val="45AF37E9"/>
    <w:rsid w:val="489A01C2"/>
    <w:rsid w:val="48ED65C6"/>
    <w:rsid w:val="493E5555"/>
    <w:rsid w:val="49C61A31"/>
    <w:rsid w:val="4B1C16D9"/>
    <w:rsid w:val="4BBD55B7"/>
    <w:rsid w:val="4E1C04EB"/>
    <w:rsid w:val="501B75FF"/>
    <w:rsid w:val="53651E82"/>
    <w:rsid w:val="5404626D"/>
    <w:rsid w:val="566B005F"/>
    <w:rsid w:val="56FE667F"/>
    <w:rsid w:val="584D09B1"/>
    <w:rsid w:val="5BD334CF"/>
    <w:rsid w:val="5C884BE9"/>
    <w:rsid w:val="5D2A20B5"/>
    <w:rsid w:val="5F0F220E"/>
    <w:rsid w:val="602B754E"/>
    <w:rsid w:val="61334C87"/>
    <w:rsid w:val="61BD079F"/>
    <w:rsid w:val="65B1302C"/>
    <w:rsid w:val="67835CA1"/>
    <w:rsid w:val="69924B04"/>
    <w:rsid w:val="6BC941AA"/>
    <w:rsid w:val="6C2615FD"/>
    <w:rsid w:val="6DB17719"/>
    <w:rsid w:val="742B5FD8"/>
    <w:rsid w:val="760279BD"/>
    <w:rsid w:val="7676051E"/>
    <w:rsid w:val="77342CAA"/>
    <w:rsid w:val="77471B03"/>
    <w:rsid w:val="77BB2A95"/>
    <w:rsid w:val="78DC670E"/>
    <w:rsid w:val="7DA91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9"/>
    <w:unhideWhenUsed/>
    <w:qFormat/>
    <w:uiPriority w:val="99"/>
    <w:rPr>
      <w:color w:val="808080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01"/>
    <w:basedOn w:val="1"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1307</Words>
  <Characters>1467</Characters>
  <Lines>2</Lines>
  <Paragraphs>3</Paragraphs>
  <TotalTime>5</TotalTime>
  <ScaleCrop>false</ScaleCrop>
  <LinksUpToDate>false</LinksUpToDate>
  <CharactersWithSpaces>1763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2023-01-17T07:32:12Z</cp:lastPrinted>
  <dcterms:modified xsi:type="dcterms:W3CDTF">2023-01-17T07:35:31Z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