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84"/>
          <w:szCs w:val="84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84"/>
          <w:szCs w:val="84"/>
          <w:lang w:eastAsia="zh-CN"/>
        </w:rPr>
      </w:pPr>
      <w:r>
        <w:rPr>
          <w:rFonts w:hint="eastAsia" w:eastAsia="黑体"/>
          <w:sz w:val="84"/>
          <w:szCs w:val="84"/>
        </w:rPr>
        <w:t>温州市工业固体废物</w:t>
      </w:r>
      <w:r>
        <w:rPr>
          <w:rFonts w:hint="eastAsia" w:eastAsia="黑体"/>
          <w:sz w:val="84"/>
          <w:szCs w:val="84"/>
          <w:lang w:eastAsia="zh-CN"/>
        </w:rPr>
        <w:t>管理台账</w:t>
      </w:r>
    </w:p>
    <w:p>
      <w:pPr>
        <w:jc w:val="center"/>
        <w:rPr>
          <w:rFonts w:hint="eastAsia" w:eastAsia="黑体"/>
          <w:sz w:val="84"/>
          <w:szCs w:val="84"/>
        </w:rPr>
      </w:pPr>
    </w:p>
    <w:p>
      <w:pPr>
        <w:snapToGrid w:val="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单位名称：</w:t>
      </w:r>
      <w:r>
        <w:rPr>
          <w:rFonts w:eastAsia="黑体"/>
          <w:sz w:val="44"/>
          <w:szCs w:val="44"/>
          <w:u w:val="single"/>
        </w:rPr>
        <w:t xml:space="preserve">                  </w:t>
      </w:r>
      <w:r>
        <w:rPr>
          <w:rFonts w:hint="eastAsia" w:eastAsia="黑体"/>
          <w:sz w:val="44"/>
          <w:szCs w:val="44"/>
        </w:rPr>
        <w:t>（公章）</w:t>
      </w:r>
    </w:p>
    <w:p>
      <w:pPr>
        <w:jc w:val="center"/>
        <w:rPr>
          <w:rFonts w:hint="eastAsia" w:eastAsia="黑体"/>
          <w:sz w:val="84"/>
          <w:szCs w:val="84"/>
        </w:rPr>
      </w:pPr>
    </w:p>
    <w:p>
      <w:pPr>
        <w:snapToGrid w:val="0"/>
        <w:spacing w:before="100" w:beforeAutospacing="1" w:after="100" w:afterAutospacing="1"/>
        <w:rPr>
          <w:sz w:val="28"/>
          <w:szCs w:val="44"/>
        </w:rPr>
      </w:pPr>
      <w:r>
        <w:rPr>
          <w:rFonts w:hint="eastAsia" w:eastAsia="黑体"/>
          <w:sz w:val="28"/>
          <w:szCs w:val="44"/>
        </w:rPr>
        <w:t>声明：</w:t>
      </w:r>
      <w:r>
        <w:rPr>
          <w:rFonts w:hint="eastAsia"/>
          <w:sz w:val="28"/>
          <w:szCs w:val="44"/>
        </w:rPr>
        <w:t>我特此确认，本</w:t>
      </w:r>
      <w:r>
        <w:rPr>
          <w:rFonts w:hint="eastAsia"/>
          <w:sz w:val="28"/>
          <w:szCs w:val="44"/>
          <w:lang w:eastAsia="zh-CN"/>
        </w:rPr>
        <w:t>台账</w:t>
      </w:r>
      <w:r>
        <w:rPr>
          <w:rFonts w:hint="eastAsia"/>
          <w:sz w:val="28"/>
          <w:szCs w:val="44"/>
        </w:rPr>
        <w:t>所填写的内容均为真实。本单位对本</w:t>
      </w:r>
      <w:r>
        <w:rPr>
          <w:rFonts w:hint="eastAsia"/>
          <w:sz w:val="28"/>
          <w:szCs w:val="44"/>
          <w:lang w:eastAsia="zh-CN"/>
        </w:rPr>
        <w:t>台账</w:t>
      </w:r>
      <w:r>
        <w:rPr>
          <w:rFonts w:hint="eastAsia"/>
          <w:sz w:val="28"/>
          <w:szCs w:val="44"/>
        </w:rPr>
        <w:t>的真实性负责，并承担内容不实的后果。</w:t>
      </w:r>
    </w:p>
    <w:p>
      <w:pPr>
        <w:snapToGrid w:val="0"/>
        <w:spacing w:before="100" w:beforeAutospacing="1" w:after="100" w:afterAutospacing="1"/>
        <w:rPr>
          <w:rFonts w:hint="eastAsia"/>
          <w:sz w:val="28"/>
          <w:szCs w:val="44"/>
          <w:u w:val="single"/>
        </w:rPr>
      </w:pPr>
      <w:r>
        <w:rPr>
          <w:rFonts w:hint="eastAsia"/>
          <w:sz w:val="28"/>
        </w:rPr>
        <w:t>单位负责人</w:t>
      </w:r>
      <w:r>
        <w:rPr>
          <w:sz w:val="28"/>
        </w:rPr>
        <w:t>/</w:t>
      </w:r>
      <w:r>
        <w:rPr>
          <w:rFonts w:hint="eastAsia"/>
          <w:sz w:val="28"/>
        </w:rPr>
        <w:t>法定代表人签名：</w:t>
      </w:r>
      <w:r>
        <w:rPr>
          <w:sz w:val="28"/>
          <w:szCs w:val="44"/>
          <w:u w:val="single"/>
        </w:rPr>
        <w:t xml:space="preserve">                </w:t>
      </w:r>
    </w:p>
    <w:p>
      <w:pPr>
        <w:jc w:val="center"/>
        <w:rPr>
          <w:rFonts w:hint="eastAsia" w:eastAsia="黑体"/>
          <w:sz w:val="84"/>
          <w:szCs w:val="84"/>
        </w:rPr>
      </w:pPr>
      <w:r>
        <w:rPr>
          <w:rFonts w:hint="eastAsia" w:eastAsia="黑体"/>
          <w:color w:val="000000"/>
          <w:szCs w:val="32"/>
        </w:rPr>
        <w:t>温州市环境保护局 制</w:t>
      </w:r>
    </w:p>
    <w:p>
      <w:pPr>
        <w:jc w:val="center"/>
        <w:rPr>
          <w:rFonts w:hint="eastAsia" w:eastAsia="黑体"/>
          <w:sz w:val="48"/>
          <w:szCs w:val="8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spacing w:line="500" w:lineRule="exact"/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填</w:t>
      </w:r>
      <w:r>
        <w:rPr>
          <w:rFonts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</w:rPr>
        <w:t>写</w:t>
      </w:r>
      <w:r>
        <w:rPr>
          <w:rFonts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</w:rPr>
        <w:t>说</w:t>
      </w:r>
      <w:r>
        <w:rPr>
          <w:rFonts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</w:rPr>
        <w:t>明（请务必仔细阅读）</w:t>
      </w:r>
    </w:p>
    <w:p>
      <w:pPr>
        <w:spacing w:line="500" w:lineRule="exact"/>
        <w:jc w:val="center"/>
        <w:rPr>
          <w:rFonts w:eastAsia="黑体"/>
          <w:sz w:val="24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台账</w:t>
      </w:r>
      <w:r>
        <w:rPr>
          <w:rFonts w:hint="eastAsia" w:ascii="仿宋_GB2312" w:hAnsi="宋体" w:eastAsia="仿宋_GB2312"/>
          <w:sz w:val="30"/>
          <w:szCs w:val="30"/>
        </w:rPr>
        <w:t>用于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工业企业记录一般工业固体废物</w:t>
      </w:r>
      <w:r>
        <w:rPr>
          <w:rFonts w:hint="eastAsia" w:ascii="仿宋_GB2312" w:hAnsi="宋体" w:eastAsia="仿宋_GB2312"/>
          <w:sz w:val="30"/>
          <w:szCs w:val="30"/>
        </w:rPr>
        <w:t>产生、贮存、利用、处理处置等情况。本台账应妥善保管，以备环保部门检查。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台账</w:t>
      </w:r>
      <w:r>
        <w:rPr>
          <w:rFonts w:hint="eastAsia" w:ascii="仿宋_GB2312" w:hAnsi="宋体" w:eastAsia="仿宋_GB2312"/>
          <w:sz w:val="30"/>
          <w:szCs w:val="30"/>
        </w:rPr>
        <w:t>使用期限为三年，工业企业应当每年统计汇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总台账</w:t>
      </w:r>
      <w:r>
        <w:rPr>
          <w:rFonts w:hint="eastAsia" w:ascii="仿宋_GB2312" w:hAnsi="宋体" w:eastAsia="仿宋_GB2312"/>
          <w:sz w:val="30"/>
          <w:szCs w:val="30"/>
        </w:rPr>
        <w:t>数据，并填写《工业固体废物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管理台账</w:t>
      </w:r>
      <w:r>
        <w:rPr>
          <w:rFonts w:hint="eastAsia" w:ascii="仿宋_GB2312" w:hAnsi="宋体" w:eastAsia="仿宋_GB2312"/>
          <w:sz w:val="30"/>
          <w:szCs w:val="30"/>
        </w:rPr>
        <w:t>统计表》上报所在地县（市、区）环保局。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《工业企业固体废物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台账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汇总表》</w:t>
      </w:r>
      <w:r>
        <w:rPr>
          <w:rFonts w:hint="eastAsia" w:ascii="仿宋_GB2312" w:hAnsi="宋体" w:eastAsia="仿宋_GB2312"/>
          <w:sz w:val="30"/>
          <w:szCs w:val="30"/>
        </w:rPr>
        <w:t>由填报单位从市环境保护局网站（</w:t>
      </w:r>
      <w:r>
        <w:fldChar w:fldCharType="begin"/>
      </w:r>
      <w:r>
        <w:instrText xml:space="preserve"> HYPERLINK "http://www.zjepb.gov.cn" </w:instrText>
      </w:r>
      <w:r>
        <w:fldChar w:fldCharType="separate"/>
      </w:r>
      <w:r>
        <w:rPr>
          <w:rStyle w:val="8"/>
          <w:rFonts w:hint="eastAsia" w:ascii="仿宋_GB2312" w:eastAsia="仿宋_GB2312"/>
          <w:sz w:val="30"/>
          <w:szCs w:val="30"/>
        </w:rPr>
        <w:t>www.wzepb.gov.cn</w:t>
      </w:r>
      <w:r>
        <w:rPr>
          <w:rStyle w:val="8"/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</w:rPr>
        <w:t>）处下载后自行打印。市环保局网站的下载路径：</w:t>
      </w:r>
      <w:r>
        <w:rPr>
          <w:rFonts w:hint="eastAsia" w:ascii="仿宋_GB2312" w:eastAsia="仿宋_GB2312"/>
          <w:sz w:val="30"/>
          <w:szCs w:val="30"/>
        </w:rPr>
        <w:t>固废管理—相关文件—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关于推行全市工业固体废物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lang w:eastAsia="zh-CN"/>
        </w:rPr>
        <w:t>管理台账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工作的通知。</w:t>
      </w: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一、封面</w:t>
      </w:r>
    </w:p>
    <w:p>
      <w:pPr>
        <w:tabs>
          <w:tab w:val="left" w:pos="851"/>
        </w:tabs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1、【单位名称】：按照工业企业的组织机构代码证填写，并加盖公章。</w:t>
      </w: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二、产生和流向基本信息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（一）基本信息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1、【固体废物名称】：固体废物名称应与废物管理登记表的固体废物保持一致。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2、【贮存情况】：是指一般固体废物在企业内贮存的基本情况，请根据实际情况勾选；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3、【累计贮存量】：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台账</w:t>
      </w:r>
      <w:r>
        <w:rPr>
          <w:rFonts w:hint="eastAsia" w:ascii="仿宋_GB2312" w:hAnsi="宋体" w:eastAsia="仿宋_GB2312"/>
          <w:sz w:val="30"/>
          <w:szCs w:val="30"/>
        </w:rPr>
        <w:t>起用之日，企业内部累计贮存固体废物的数量（吨）；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4、【利用处置类型】：根据实际情况勾选；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5、【利用处置方式】：请根据实际情况勾选，属于其它的应当填写具体的利用处置方式；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6、【委托利用处置单位】：请填写委托利用处置单位的名称、联系人、联系方式及地址；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（二）流向信息变更记录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固体废物流向基本信息中的任何一项发生变更的，请在该部分内注明变更项目的名称、变更日期及变更后的内容，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>同时在《管理记录表》当日备注栏中注明变更项目的名称。</w:t>
      </w:r>
      <w:r>
        <w:rPr>
          <w:rFonts w:hint="eastAsia" w:ascii="仿宋_GB2312" w:hAnsi="宋体" w:eastAsia="仿宋_GB2312"/>
          <w:sz w:val="30"/>
          <w:szCs w:val="30"/>
        </w:rPr>
        <w:t>如：委托利用处置单位发生改变，则变更项目填写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hint="eastAsia" w:ascii="仿宋_GB2312" w:hAnsi="宋体" w:eastAsia="仿宋_GB2312"/>
          <w:sz w:val="30"/>
          <w:szCs w:val="30"/>
        </w:rPr>
        <w:t>委托利用单位名称</w:t>
      </w:r>
      <w:r>
        <w:rPr>
          <w:rFonts w:hint="eastAsia" w:ascii="仿宋_GB2312" w:eastAsia="仿宋_GB2312"/>
          <w:sz w:val="30"/>
          <w:szCs w:val="30"/>
        </w:rPr>
        <w:t>”</w:t>
      </w:r>
      <w:r>
        <w:rPr>
          <w:rFonts w:hint="eastAsia" w:ascii="仿宋_GB2312" w:hAnsi="宋体" w:eastAsia="仿宋_GB2312"/>
          <w:sz w:val="30"/>
          <w:szCs w:val="30"/>
        </w:rPr>
        <w:t>，变更日期填写变更委托利用单位的日期，变更内容填写现委托利用单位名称、地址、联系人及联系电话。</w:t>
      </w: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三、废物管理记录表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1、  </w:t>
      </w:r>
      <w:r>
        <w:rPr>
          <w:rFonts w:hint="eastAsia" w:ascii="仿宋_GB2312" w:eastAsia="仿宋_GB2312"/>
          <w:spacing w:val="-24"/>
          <w:sz w:val="30"/>
          <w:szCs w:val="30"/>
        </w:rPr>
        <w:t>【日期】：工业固体废物产生、贮存、自行利用处置或委托贮存、利用、处置的日期（月、日）；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  【产生数量】：当日废物产生的数量（吨）；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  【自行利用数量】：当日自行利用数量（吨）；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  【自行处置数量】：当日自行处置数量（吨）；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  【委托利用数量】：当日委托利用数量（吨）；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  【委托处置数量】：当日委托处置的数量（吨）；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7、  【截至目前累计贮存数量】：当日企业内部累计贮存固体废物的数量（吨）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8、  【备注】：该种废物流向基本信息发生变更，并填写《流向信息变更记录》的同时，在该栏中注明变更项目的名称，或其他事项；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9、  【填表人】：</w:t>
      </w:r>
      <w:r>
        <w:rPr>
          <w:rFonts w:hint="eastAsia" w:ascii="仿宋_GB2312" w:eastAsia="仿宋_GB2312"/>
          <w:sz w:val="30"/>
          <w:szCs w:val="30"/>
          <w:lang w:eastAsia="zh-CN"/>
        </w:rPr>
        <w:t>台账</w:t>
      </w:r>
      <w:r>
        <w:rPr>
          <w:rFonts w:hint="eastAsia" w:ascii="仿宋_GB2312" w:eastAsia="仿宋_GB2312"/>
          <w:sz w:val="30"/>
          <w:szCs w:val="30"/>
        </w:rPr>
        <w:t>填写入签字或盖章；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10、废物管理记录表内，若填写内容为空，应用斜线划去；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11、请根据实际情况，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>记录固体废物产生、利用处置当日的情况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rPr>
          <w:rFonts w:ascii="仿宋_GB2312" w:eastAsia="仿宋_GB2312"/>
          <w:sz w:val="24"/>
          <w:szCs w:val="30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6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华文中宋" w:hAnsi="华文中宋" w:eastAsia="华文中宋"/>
                <w:sz w:val="32"/>
                <w:szCs w:val="30"/>
              </w:rPr>
            </w:pPr>
            <w:r>
              <w:rPr>
                <w:rFonts w:hint="eastAsia" w:ascii="华文中宋" w:hAnsi="华文中宋" w:eastAsia="华文中宋"/>
                <w:sz w:val="32"/>
                <w:szCs w:val="30"/>
              </w:rPr>
              <w:t>基本信息</w:t>
            </w:r>
          </w:p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固体废物名称：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产生和流向基本信息：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贮存情况：□散装堆放   □包装堆放 其他方式：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累计贮存量（吨）: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累计贮存量（吨）: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利用处置类型：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□自行  □委托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利用处置方式：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spacing w:line="640" w:lineRule="exact"/>
              <w:rPr>
                <w:rFonts w:hint="eastAsia" w:ascii="仿宋_GB2312" w:eastAsia="仿宋_GB2312"/>
                <w:sz w:val="24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建材利用（如生产陶粒、制砖）</w:t>
            </w:r>
          </w:p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□ 土地利用（填海或路基等）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焚烧（含火电、水泥窑和垃圾等掺烧）</w:t>
            </w:r>
          </w:p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□填埋  □贮存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其它：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szCs w:val="30"/>
              </w:rPr>
              <w:t>（请自填）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委托利用处置（含贮存）单位名称: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</w:t>
            </w:r>
          </w:p>
        </w:tc>
      </w:tr>
    </w:tbl>
    <w:p>
      <w:pPr>
        <w:spacing w:line="640" w:lineRule="exact"/>
        <w:rPr>
          <w:rFonts w:ascii="仿宋_GB2312" w:eastAsia="仿宋_GB2312"/>
          <w:sz w:val="24"/>
          <w:szCs w:val="30"/>
        </w:rPr>
        <w:sectPr>
          <w:type w:val="continuous"/>
          <w:pgSz w:w="16838" w:h="11906" w:orient="landscape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tbl>
      <w:tblPr>
        <w:tblStyle w:val="5"/>
        <w:tblW w:w="6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联系人: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联系电话: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地址: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                      </w:t>
            </w:r>
          </w:p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华文中宋" w:hAnsi="华文中宋" w:eastAsia="华文中宋"/>
                <w:b/>
                <w:sz w:val="24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30"/>
              </w:rPr>
              <w:t>流向信息变更记录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变更项目：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30"/>
              </w:rPr>
              <w:t xml:space="preserve">  变更日期：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变更内容：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变更项目：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30"/>
              </w:rPr>
              <w:t xml:space="preserve">  变更日期：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变更内容：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变更项目：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30"/>
              </w:rPr>
              <w:t xml:space="preserve">  变更日期：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变更内容：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变更项目：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30"/>
              </w:rPr>
              <w:t xml:space="preserve">  变更日期：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40" w:lineRule="exact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变更内容：</w:t>
            </w:r>
            <w:r>
              <w:rPr>
                <w:rFonts w:hint="eastAsia" w:ascii="仿宋_GB2312" w:eastAsia="仿宋_GB2312"/>
                <w:sz w:val="24"/>
                <w:szCs w:val="30"/>
                <w:u w:val="single"/>
              </w:rPr>
              <w:t xml:space="preserve">                                            </w:t>
            </w:r>
          </w:p>
        </w:tc>
      </w:tr>
    </w:tbl>
    <w:p>
      <w:pPr>
        <w:jc w:val="center"/>
        <w:sectPr>
          <w:type w:val="continuous"/>
          <w:pgSz w:w="16838" w:h="11906" w:orient="landscape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tbl>
      <w:tblPr>
        <w:tblStyle w:val="5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435"/>
        <w:gridCol w:w="1568"/>
        <w:gridCol w:w="1721"/>
        <w:gridCol w:w="1823"/>
        <w:gridCol w:w="1701"/>
        <w:gridCol w:w="1797"/>
        <w:gridCol w:w="1609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tblHeader/>
          <w:jc w:val="center"/>
        </w:trPr>
        <w:tc>
          <w:tcPr>
            <w:tcW w:w="1414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bCs/>
                <w:sz w:val="32"/>
                <w:szCs w:val="30"/>
              </w:rPr>
            </w:pPr>
            <w:r>
              <w:rPr>
                <w:rFonts w:hint="eastAsia" w:eastAsia="黑体"/>
                <w:bCs/>
                <w:sz w:val="32"/>
                <w:szCs w:val="30"/>
              </w:rPr>
              <w:t>管理记录表</w:t>
            </w:r>
          </w:p>
          <w:p>
            <w:pPr>
              <w:spacing w:line="560" w:lineRule="exact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固体废物名称：</w:t>
            </w:r>
            <w:r>
              <w:rPr>
                <w:rFonts w:hint="eastAsia" w:eastAsia="黑体"/>
                <w:bCs/>
                <w:sz w:val="24"/>
                <w:szCs w:val="30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tblHeader/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日期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产生数量</w:t>
            </w:r>
          </w:p>
        </w:tc>
        <w:tc>
          <w:tcPr>
            <w:tcW w:w="3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自行利用处置情况</w:t>
            </w:r>
          </w:p>
        </w:tc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委托利用处置情况</w:t>
            </w: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截至目前累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计贮存数量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填表人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tblHeader/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处置数量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利用数量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处置数量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利用数量</w:t>
            </w: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本页合计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小标宋_GBK" w:eastAsia="方正小标宋_GBK"/>
          <w:b/>
          <w:sz w:val="44"/>
        </w:rPr>
      </w:pPr>
      <w:r>
        <w:rPr>
          <w:rFonts w:hint="eastAsia" w:ascii="方正小标宋_GBK" w:eastAsia="方正小标宋_GBK"/>
          <w:b/>
          <w:sz w:val="44"/>
        </w:rPr>
        <w:t>一般工业固体废物</w:t>
      </w:r>
      <w:r>
        <w:rPr>
          <w:rFonts w:hint="eastAsia" w:ascii="方正小标宋_GBK" w:eastAsia="方正小标宋_GBK"/>
          <w:b/>
          <w:sz w:val="44"/>
          <w:lang w:eastAsia="zh-CN"/>
        </w:rPr>
        <w:t>管理台账</w:t>
      </w:r>
      <w:r>
        <w:rPr>
          <w:rFonts w:hint="eastAsia" w:ascii="方正小标宋_GBK" w:eastAsia="方正小标宋_GBK"/>
          <w:b/>
          <w:sz w:val="44"/>
        </w:rPr>
        <w:t>统计表（产生单位用）</w:t>
      </w:r>
    </w:p>
    <w:p>
      <w:pPr>
        <w:spacing w:line="48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单位名称：</w:t>
      </w:r>
      <w:r>
        <w:rPr>
          <w:rFonts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24"/>
        </w:rPr>
        <w:t>（公章）  组织机构代码：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所在地：     市     县（市／区）  统计周期：     年     月     日  至     年     月     日</w:t>
      </w:r>
    </w:p>
    <w:tbl>
      <w:tblPr>
        <w:tblStyle w:val="6"/>
        <w:tblW w:w="13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1276"/>
        <w:gridCol w:w="2268"/>
        <w:gridCol w:w="1275"/>
        <w:gridCol w:w="1134"/>
        <w:gridCol w:w="993"/>
        <w:gridCol w:w="992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序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>
            <w:pPr>
              <w:spacing w:line="72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废物名称／描述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产生数量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（吨）</w:t>
            </w:r>
          </w:p>
        </w:tc>
        <w:tc>
          <w:tcPr>
            <w:tcW w:w="2268" w:type="dxa"/>
          </w:tcPr>
          <w:p>
            <w:pPr>
              <w:spacing w:line="72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废物流向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自行利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用数量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自行处</w:t>
            </w:r>
          </w:p>
          <w:p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置数量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委托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委托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处置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截至目前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累计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贮存量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合并</w:t>
            </w:r>
          </w:p>
        </w:tc>
        <w:tc>
          <w:tcPr>
            <w:tcW w:w="1276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32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  <w:sz w:val="32"/>
              </w:rPr>
            </w:pPr>
          </w:p>
        </w:tc>
      </w:tr>
    </w:tbl>
    <w:p>
      <w:pPr>
        <w:rPr>
          <w:rFonts w:hint="eastAsia"/>
          <w:sz w:val="22"/>
        </w:rPr>
      </w:pPr>
      <w:r>
        <w:rPr>
          <w:rFonts w:hint="eastAsia"/>
          <w:sz w:val="22"/>
        </w:rPr>
        <w:t>填写说明：1、本表适用于一般工业固体废物</w:t>
      </w:r>
      <w:r>
        <w:rPr>
          <w:rFonts w:hint="eastAsia"/>
          <w:sz w:val="22"/>
          <w:lang w:eastAsia="zh-CN"/>
        </w:rPr>
        <w:t>管理台账</w:t>
      </w:r>
      <w:r>
        <w:rPr>
          <w:rFonts w:hint="eastAsia"/>
          <w:sz w:val="22"/>
        </w:rPr>
        <w:t>制度执行单位</w:t>
      </w:r>
      <w:r>
        <w:rPr>
          <w:rFonts w:hint="eastAsia"/>
          <w:sz w:val="22"/>
          <w:lang w:eastAsia="zh-CN"/>
        </w:rPr>
        <w:t>台账</w:t>
      </w:r>
      <w:r>
        <w:rPr>
          <w:rFonts w:hint="eastAsia"/>
          <w:sz w:val="22"/>
        </w:rPr>
        <w:t>数据的上报；2、废物流向：如属自行利用／处置，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则填写自行利用处置设施名称，如属委托利用／处置，则填写委托利用／处置单位全称；3、数量单位：数量单位请按“吨”进行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填报；4、产生企业每年1月5日前向所在地县级环保部门统计上报，统计周期：分别为每年1月1日至12月31日；5、表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格电子版请在“绿色温州”网站下载，下载路径：固废管理一相关文件一关于推行全市工业固体废物</w:t>
      </w:r>
      <w:r>
        <w:rPr>
          <w:rFonts w:hint="eastAsia"/>
          <w:sz w:val="22"/>
          <w:lang w:eastAsia="zh-CN"/>
        </w:rPr>
        <w:t>管理台账</w:t>
      </w:r>
      <w:r>
        <w:rPr>
          <w:rFonts w:hint="eastAsia"/>
          <w:sz w:val="22"/>
        </w:rPr>
        <w:t>工作的通知。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填表人：</w:t>
      </w:r>
      <w:r>
        <w:rPr>
          <w:rFonts w:hint="eastAsia"/>
          <w:sz w:val="22"/>
          <w:u w:val="single"/>
        </w:rPr>
        <w:t xml:space="preserve">                                     </w:t>
      </w:r>
      <w:r>
        <w:rPr>
          <w:rFonts w:hint="eastAsia"/>
          <w:sz w:val="22"/>
        </w:rPr>
        <w:t>联系电话：</w:t>
      </w:r>
      <w:r>
        <w:rPr>
          <w:rFonts w:hint="eastAsia"/>
          <w:sz w:val="22"/>
          <w:u w:val="single"/>
        </w:rPr>
        <w:t xml:space="preserve">                                 </w:t>
      </w:r>
      <w:r>
        <w:rPr>
          <w:rFonts w:hint="eastAsia"/>
          <w:sz w:val="22"/>
        </w:rPr>
        <w:t xml:space="preserve"> 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042BF"/>
    <w:multiLevelType w:val="multilevel"/>
    <w:tmpl w:val="6A0042BF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黑体" w:hAnsi="Times New Roman" w:eastAsia="黑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NTFjYmE4OGNiNjQzZDZlYzcyYjM2NDhjNDU0M2YifQ=="/>
  </w:docVars>
  <w:rsids>
    <w:rsidRoot w:val="00A956E8"/>
    <w:rsid w:val="0004695D"/>
    <w:rsid w:val="000B4A6F"/>
    <w:rsid w:val="002C1D92"/>
    <w:rsid w:val="002F01A6"/>
    <w:rsid w:val="00450664"/>
    <w:rsid w:val="00596BF9"/>
    <w:rsid w:val="00610E7A"/>
    <w:rsid w:val="006C7600"/>
    <w:rsid w:val="00714D50"/>
    <w:rsid w:val="00737FED"/>
    <w:rsid w:val="007860D1"/>
    <w:rsid w:val="007F4BA7"/>
    <w:rsid w:val="008E3D0C"/>
    <w:rsid w:val="00974286"/>
    <w:rsid w:val="009F4C5D"/>
    <w:rsid w:val="00A956E8"/>
    <w:rsid w:val="00AC2E5B"/>
    <w:rsid w:val="00AC4373"/>
    <w:rsid w:val="00B274C6"/>
    <w:rsid w:val="00B52714"/>
    <w:rsid w:val="00B7170D"/>
    <w:rsid w:val="00DF446C"/>
    <w:rsid w:val="00ED7071"/>
    <w:rsid w:val="224E0608"/>
    <w:rsid w:val="41875C40"/>
    <w:rsid w:val="46A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envelope return"/>
    <w:basedOn w:val="1"/>
    <w:uiPriority w:val="0"/>
    <w:pPr>
      <w:snapToGrid w:val="0"/>
    </w:pPr>
    <w:rPr>
      <w:rFonts w:ascii="Arial" w:hAnsi="Arial" w:eastAsia="仿宋_GB2312"/>
      <w:sz w:val="32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447</Words>
  <Characters>2550</Characters>
  <Lines>21</Lines>
  <Paragraphs>5</Paragraphs>
  <TotalTime>1</TotalTime>
  <ScaleCrop>false</ScaleCrop>
  <LinksUpToDate>false</LinksUpToDate>
  <CharactersWithSpaces>2992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2012-02-27T01:09:00Z</dcterms:created>
  <dc:creator>hp</dc:creator>
  <cp:lastModifiedBy>Administrator</cp:lastModifiedBy>
  <cp:lastPrinted>2012-03-19T06:41:00Z</cp:lastPrinted>
  <dcterms:modified xsi:type="dcterms:W3CDTF">2023-10-30T03:03:23Z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65B0E7EAC1BF4DF4AABAE229704A88A0_12</vt:lpwstr>
  </property>
</Properties>
</file>