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line="360" w:lineRule="auto"/>
        <w:jc w:val="center"/>
        <w:rPr>
          <w:rFonts w:asci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20年</w:t>
      </w:r>
      <w:r>
        <w:rPr>
          <w:rFonts w:hint="eastAsia" w:ascii="宋体" w:hAnsi="宋体" w:cs="宋体"/>
          <w:b/>
          <w:kern w:val="0"/>
          <w:sz w:val="28"/>
          <w:szCs w:val="28"/>
          <w:lang w:val="en-US" w:eastAsia="zh-CN"/>
        </w:rPr>
        <w:t>7</w:t>
      </w:r>
      <w:r>
        <w:rPr>
          <w:rFonts w:hint="eastAsia" w:ascii="宋体" w:hAnsi="宋体" w:cs="宋体"/>
          <w:b/>
          <w:kern w:val="0"/>
          <w:sz w:val="28"/>
          <w:szCs w:val="28"/>
        </w:rPr>
        <w:t>月温州市环境空气质量月报</w:t>
      </w: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AQI</w:t>
      </w:r>
      <w:r>
        <w:rPr>
          <w:rFonts w:hint="eastAsia" w:ascii="宋体" w:hAnsi="宋体" w:cs="宋体"/>
          <w:kern w:val="0"/>
          <w:sz w:val="28"/>
          <w:szCs w:val="28"/>
        </w:rPr>
        <w:t>优良率情况</w:t>
      </w:r>
    </w:p>
    <w:tbl>
      <w:tblPr>
        <w:tblStyle w:val="5"/>
        <w:tblpPr w:leftFromText="180" w:rightFromText="180" w:vertAnchor="text"/>
        <w:tblW w:w="4936" w:type="pct"/>
        <w:tblInd w:w="0" w:type="dxa"/>
        <w:tblLayout w:type="fixed"/>
        <w:tblCellMar>
          <w:top w:w="0" w:type="dxa"/>
          <w:left w:w="0" w:type="dxa"/>
          <w:bottom w:w="0" w:type="dxa"/>
          <w:right w:w="0" w:type="dxa"/>
        </w:tblCellMar>
      </w:tblPr>
      <w:tblGrid>
        <w:gridCol w:w="710"/>
        <w:gridCol w:w="1313"/>
        <w:gridCol w:w="1398"/>
        <w:gridCol w:w="841"/>
        <w:gridCol w:w="1498"/>
        <w:gridCol w:w="774"/>
        <w:gridCol w:w="1772"/>
      </w:tblGrid>
      <w:tr>
        <w:tblPrEx>
          <w:tblCellMar>
            <w:top w:w="0" w:type="dxa"/>
            <w:left w:w="0" w:type="dxa"/>
            <w:bottom w:w="0" w:type="dxa"/>
            <w:right w:w="0" w:type="dxa"/>
          </w:tblCellMar>
        </w:tblPrEx>
        <w:trPr>
          <w:trHeight w:val="603" w:hRule="atLeast"/>
        </w:trPr>
        <w:tc>
          <w:tcPr>
            <w:tcW w:w="71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3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68"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301"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95"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w:t>
            </w:r>
            <w:r>
              <w:rPr>
                <w:rFonts w:ascii="宋体" w:hAnsi="宋体" w:cs="宋体"/>
                <w:b/>
                <w:kern w:val="0"/>
                <w:szCs w:val="21"/>
              </w:rPr>
              <w:t>(</w:t>
            </w:r>
            <w:r>
              <w:rPr>
                <w:rFonts w:hint="eastAsia" w:ascii="宋体" w:hAnsi="宋体" w:cs="宋体"/>
                <w:b/>
                <w:kern w:val="0"/>
                <w:szCs w:val="21"/>
              </w:rPr>
              <w:t>百分点</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1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3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16" w:type="dxa"/>
            <w:tcBorders>
              <w:top w:val="nil"/>
              <w:left w:val="nil"/>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hint="eastAsia" w:ascii="宋体" w:hAnsi="宋体"/>
                <w:b/>
                <w:szCs w:val="21"/>
              </w:rPr>
              <w:t>优良率</w:t>
            </w:r>
            <w:r>
              <w:rPr>
                <w:rFonts w:ascii="宋体" w:hAnsi="宋体"/>
                <w:b/>
                <w:szCs w:val="21"/>
              </w:rPr>
              <w:t>(%)</w:t>
            </w:r>
          </w:p>
        </w:tc>
        <w:tc>
          <w:tcPr>
            <w:tcW w:w="852"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b/>
                <w:szCs w:val="21"/>
              </w:rPr>
            </w:pPr>
            <w:r>
              <w:rPr>
                <w:rFonts w:hint="eastAsia" w:ascii="宋体" w:hAnsi="宋体"/>
                <w:b/>
                <w:szCs w:val="21"/>
              </w:rPr>
              <w:t>排名</w:t>
            </w:r>
          </w:p>
        </w:tc>
        <w:tc>
          <w:tcPr>
            <w:tcW w:w="1517" w:type="dxa"/>
            <w:tcBorders>
              <w:top w:val="nil"/>
              <w:left w:val="single" w:color="auto" w:sz="4" w:space="0"/>
              <w:bottom w:val="single" w:color="auto" w:sz="8" w:space="0"/>
              <w:right w:val="single" w:color="auto" w:sz="4" w:space="0"/>
            </w:tcBorders>
            <w:tcMar>
              <w:top w:w="0" w:type="dxa"/>
              <w:left w:w="0" w:type="dxa"/>
              <w:bottom w:w="0" w:type="dxa"/>
              <w:right w:w="0" w:type="dxa"/>
            </w:tcMar>
            <w:vAlign w:val="center"/>
          </w:tcPr>
          <w:p>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hint="eastAsia" w:ascii="宋体" w:hAnsi="宋体"/>
                <w:b/>
                <w:szCs w:val="21"/>
              </w:rPr>
              <w:t>优良率</w:t>
            </w:r>
            <w:r>
              <w:rPr>
                <w:rFonts w:ascii="宋体" w:hAnsi="宋体" w:cs="宋体"/>
                <w:b/>
                <w:kern w:val="0"/>
                <w:szCs w:val="21"/>
              </w:rPr>
              <w:t>(%)</w:t>
            </w:r>
          </w:p>
        </w:tc>
        <w:tc>
          <w:tcPr>
            <w:tcW w:w="784"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795"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鹿城区</w:t>
            </w:r>
          </w:p>
        </w:tc>
        <w:tc>
          <w:tcPr>
            <w:tcW w:w="1416" w:type="dxa"/>
            <w:tcBorders>
              <w:top w:val="nil"/>
              <w:left w:val="nil"/>
              <w:bottom w:val="single" w:color="000000" w:sz="8" w:space="0"/>
              <w:right w:val="single" w:color="auto" w:sz="4" w:space="0"/>
            </w:tcBorders>
            <w:vAlign w:val="center"/>
          </w:tcPr>
          <w:p>
            <w:pPr>
              <w:jc w:val="center"/>
              <w:rPr>
                <w:rFonts w:hint="eastAsia"/>
                <w:szCs w:val="21"/>
              </w:rPr>
            </w:pPr>
            <w:r>
              <w:rPr>
                <w:rFonts w:hint="eastAsia"/>
                <w:sz w:val="21"/>
                <w:szCs w:val="21"/>
              </w:rPr>
              <w:t xml:space="preserve">93.5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-6.5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龙湾区</w:t>
            </w:r>
          </w:p>
        </w:tc>
        <w:tc>
          <w:tcPr>
            <w:tcW w:w="1416" w:type="dxa"/>
            <w:tcBorders>
              <w:top w:val="nil"/>
              <w:left w:val="nil"/>
              <w:bottom w:val="single" w:color="000000" w:sz="8" w:space="0"/>
              <w:right w:val="single" w:color="auto" w:sz="4" w:space="0"/>
            </w:tcBorders>
            <w:vAlign w:val="center"/>
          </w:tcPr>
          <w:p>
            <w:pPr>
              <w:jc w:val="center"/>
              <w:rPr>
                <w:rFonts w:hint="eastAsia"/>
                <w:szCs w:val="21"/>
              </w:rPr>
            </w:pPr>
            <w:r>
              <w:rPr>
                <w:rFonts w:hint="eastAsia"/>
                <w:sz w:val="21"/>
                <w:szCs w:val="21"/>
              </w:rPr>
              <w:t xml:space="preserve">100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瓯海区</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 xml:space="preserve">88.5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12</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-11.5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洞头区</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乐清市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瑞安市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100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永嘉县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平阳县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苍南县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 xml:space="preserve">100 </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龙港市</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100 </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文成县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3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泰顺县</w:t>
            </w:r>
          </w:p>
        </w:tc>
        <w:tc>
          <w:tcPr>
            <w:tcW w:w="1416" w:type="dxa"/>
            <w:tcBorders>
              <w:top w:val="nil"/>
              <w:left w:val="nil"/>
              <w:bottom w:val="single" w:color="000000" w:sz="8" w:space="0"/>
              <w:right w:val="single" w:color="auto" w:sz="4" w:space="0"/>
            </w:tcBorders>
            <w:vAlign w:val="center"/>
          </w:tcPr>
          <w:p>
            <w:pPr>
              <w:jc w:val="center"/>
              <w:rPr>
                <w:rFonts w:hint="eastAsia"/>
                <w:szCs w:val="21"/>
                <w:lang w:val="en-US" w:eastAsia="zh-CN"/>
              </w:rPr>
            </w:pPr>
            <w:r>
              <w:rPr>
                <w:rFonts w:hint="eastAsia"/>
                <w:sz w:val="21"/>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 w:val="21"/>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 w:val="21"/>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0 </w:t>
            </w:r>
          </w:p>
        </w:tc>
      </w:tr>
      <w:tr>
        <w:tblPrEx>
          <w:tblCellMar>
            <w:top w:w="0" w:type="dxa"/>
            <w:left w:w="0" w:type="dxa"/>
            <w:bottom w:w="0" w:type="dxa"/>
            <w:right w:w="0" w:type="dxa"/>
          </w:tblCellMar>
        </w:tblPrEx>
        <w:trPr>
          <w:trHeight w:val="300" w:hRule="atLeast"/>
        </w:trPr>
        <w:tc>
          <w:tcPr>
            <w:tcW w:w="71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30" w:type="dxa"/>
            <w:tcBorders>
              <w:top w:val="nil"/>
              <w:left w:val="nil"/>
              <w:bottom w:val="single" w:color="auto" w:sz="12" w:space="0"/>
              <w:right w:val="single" w:color="auto" w:sz="8" w:space="0"/>
            </w:tcBorders>
            <w:vAlign w:val="center"/>
          </w:tcPr>
          <w:p>
            <w:pPr>
              <w:jc w:val="center"/>
              <w:rPr>
                <w:rFonts w:hint="eastAsia"/>
                <w:szCs w:val="21"/>
              </w:rPr>
            </w:pPr>
            <w:r>
              <w:rPr>
                <w:rFonts w:hint="eastAsia"/>
                <w:szCs w:val="21"/>
              </w:rPr>
              <w:t>全市均值</w:t>
            </w:r>
          </w:p>
        </w:tc>
        <w:tc>
          <w:tcPr>
            <w:tcW w:w="1416" w:type="dxa"/>
            <w:tcBorders>
              <w:top w:val="nil"/>
              <w:left w:val="nil"/>
              <w:bottom w:val="single" w:color="auto" w:sz="12" w:space="0"/>
              <w:right w:val="single" w:color="auto" w:sz="4" w:space="0"/>
            </w:tcBorders>
            <w:vAlign w:val="center"/>
          </w:tcPr>
          <w:p>
            <w:pPr>
              <w:jc w:val="center"/>
              <w:rPr>
                <w:rFonts w:hint="eastAsia"/>
                <w:szCs w:val="21"/>
              </w:rPr>
            </w:pPr>
            <w:r>
              <w:rPr>
                <w:rFonts w:hint="eastAsia"/>
                <w:sz w:val="21"/>
                <w:szCs w:val="21"/>
              </w:rPr>
              <w:t xml:space="preserve">98.5 </w:t>
            </w:r>
          </w:p>
        </w:tc>
        <w:tc>
          <w:tcPr>
            <w:tcW w:w="852" w:type="dxa"/>
            <w:tcBorders>
              <w:top w:val="nil"/>
              <w:left w:val="single" w:color="auto" w:sz="4" w:space="0"/>
              <w:bottom w:val="single" w:color="auto" w:sz="12" w:space="0"/>
              <w:right w:val="single" w:color="000000" w:sz="8" w:space="0"/>
            </w:tcBorders>
            <w:vAlign w:val="center"/>
          </w:tcPr>
          <w:p>
            <w:pPr>
              <w:jc w:val="center"/>
              <w:rPr>
                <w:rFonts w:hint="eastAsia"/>
                <w:szCs w:val="21"/>
              </w:rPr>
            </w:pPr>
            <w:r>
              <w:rPr>
                <w:rFonts w:hint="eastAsia"/>
                <w:sz w:val="21"/>
                <w:szCs w:val="21"/>
              </w:rPr>
              <w:t>-</w:t>
            </w:r>
          </w:p>
        </w:tc>
        <w:tc>
          <w:tcPr>
            <w:tcW w:w="151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 w:val="21"/>
                <w:szCs w:val="21"/>
              </w:rPr>
              <w:t>100</w:t>
            </w:r>
          </w:p>
        </w:tc>
        <w:tc>
          <w:tcPr>
            <w:tcW w:w="784" w:type="dxa"/>
            <w:tcBorders>
              <w:top w:val="nil"/>
              <w:left w:val="single" w:color="auto" w:sz="4" w:space="0"/>
              <w:bottom w:val="single" w:color="auto" w:sz="12" w:space="0"/>
              <w:right w:val="single" w:color="auto" w:sz="8" w:space="0"/>
            </w:tcBorders>
            <w:vAlign w:val="center"/>
          </w:tcPr>
          <w:p>
            <w:pPr>
              <w:jc w:val="center"/>
              <w:rPr>
                <w:rFonts w:hint="eastAsia"/>
                <w:szCs w:val="21"/>
              </w:rPr>
            </w:pPr>
            <w:r>
              <w:rPr>
                <w:rFonts w:hint="eastAsia"/>
                <w:sz w:val="21"/>
                <w:szCs w:val="21"/>
              </w:rPr>
              <w:t>-</w:t>
            </w:r>
          </w:p>
        </w:tc>
        <w:tc>
          <w:tcPr>
            <w:tcW w:w="1795" w:type="dxa"/>
            <w:tcBorders>
              <w:top w:val="nil"/>
              <w:left w:val="nil"/>
              <w:bottom w:val="single" w:color="auto" w:sz="12" w:space="0"/>
            </w:tcBorders>
            <w:tcMar>
              <w:top w:w="0" w:type="dxa"/>
              <w:left w:w="108" w:type="dxa"/>
              <w:bottom w:w="0" w:type="dxa"/>
              <w:right w:w="108" w:type="dxa"/>
            </w:tcMar>
            <w:vAlign w:val="center"/>
          </w:tcPr>
          <w:p>
            <w:pPr>
              <w:jc w:val="center"/>
              <w:rPr>
                <w:rFonts w:hint="eastAsia"/>
                <w:szCs w:val="21"/>
              </w:rPr>
            </w:pPr>
            <w:r>
              <w:rPr>
                <w:rFonts w:hint="eastAsia"/>
                <w:sz w:val="21"/>
                <w:szCs w:val="21"/>
              </w:rPr>
              <w:t xml:space="preserve">-1.5 </w:t>
            </w:r>
          </w:p>
        </w:tc>
      </w:tr>
    </w:tbl>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hint="eastAsia" w:ascii="宋体" w:hAnsi="宋体" w:cs="宋体"/>
          <w:kern w:val="0"/>
          <w:sz w:val="28"/>
          <w:szCs w:val="28"/>
        </w:rPr>
        <w:t>浓度情况</w:t>
      </w:r>
    </w:p>
    <w:tbl>
      <w:tblPr>
        <w:tblStyle w:val="5"/>
        <w:tblpPr w:leftFromText="180" w:rightFromText="180" w:vertAnchor="text"/>
        <w:tblW w:w="8290" w:type="dxa"/>
        <w:tblInd w:w="0" w:type="dxa"/>
        <w:tblLayout w:type="fixed"/>
        <w:tblCellMar>
          <w:top w:w="0" w:type="dxa"/>
          <w:left w:w="0" w:type="dxa"/>
          <w:bottom w:w="0" w:type="dxa"/>
          <w:right w:w="0" w:type="dxa"/>
        </w:tblCellMar>
      </w:tblPr>
      <w:tblGrid>
        <w:gridCol w:w="709"/>
        <w:gridCol w:w="1310"/>
        <w:gridCol w:w="1439"/>
        <w:gridCol w:w="795"/>
        <w:gridCol w:w="1567"/>
        <w:gridCol w:w="701"/>
        <w:gridCol w:w="1769"/>
      </w:tblGrid>
      <w:tr>
        <w:tblPrEx>
          <w:tblCellMar>
            <w:top w:w="0" w:type="dxa"/>
            <w:left w:w="0" w:type="dxa"/>
            <w:bottom w:w="0" w:type="dxa"/>
            <w:right w:w="0" w:type="dxa"/>
          </w:tblCellMar>
        </w:tblPrEx>
        <w:trPr>
          <w:trHeight w:val="603" w:hRule="atLeast"/>
        </w:trPr>
        <w:tc>
          <w:tcPr>
            <w:tcW w:w="70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1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34"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268"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与上年同期变化率</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0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1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95"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567"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01"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ind w:right="-13" w:rightChars="-6"/>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鹿城区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10</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19</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15.8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龙湾区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21</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18</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16.7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瓯海区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21</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23.8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洞头区</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11</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13</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-15.4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乐清市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19</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16</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18.8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瑞安市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17</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4</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16</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6.3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永嘉县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10</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18</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22.2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平阳县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20</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7</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17</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17.6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苍南县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20</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7</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17</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17.6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龙港市</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19</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16</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18.8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文成县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14</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14.3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10" w:type="dxa"/>
            <w:tcBorders>
              <w:top w:val="nil"/>
              <w:left w:val="nil"/>
              <w:bottom w:val="single" w:color="auto" w:sz="8" w:space="0"/>
              <w:right w:val="single" w:color="auto" w:sz="8" w:space="0"/>
            </w:tcBorders>
            <w:vAlign w:val="center"/>
          </w:tcPr>
          <w:p>
            <w:pPr>
              <w:jc w:val="center"/>
              <w:rPr>
                <w:rFonts w:hint="eastAsia"/>
                <w:szCs w:val="21"/>
              </w:rPr>
            </w:pPr>
            <w:r>
              <w:rPr>
                <w:rFonts w:hint="eastAsia"/>
                <w:szCs w:val="21"/>
              </w:rPr>
              <w:t>泰顺县</w:t>
            </w:r>
          </w:p>
        </w:tc>
        <w:tc>
          <w:tcPr>
            <w:tcW w:w="1439" w:type="dxa"/>
            <w:tcBorders>
              <w:top w:val="nil"/>
              <w:left w:val="nil"/>
              <w:bottom w:val="single" w:color="000000" w:sz="8" w:space="0"/>
              <w:right w:val="single" w:color="auto" w:sz="4" w:space="0"/>
            </w:tcBorders>
            <w:vAlign w:val="center"/>
          </w:tcPr>
          <w:p>
            <w:pPr>
              <w:jc w:val="center"/>
              <w:rPr>
                <w:rFonts w:hint="eastAsia"/>
                <w:szCs w:val="21"/>
              </w:rPr>
            </w:pPr>
            <w:r>
              <w:rPr>
                <w:rFonts w:hint="eastAsia"/>
                <w:szCs w:val="21"/>
              </w:rPr>
              <w:t>16</w:t>
            </w:r>
          </w:p>
        </w:tc>
        <w:tc>
          <w:tcPr>
            <w:tcW w:w="795" w:type="dxa"/>
            <w:tcBorders>
              <w:top w:val="nil"/>
              <w:left w:val="single" w:color="auto" w:sz="4" w:space="0"/>
              <w:bottom w:val="single" w:color="000000" w:sz="8" w:space="0"/>
              <w:right w:val="single" w:color="000000" w:sz="8" w:space="0"/>
            </w:tcBorders>
            <w:vAlign w:val="center"/>
          </w:tcPr>
          <w:p>
            <w:pPr>
              <w:jc w:val="center"/>
              <w:rPr>
                <w:rFonts w:hint="eastAsia"/>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12</w:t>
            </w:r>
          </w:p>
        </w:tc>
        <w:tc>
          <w:tcPr>
            <w:tcW w:w="701" w:type="dxa"/>
            <w:tcBorders>
              <w:top w:val="nil"/>
              <w:left w:val="single" w:color="auto" w:sz="4" w:space="0"/>
              <w:bottom w:val="single" w:color="auto" w:sz="8" w:space="0"/>
              <w:right w:val="single" w:color="auto" w:sz="8" w:space="0"/>
            </w:tcBorders>
            <w:vAlign w:val="center"/>
          </w:tcPr>
          <w:p>
            <w:pPr>
              <w:jc w:val="center"/>
              <w:rPr>
                <w:rFonts w:hint="eastAsia"/>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33.3 </w:t>
            </w:r>
          </w:p>
        </w:tc>
      </w:tr>
      <w:tr>
        <w:tblPrEx>
          <w:tblCellMar>
            <w:top w:w="0" w:type="dxa"/>
            <w:left w:w="0" w:type="dxa"/>
            <w:bottom w:w="0" w:type="dxa"/>
            <w:right w:w="0" w:type="dxa"/>
          </w:tblCellMar>
        </w:tblPrEx>
        <w:trPr>
          <w:trHeight w:val="300" w:hRule="atLeast"/>
        </w:trPr>
        <w:tc>
          <w:tcPr>
            <w:tcW w:w="70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10" w:type="dxa"/>
            <w:tcBorders>
              <w:top w:val="nil"/>
              <w:left w:val="nil"/>
              <w:bottom w:val="single" w:color="auto" w:sz="12" w:space="0"/>
              <w:right w:val="single" w:color="auto" w:sz="8" w:space="0"/>
            </w:tcBorders>
            <w:vAlign w:val="center"/>
          </w:tcPr>
          <w:p>
            <w:pPr>
              <w:jc w:val="center"/>
              <w:rPr>
                <w:rFonts w:hint="eastAsia"/>
                <w:szCs w:val="21"/>
              </w:rPr>
            </w:pPr>
            <w:r>
              <w:rPr>
                <w:rFonts w:hint="eastAsia"/>
                <w:szCs w:val="21"/>
              </w:rPr>
              <w:t>全市均值</w:t>
            </w:r>
          </w:p>
        </w:tc>
        <w:tc>
          <w:tcPr>
            <w:tcW w:w="1439" w:type="dxa"/>
            <w:tcBorders>
              <w:top w:val="nil"/>
              <w:left w:val="nil"/>
              <w:bottom w:val="single" w:color="auto" w:sz="12" w:space="0"/>
              <w:right w:val="single" w:color="auto" w:sz="4" w:space="0"/>
            </w:tcBorders>
            <w:vAlign w:val="center"/>
          </w:tcPr>
          <w:p>
            <w:pPr>
              <w:jc w:val="center"/>
              <w:rPr>
                <w:rFonts w:hint="eastAsia"/>
                <w:szCs w:val="21"/>
              </w:rPr>
            </w:pPr>
            <w:r>
              <w:rPr>
                <w:rFonts w:hint="eastAsia"/>
                <w:szCs w:val="21"/>
              </w:rPr>
              <w:t>19</w:t>
            </w:r>
          </w:p>
        </w:tc>
        <w:tc>
          <w:tcPr>
            <w:tcW w:w="795" w:type="dxa"/>
            <w:tcBorders>
              <w:top w:val="nil"/>
              <w:left w:val="single" w:color="auto" w:sz="4" w:space="0"/>
              <w:bottom w:val="single" w:color="auto" w:sz="12" w:space="0"/>
              <w:right w:val="single" w:color="000000" w:sz="8" w:space="0"/>
            </w:tcBorders>
            <w:vAlign w:val="center"/>
          </w:tcPr>
          <w:p>
            <w:pPr>
              <w:jc w:val="center"/>
              <w:rPr>
                <w:rFonts w:hint="eastAsia"/>
                <w:szCs w:val="21"/>
              </w:rPr>
            </w:pPr>
            <w:r>
              <w:rPr>
                <w:rFonts w:hint="eastAsia"/>
                <w:szCs w:val="21"/>
              </w:rPr>
              <w:t>-</w:t>
            </w:r>
          </w:p>
        </w:tc>
        <w:tc>
          <w:tcPr>
            <w:tcW w:w="156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hint="eastAsia"/>
                <w:szCs w:val="21"/>
              </w:rPr>
            </w:pPr>
            <w:r>
              <w:rPr>
                <w:rFonts w:hint="eastAsia"/>
                <w:szCs w:val="21"/>
              </w:rPr>
              <w:t>16</w:t>
            </w:r>
          </w:p>
        </w:tc>
        <w:tc>
          <w:tcPr>
            <w:tcW w:w="701" w:type="dxa"/>
            <w:tcBorders>
              <w:top w:val="nil"/>
              <w:left w:val="single" w:color="auto" w:sz="4" w:space="0"/>
              <w:bottom w:val="single" w:color="auto" w:sz="12" w:space="0"/>
              <w:right w:val="single" w:color="auto" w:sz="8" w:space="0"/>
            </w:tcBorders>
            <w:vAlign w:val="center"/>
          </w:tcPr>
          <w:p>
            <w:pPr>
              <w:jc w:val="center"/>
              <w:rPr>
                <w:rFonts w:hint="eastAsia"/>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rFonts w:hint="eastAsia"/>
                <w:szCs w:val="21"/>
              </w:rPr>
            </w:pPr>
            <w:r>
              <w:rPr>
                <w:rFonts w:hint="eastAsia"/>
                <w:szCs w:val="21"/>
              </w:rPr>
              <w:t xml:space="preserve">18.8 </w:t>
            </w:r>
          </w:p>
        </w:tc>
      </w:tr>
    </w:tbl>
    <w:p>
      <w:r>
        <w:rPr>
          <w:rFonts w:hint="eastAsia" w:ascii="仿宋_GB2312" w:hAnsi="仿宋_GB2312" w:eastAsia="仿宋_GB2312" w:cs="仿宋_GB2312"/>
          <w:b/>
          <w:kern w:val="0"/>
          <w:szCs w:val="21"/>
        </w:rPr>
        <w:t>注：以上数据根据浙江省区域大气环境数据管理应用系统发布的信息统计所得，统计时间为20</w:t>
      </w:r>
      <w:r>
        <w:rPr>
          <w:rFonts w:ascii="仿宋_GB2312" w:hAnsi="仿宋_GB2312" w:eastAsia="仿宋_GB2312" w:cs="仿宋_GB2312"/>
          <w:b/>
          <w:kern w:val="0"/>
          <w:szCs w:val="21"/>
        </w:rPr>
        <w:t>20</w:t>
      </w:r>
      <w:r>
        <w:rPr>
          <w:rFonts w:hint="eastAsia" w:ascii="仿宋_GB2312" w:hAnsi="仿宋_GB2312" w:eastAsia="仿宋_GB2312" w:cs="仿宋_GB2312"/>
          <w:b/>
          <w:kern w:val="0"/>
          <w:szCs w:val="21"/>
        </w:rPr>
        <w:t>年</w:t>
      </w:r>
      <w:r>
        <w:rPr>
          <w:rFonts w:hint="eastAsia" w:ascii="仿宋_GB2312" w:hAnsi="仿宋_GB2312" w:eastAsia="仿宋_GB2312" w:cs="仿宋_GB2312"/>
          <w:b/>
          <w:kern w:val="0"/>
          <w:szCs w:val="21"/>
          <w:lang w:val="en-US" w:eastAsia="zh-CN"/>
        </w:rPr>
        <w:t>8</w:t>
      </w:r>
      <w:r>
        <w:rPr>
          <w:rFonts w:hint="eastAsia" w:ascii="仿宋_GB2312" w:hAnsi="仿宋_GB2312" w:eastAsia="仿宋_GB2312" w:cs="仿宋_GB2312"/>
          <w:b/>
          <w:kern w:val="0"/>
          <w:szCs w:val="21"/>
        </w:rPr>
        <w:t>月</w:t>
      </w:r>
      <w:r>
        <w:rPr>
          <w:rFonts w:hint="eastAsia" w:ascii="仿宋_GB2312" w:hAnsi="仿宋_GB2312" w:eastAsia="仿宋_GB2312" w:cs="仿宋_GB2312"/>
          <w:b/>
          <w:kern w:val="0"/>
          <w:szCs w:val="21"/>
          <w:lang w:val="en-US" w:eastAsia="zh-CN"/>
        </w:rPr>
        <w:t>6</w:t>
      </w:r>
      <w:bookmarkStart w:id="0" w:name="_GoBack"/>
      <w:bookmarkEnd w:id="0"/>
      <w:r>
        <w:rPr>
          <w:rFonts w:hint="eastAsia" w:ascii="仿宋_GB2312" w:hAnsi="仿宋_GB2312" w:eastAsia="仿宋_GB2312" w:cs="仿宋_GB2312"/>
          <w:b/>
          <w:kern w:val="0"/>
          <w:szCs w:val="21"/>
        </w:rPr>
        <w:t>日；环境空气污染物浓度按《关于发布&lt;环境空气质量标准&gt;（GB3095-2012）修改单的公告》（生态环境部公告2018年第29号）规定的状态进行折算。</w:t>
      </w:r>
    </w:p>
    <w:sectPr>
      <w:pgSz w:w="11906" w:h="16838"/>
      <w:pgMar w:top="1134"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E7240"/>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A2C39"/>
    <w:rsid w:val="004B1D92"/>
    <w:rsid w:val="004B3C1C"/>
    <w:rsid w:val="004B61AC"/>
    <w:rsid w:val="004C33D1"/>
    <w:rsid w:val="004C52D4"/>
    <w:rsid w:val="004C5473"/>
    <w:rsid w:val="00514409"/>
    <w:rsid w:val="00544534"/>
    <w:rsid w:val="0056032B"/>
    <w:rsid w:val="0056530C"/>
    <w:rsid w:val="00571D8E"/>
    <w:rsid w:val="005925D5"/>
    <w:rsid w:val="005C1A6A"/>
    <w:rsid w:val="005D2B00"/>
    <w:rsid w:val="006006FB"/>
    <w:rsid w:val="00612B70"/>
    <w:rsid w:val="00612FDA"/>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0E50"/>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3FB6291"/>
    <w:rsid w:val="048533DC"/>
    <w:rsid w:val="05BD6472"/>
    <w:rsid w:val="05DC2BFA"/>
    <w:rsid w:val="06912921"/>
    <w:rsid w:val="06D17D1D"/>
    <w:rsid w:val="073D1B16"/>
    <w:rsid w:val="08750733"/>
    <w:rsid w:val="088D1957"/>
    <w:rsid w:val="0A2B4F38"/>
    <w:rsid w:val="0AD46E60"/>
    <w:rsid w:val="0D781FD3"/>
    <w:rsid w:val="0EF50E33"/>
    <w:rsid w:val="11B76D0A"/>
    <w:rsid w:val="132E61E2"/>
    <w:rsid w:val="135134F2"/>
    <w:rsid w:val="13FA41EA"/>
    <w:rsid w:val="154A6A05"/>
    <w:rsid w:val="157F7F12"/>
    <w:rsid w:val="162A323F"/>
    <w:rsid w:val="16543B9B"/>
    <w:rsid w:val="17016D3F"/>
    <w:rsid w:val="17363B27"/>
    <w:rsid w:val="174E5FF9"/>
    <w:rsid w:val="19CF1F73"/>
    <w:rsid w:val="1D0200E5"/>
    <w:rsid w:val="1D471FA2"/>
    <w:rsid w:val="1DE117BD"/>
    <w:rsid w:val="21F17327"/>
    <w:rsid w:val="22E1737C"/>
    <w:rsid w:val="24C10F23"/>
    <w:rsid w:val="25D96C84"/>
    <w:rsid w:val="264622D6"/>
    <w:rsid w:val="265E1C41"/>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2597841"/>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2125872"/>
    <w:rsid w:val="643C7ACA"/>
    <w:rsid w:val="64BE3BDE"/>
    <w:rsid w:val="65D20B79"/>
    <w:rsid w:val="660323A2"/>
    <w:rsid w:val="674D3808"/>
    <w:rsid w:val="679D7864"/>
    <w:rsid w:val="6A0D50FE"/>
    <w:rsid w:val="6A1B2028"/>
    <w:rsid w:val="6A7F067C"/>
    <w:rsid w:val="6AEA5C59"/>
    <w:rsid w:val="6CE72D78"/>
    <w:rsid w:val="6E740C81"/>
    <w:rsid w:val="6F677C78"/>
    <w:rsid w:val="71573460"/>
    <w:rsid w:val="719C1409"/>
    <w:rsid w:val="71CB4DC6"/>
    <w:rsid w:val="738B21BF"/>
    <w:rsid w:val="750B55EE"/>
    <w:rsid w:val="75986F83"/>
    <w:rsid w:val="76FC10C2"/>
    <w:rsid w:val="77167D85"/>
    <w:rsid w:val="787817FC"/>
    <w:rsid w:val="7B4354C4"/>
    <w:rsid w:val="7BDB407D"/>
    <w:rsid w:val="7E1F4C0C"/>
    <w:rsid w:val="7E404DB2"/>
    <w:rsid w:val="7E6D6136"/>
    <w:rsid w:val="7F2026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semiHidden/>
    <w:qFormat/>
    <w:locked/>
    <w:uiPriority w:val="99"/>
    <w:rPr>
      <w:rFonts w:ascii="Times New Roman" w:hAnsi="Times New Roman" w:eastAsia="宋体" w:cs="Times New Roman"/>
      <w:sz w:val="18"/>
      <w:szCs w:val="18"/>
    </w:rPr>
  </w:style>
  <w:style w:type="character" w:customStyle="1" w:styleId="9">
    <w:name w:val="批注框文本 Char"/>
    <w:basedOn w:val="6"/>
    <w:link w:val="2"/>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451</Words>
  <Characters>503</Characters>
  <Lines>4</Lines>
  <Paragraphs>1</Paragraphs>
  <TotalTime>0</TotalTime>
  <ScaleCrop>false</ScaleCrop>
  <LinksUpToDate>false</LinksUpToDate>
  <CharactersWithSpaces>953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2020-03-10T01:27:00Z</dcterms:created>
  <dc:creator>AutoBVT</dc:creator>
  <cp:lastModifiedBy>叶培春</cp:lastModifiedBy>
  <cp:lastPrinted>2020-05-12T07:26:00Z</cp:lastPrinted>
  <dcterms:modified xsi:type="dcterms:W3CDTF">2020-08-11T06:52:44Z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