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温环建﹝2021﹞0</w:t>
      </w:r>
      <w:r>
        <w:rPr>
          <w:rFonts w:hint="eastAsia" w:ascii="宋体" w:hAnsi="宋体" w:cs="宋体"/>
          <w:sz w:val="32"/>
          <w:lang w:val="en-US" w:eastAsia="zh-CN"/>
        </w:rPr>
        <w:t>63</w:t>
      </w:r>
      <w:r>
        <w:rPr>
          <w:rFonts w:hint="eastAsia" w:ascii="宋体" w:hAnsi="宋体" w:cs="宋体"/>
          <w:sz w:val="32"/>
        </w:rPr>
        <w:t>号</w:t>
      </w:r>
    </w:p>
    <w:p>
      <w:pPr>
        <w:pStyle w:val="3"/>
        <w:spacing w:line="560" w:lineRule="exact"/>
        <w:ind w:firstLine="0" w:firstLineChars="0"/>
        <w:rPr>
          <w:rFonts w:ascii="仿宋_GB2312" w:hAnsi="宋体" w:eastAsia="仿宋_GB2312"/>
          <w:b/>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关于浙江环通电子科技有限公司年产300万套低压电器、200万套浮球阀建设项目环境影响报告表审批意见的函</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top"/>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bookmarkStart w:id="0" w:name="Body"/>
      <w:bookmarkEnd w:id="0"/>
      <w:r>
        <w:rPr>
          <w:rFonts w:hint="eastAsia" w:ascii="仿宋_GB2312" w:hAnsi="仿宋_GB2312" w:eastAsia="仿宋_GB2312" w:cs="仿宋_GB2312"/>
          <w:sz w:val="32"/>
          <w:szCs w:val="32"/>
          <w:lang w:eastAsia="zh-CN"/>
        </w:rPr>
        <w:t>浙江环通电子科技有限公司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浙江睿城环境科技有限公司编制</w:t>
      </w:r>
      <w:r>
        <w:rPr>
          <w:rFonts w:hint="eastAsia" w:ascii="仿宋_GB2312" w:hAnsi="仿宋_GB2312" w:eastAsia="仿宋_GB2312" w:cs="仿宋_GB2312"/>
          <w:sz w:val="32"/>
          <w:szCs w:val="32"/>
        </w:rPr>
        <w:t>的《浙江环通电子科技有限公司年产300万套低压电器、200万套浮球阀建设项目环境影响报告表》(报批稿)收悉。我局按照建设项目环境管理有关规定对该项目环评文件进行审查并公示，现将审批意见函告如下：</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二、项目位于温州瓯江口产业集聚区灵昆街道雁云路706号温州文博科技产业园15幢101室，</w:t>
      </w:r>
      <w:r>
        <w:rPr>
          <w:rFonts w:hint="eastAsia" w:ascii="仿宋_GB2312" w:hAnsi="仿宋_GB2312" w:eastAsia="仿宋_GB2312" w:cs="仿宋_GB2312"/>
          <w:sz w:val="32"/>
          <w:szCs w:val="32"/>
          <w:lang w:eastAsia="zh-CN"/>
        </w:rPr>
        <w:t>总建筑面积3644.64</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rPr>
        <w:t>万元，拟</w:t>
      </w:r>
      <w:r>
        <w:rPr>
          <w:rFonts w:hint="eastAsia" w:ascii="仿宋_GB2312" w:hAnsi="仿宋_GB2312" w:eastAsia="仿宋_GB2312" w:cs="仿宋_GB2312"/>
          <w:sz w:val="32"/>
          <w:szCs w:val="32"/>
          <w:lang w:eastAsia="zh-CN"/>
        </w:rPr>
        <w:t>建年产300万套低压电器、200万套浮球阀</w:t>
      </w:r>
      <w:r>
        <w:rPr>
          <w:rFonts w:hint="eastAsia" w:ascii="仿宋_GB2312" w:hAnsi="仿宋_GB2312" w:eastAsia="仿宋_GB2312" w:cs="仿宋_GB2312"/>
          <w:sz w:val="32"/>
          <w:szCs w:val="32"/>
          <w:lang w:val="en-US" w:eastAsia="zh-CN"/>
        </w:rPr>
        <w:t>的生产规模</w:t>
      </w:r>
      <w:r>
        <w:rPr>
          <w:rFonts w:hint="eastAsia" w:ascii="仿宋_GB2312" w:hAnsi="仿宋_GB2312" w:eastAsia="仿宋_GB2312" w:cs="仿宋_GB2312"/>
          <w:sz w:val="32"/>
          <w:szCs w:val="32"/>
        </w:rPr>
        <w:t>。具体建设内容见项目环评报告表。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三、本项目</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rPr>
        <w:t>的废水为</w:t>
      </w:r>
      <w:r>
        <w:rPr>
          <w:rFonts w:hint="eastAsia" w:ascii="仿宋_GB2312" w:hAnsi="仿宋_GB2312" w:eastAsia="仿宋_GB2312" w:cs="仿宋_GB2312"/>
          <w:sz w:val="32"/>
          <w:szCs w:val="32"/>
          <w:lang w:eastAsia="zh-CN"/>
        </w:rPr>
        <w:t>注塑机间接冷却水和生活污水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注塑机间接冷却水循环使用</w:t>
      </w:r>
      <w:r>
        <w:rPr>
          <w:rFonts w:hint="eastAsia" w:ascii="仿宋_GB2312" w:hAnsi="仿宋_GB2312" w:eastAsia="仿宋_GB2312" w:cs="仿宋_GB2312"/>
          <w:sz w:val="32"/>
          <w:szCs w:val="32"/>
        </w:rPr>
        <w:t>，不外排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生活污水经化粪池处理达到《污水综合排放标准》（GB8978-1996）三级标准后纳入市政污水管网，至瓯江口新区西片污水处理厂处理达一级A标准后排放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四、本项目</w:t>
      </w:r>
      <w:r>
        <w:rPr>
          <w:rFonts w:hint="eastAsia" w:ascii="仿宋_GB2312" w:hAnsi="仿宋_GB2312" w:eastAsia="仿宋_GB2312" w:cs="仿宋_GB2312"/>
          <w:sz w:val="32"/>
          <w:szCs w:val="32"/>
          <w:lang w:eastAsia="zh-CN"/>
        </w:rPr>
        <w:t>产生的废气为拌料粉尘、破碎粉尘和注塑废气。加强车间通风换气措施；注塑废气经收集后通过UV光催化氧化+活性炭吸附处理后引至楼顶高空排放（25m排气筒）。项目废气排放执行《合成树脂工业污染物排放标准》（GB31572-2015）中表5特别排放限值和表9规定的限值；恶臭污染物执行《恶臭污染物排放标准》（GB14554-93）新改扩建二级排放标准；厂区内</w:t>
      </w:r>
      <w:r>
        <w:rPr>
          <w:rFonts w:hint="eastAsia" w:ascii="仿宋_GB2312" w:hAnsi="仿宋_GB2312" w:eastAsia="仿宋_GB2312" w:cs="仿宋_GB2312"/>
          <w:sz w:val="32"/>
          <w:szCs w:val="32"/>
          <w:lang w:val="en-US" w:eastAsia="zh-CN"/>
        </w:rPr>
        <w:t>挥发性有机物</w:t>
      </w:r>
      <w:r>
        <w:rPr>
          <w:rFonts w:hint="eastAsia" w:ascii="仿宋_GB2312" w:hAnsi="仿宋_GB2312" w:eastAsia="仿宋_GB2312" w:cs="仿宋_GB2312"/>
          <w:sz w:val="32"/>
          <w:szCs w:val="32"/>
          <w:lang w:eastAsia="zh-CN"/>
        </w:rPr>
        <w:t>无组织排放监控点浓度执行《挥发性有机物无组织排放控制标准》（GB 37822-2019）表A.1中的特别排放限值标准。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五、运营期噪声</w:t>
      </w:r>
      <w:r>
        <w:rPr>
          <w:rFonts w:hint="eastAsia" w:ascii="仿宋_GB2312" w:hAnsi="仿宋_GB2312" w:eastAsia="仿宋_GB2312" w:cs="仿宋_GB2312"/>
          <w:sz w:val="32"/>
          <w:szCs w:val="32"/>
          <w:lang w:eastAsia="zh-CN"/>
        </w:rPr>
        <w:t>厂界</w:t>
      </w:r>
      <w:r>
        <w:rPr>
          <w:rFonts w:hint="eastAsia" w:ascii="仿宋_GB2312" w:hAnsi="仿宋_GB2312" w:eastAsia="仿宋_GB2312" w:cs="仿宋_GB2312"/>
          <w:sz w:val="32"/>
          <w:szCs w:val="32"/>
        </w:rPr>
        <w:t>执行《工业企业厂界环境噪声排放标准》（GB12348-2008）</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lang w:val="en-US" w:eastAsia="zh-CN"/>
        </w:rPr>
        <w:t>2类标准。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六、本项目固体废弃物主要为</w:t>
      </w:r>
      <w:r>
        <w:rPr>
          <w:rFonts w:hint="eastAsia" w:ascii="仿宋_GB2312" w:hAnsi="仿宋_GB2312" w:eastAsia="仿宋_GB2312" w:cs="仿宋_GB2312"/>
          <w:sz w:val="32"/>
          <w:szCs w:val="32"/>
          <w:lang w:eastAsia="zh-CN"/>
        </w:rPr>
        <w:t>废活性炭、废UV灯管、废薄膜和生活垃圾。废UV灯管和废活性炭收集后须委托有资质的单位处理；废薄膜收集后由物资单位回收利用；生活垃圾收集后委托环卫部门统一清运。</w:t>
      </w:r>
      <w:r>
        <w:rPr>
          <w:rFonts w:hint="eastAsia" w:ascii="仿宋_GB2312" w:hAnsi="仿宋_GB2312" w:eastAsia="仿宋_GB2312" w:cs="仿宋_GB2312"/>
          <w:sz w:val="32"/>
          <w:szCs w:val="32"/>
          <w:highlight w:val="none"/>
          <w:lang w:val="en-US" w:eastAsia="zh-CN"/>
        </w:rPr>
        <w:t>一般工业固废贮存过程应满足相应防渗漏、防雨淋、防扬尘等环境保护</w:t>
      </w:r>
      <w:r>
        <w:rPr>
          <w:rFonts w:hint="eastAsia" w:ascii="仿宋_GB2312" w:hAnsi="仿宋_GB2312" w:eastAsia="仿宋_GB2312" w:cs="仿宋_GB2312"/>
          <w:sz w:val="32"/>
          <w:szCs w:val="32"/>
          <w:highlight w:val="none"/>
          <w:lang w:val="en" w:eastAsia="zh-CN"/>
        </w:rPr>
        <w:t>要求</w:t>
      </w:r>
      <w:r>
        <w:rPr>
          <w:rFonts w:hint="eastAsia" w:ascii="仿宋_GB2312" w:hAnsi="仿宋_GB2312" w:eastAsia="仿宋_GB2312" w:cs="仿宋_GB2312"/>
          <w:sz w:val="32"/>
          <w:szCs w:val="32"/>
          <w:highlight w:val="none"/>
          <w:lang w:val="en-US" w:eastAsia="zh-CN"/>
        </w:rPr>
        <w:t>；危险废物执行《危险废物贮存污染控制标准》（GB18597-2001）及其修改单相关要求。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七、经环评测算，本项目不设置大气环境防护距离，其他防护距离请相关部门落实；根据环评，可不开展土壤环境影响评价工作和地下水评价工作。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八、须根据实际情况制定环境风险事故应急预案，落实环境风险防范及应急措施。加强管理，防止环境污染事故发生。按要求落实“污水零直排区”创建工作。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项目建设过程中须严格执行“三同时”制度，其配套的治理设施须与主体工程同时投入使用。项目建设完成后，须依法依规开展环保“三同时”验收工作，经验收合格后，项目方可正式投入生产。项目的日常环境监督管理工作请</w:t>
      </w:r>
      <w:r>
        <w:rPr>
          <w:rFonts w:hint="eastAsia" w:ascii="仿宋_GB2312" w:hAnsi="仿宋_GB2312" w:eastAsia="仿宋_GB2312" w:cs="仿宋_GB2312"/>
          <w:sz w:val="32"/>
          <w:szCs w:val="32"/>
          <w:highlight w:val="none"/>
          <w:lang w:eastAsia="zh-CN"/>
        </w:rPr>
        <w:t>温州瓯江口产业集聚区应急管理与生态环境局</w:t>
      </w:r>
      <w:r>
        <w:rPr>
          <w:rFonts w:hint="eastAsia" w:ascii="仿宋_GB2312" w:hAnsi="仿宋_GB2312" w:eastAsia="仿宋_GB2312" w:cs="仿宋_GB2312"/>
          <w:sz w:val="32"/>
          <w:szCs w:val="32"/>
          <w:highlight w:val="none"/>
        </w:rPr>
        <w:t>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w:t>
      </w:r>
      <w:r>
        <w:rPr>
          <w:rFonts w:hint="eastAsia" w:ascii="仿宋_GB2312" w:hAnsi="仿宋_GB2312" w:eastAsia="仿宋_GB2312" w:cs="仿宋_GB2312"/>
          <w:sz w:val="32"/>
          <w:szCs w:val="32"/>
        </w:rPr>
        <w:t>人民共和国行政复议法》第十二条规定，若你单位对本审批意见内容不服的，可以自收到本审批意见之日起六十日内向温州市人民政府提起行政复议，也可以在六个月内直接向鹿城区人民法院提起行政诉讼。</w:t>
      </w:r>
    </w:p>
    <w:p>
      <w:pPr>
        <w:pStyle w:val="2"/>
        <w:rPr>
          <w:rFonts w:hint="eastAsia"/>
        </w:rPr>
      </w:pPr>
    </w:p>
    <w:p>
      <w:pPr>
        <w:pStyle w:val="2"/>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bidi="ar-SA"/>
        </w:rPr>
        <w:t>（此页无正文）</w:t>
      </w:r>
    </w:p>
    <w:p>
      <w:pPr>
        <w:pStyle w:val="2"/>
        <w:rPr>
          <w:rFonts w:hint="eastAsia"/>
        </w:rPr>
      </w:pP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日</w:t>
      </w: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bookmarkStart w:id="1" w:name="_GoBack"/>
      <w:bookmarkEnd w:id="1"/>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日印发</w:t>
            </w:r>
          </w:p>
        </w:tc>
      </w:tr>
    </w:tbl>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985" w:left="1588" w:header="851" w:footer="75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EC5"/>
    <w:rsid w:val="001547B2"/>
    <w:rsid w:val="00247C70"/>
    <w:rsid w:val="008B45EE"/>
    <w:rsid w:val="00B830B9"/>
    <w:rsid w:val="00DC3EC5"/>
    <w:rsid w:val="00EF194C"/>
    <w:rsid w:val="00F31001"/>
    <w:rsid w:val="063B4E6F"/>
    <w:rsid w:val="0E7E2E09"/>
    <w:rsid w:val="1A635100"/>
    <w:rsid w:val="1B3D0E19"/>
    <w:rsid w:val="1E21618F"/>
    <w:rsid w:val="2DF13312"/>
    <w:rsid w:val="36EE777E"/>
    <w:rsid w:val="3F450EE2"/>
    <w:rsid w:val="493E5555"/>
    <w:rsid w:val="4E1C04EB"/>
    <w:rsid w:val="5404626D"/>
    <w:rsid w:val="56FE667F"/>
    <w:rsid w:val="5BD334CF"/>
    <w:rsid w:val="5C884BE9"/>
    <w:rsid w:val="5D2A20B5"/>
    <w:rsid w:val="602B754E"/>
    <w:rsid w:val="6BC941AA"/>
    <w:rsid w:val="742B5FD8"/>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qFormat/>
    <w:uiPriority w:val="0"/>
    <w:rPr>
      <w:sz w:val="18"/>
      <w:szCs w:val="18"/>
    </w:rPr>
  </w:style>
  <w:style w:type="paragraph" w:styleId="5">
    <w:name w:val="footer"/>
    <w:basedOn w:val="1"/>
    <w:link w:val="9"/>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0"/>
    <w:rPr>
      <w:rFonts w:ascii="Times New Roman" w:hAnsi="Times New Roman" w:eastAsia="宋体" w:cs="Times New Roman"/>
      <w:sz w:val="18"/>
      <w:szCs w:val="18"/>
    </w:rPr>
  </w:style>
  <w:style w:type="character" w:styleId="10">
    <w:name w:val="Placeholder Text"/>
    <w:basedOn w:val="8"/>
    <w:unhideWhenUsed/>
    <w:qFormat/>
    <w:uiPriority w:val="99"/>
    <w:rPr>
      <w:color w:val="808080"/>
    </w:rPr>
  </w:style>
  <w:style w:type="character" w:customStyle="1" w:styleId="11">
    <w:name w:val="批注框文本 Char"/>
    <w:basedOn w:val="8"/>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1005</Characters>
  <Lines>8</Lines>
  <Paragraphs>2</Paragraphs>
  <TotalTime>0</TotalTime>
  <ScaleCrop>false</ScaleCrop>
  <LinksUpToDate>false</LinksUpToDate>
  <CharactersWithSpaces>1179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2021-07-15T07:02:00Z</cp:lastPrinted>
  <dcterms:modified xsi:type="dcterms:W3CDTF">2021-08-10T01:33:07Z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