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75</w:t>
      </w:r>
      <w:r>
        <w:rPr>
          <w:rFonts w:hint="eastAsia" w:ascii="宋体" w:hAnsi="宋体" w:cs="宋体"/>
          <w:sz w:val="32"/>
        </w:rPr>
        <w:t>号</w:t>
      </w:r>
    </w:p>
    <w:p>
      <w:pPr>
        <w:pStyle w:val="4"/>
        <w:spacing w:line="560" w:lineRule="exact"/>
        <w:ind w:firstLine="0" w:firstLineChars="0"/>
        <w:rPr>
          <w:rFonts w:ascii="仿宋_GB2312" w:hAnsi="宋体" w:eastAsia="仿宋_GB2312"/>
          <w:b/>
          <w:sz w:val="28"/>
          <w:szCs w:val="28"/>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关于永嘉县禾益实业有限公司技改项目环境</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影响报告表</w:t>
      </w:r>
      <w:r>
        <w:rPr>
          <w:rFonts w:hint="eastAsia" w:ascii="方正小标宋简体" w:eastAsia="方正小标宋简体"/>
          <w:sz w:val="44"/>
          <w:szCs w:val="44"/>
        </w:rPr>
        <w:t>审批意见的函</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top"/>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val="0"/>
        <w:spacing w:line="560" w:lineRule="exact"/>
        <w:textAlignment w:val="auto"/>
        <w:rPr>
          <w:rFonts w:hint="eastAsia" w:ascii="仿宋_GB2312" w:hAnsi="宋体" w:eastAsia="仿宋_GB2312"/>
          <w:sz w:val="32"/>
          <w:szCs w:val="32"/>
        </w:rPr>
      </w:pPr>
      <w:bookmarkStart w:id="0" w:name="Body"/>
      <w:bookmarkEnd w:id="0"/>
      <w:r>
        <w:rPr>
          <w:rFonts w:hint="eastAsia" w:ascii="仿宋_GB2312" w:hAnsi="宋体" w:eastAsia="仿宋_GB2312"/>
          <w:sz w:val="32"/>
          <w:szCs w:val="32"/>
        </w:rPr>
        <w:t>永嘉县禾益实业有限公司：</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你单位的申请报告、由</w:t>
      </w:r>
      <w:r>
        <w:rPr>
          <w:rFonts w:hint="eastAsia" w:ascii="仿宋_GB2312" w:hAnsi="宋体" w:eastAsia="仿宋_GB2312"/>
          <w:color w:val="000000"/>
          <w:sz w:val="32"/>
          <w:szCs w:val="32"/>
        </w:rPr>
        <w:t>浙江华阳生态环境科技有限公司</w:t>
      </w:r>
      <w:r>
        <w:rPr>
          <w:rFonts w:hint="eastAsia" w:ascii="仿宋_GB2312" w:hAnsi="宋体" w:eastAsia="仿宋_GB2312"/>
          <w:sz w:val="32"/>
          <w:szCs w:val="32"/>
        </w:rPr>
        <w:t>编制的《</w:t>
      </w:r>
      <w:bookmarkStart w:id="1" w:name="_GoBack"/>
      <w:r>
        <w:rPr>
          <w:rFonts w:hint="eastAsia" w:ascii="仿宋_GB2312" w:eastAsia="仿宋_GB2312"/>
          <w:sz w:val="32"/>
          <w:szCs w:val="32"/>
        </w:rPr>
        <w:t>永嘉县禾益实业有限公司技改项目</w:t>
      </w:r>
      <w:bookmarkEnd w:id="1"/>
      <w:r>
        <w:rPr>
          <w:rFonts w:hint="eastAsia" w:ascii="仿宋_GB2312" w:eastAsia="仿宋_GB2312"/>
          <w:sz w:val="32"/>
          <w:szCs w:val="32"/>
        </w:rPr>
        <w:t>环境影响报告表</w:t>
      </w:r>
      <w:r>
        <w:rPr>
          <w:rFonts w:hint="eastAsia" w:ascii="仿宋_GB2312" w:hAnsi="宋体" w:eastAsia="仿宋_GB2312"/>
          <w:sz w:val="32"/>
          <w:szCs w:val="32"/>
        </w:rPr>
        <w:t>》已悉，我局按照建设项目环境管理有关规定对该项目进行审查及公示，经研究，现将该项目环境影响报告表的审批意见函告如下：</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一、根据《中华人民共和国环境影响评价法》第22条的规定，原则同意项目环境影响报告表的结论。报告表中提出的污染防治对策措施可作为环保设计的依据，你公司须逐项予以落实。</w:t>
      </w:r>
    </w:p>
    <w:p>
      <w:pPr>
        <w:pStyle w:val="2"/>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二、项目废弃一条挂镀生产线（电镀容量19008L），并新增酸洗、除油、磷化、电泳等表面处理工艺，技改后形成年电镀1500万平方米小五金和年表面处理350万件金属件的产能。具体建设内容见环评报告表。</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三、项目污染物排放执行以下标准：</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 项目生产废水排放执行《电镀水污染物排放标准》（DB33/2260-2020)中表1其他地区直接排放标准。</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 项目酸洗、退板工艺废气执行《大气污染物综合排放标准》（GB16297-1996)中表2新污染源大气污染物排放限值中的二级排放标准；电泳废气执行《工业涂装工序大气污染物排放标准》（DB33/2146-2018）中表1、表6限值；非甲烷总烃厂区内无组织排放执行《挥发性有机物无组织排放控制标准》（GB37822-2019）中表A.1标准。</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3.项目厂界噪声排放执行《工业企业厂界环境噪声排放标准》（GB12348-2008)中3类声环境功能区标准，其中东侧执行4类声环境功能区标准。</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4. 项目产生的危险废物执行《危险废物贮存污染控制标准》（GB18597-2001)及其修改单（环保部公告2013年第36号）中的有关规定，一般固废贮存过程应满足相应防渗漏、防雨淋、防扬尘等环境保护要求。</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四、项目须合理布置生产车间，实施干湿区分离，并落实完善的废水收集系统，清污分流，车间内严格落实防腐、防渗、防混措施，工艺废水管线采取明管收集，废水管道应满足防腐、防渗要求。酸洗、炖化、磷化、光亮剂生产废水经的总镍、总铬、六价铬经预处理达标后，再与前处理其他废水混合，最终经厂区污水处理设施处理达标后排放楠溪江。</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五、项目酸洗、退板、电泳废气等废气处理设施，对应废气特点分别采取有效的净化措施，治理达标后高空排放，排气筒高度不低于15米，应高出周围200m半径范围的建筑5m以上。</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六、落实环评中相应降噪、隔声、消声措施，使厂界噪声达标排放。危险废物须按环评要求分类收集，妥善贮存、处置，一般固废、生活垃圾及时收集清运。</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七、完善环境风险事故应急预案，落实环境风险防范及应急措施；加强管理，防止环境污染事故发生。</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八、项目建设期和营运期日常环境管理由温州市生态环境局永嘉分局负责，项目建成产生实际排污行为前，应依法依规重新申请排污许可证，并做好“三同时”环保竣工验收工作。</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九、项目的环境影响评价文件经批准后，建设项目的性质、规模、地点、采用的生产工艺或者防治污染、防止生态破坏的措施发生重大变动的，建设单位应当重新报批建设项目的环境影响评价文件。</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 xml:space="preserve">十、若你单位及项目利害关系人对本审批意见内容不服的，可以在六十日内向温州市人民政府提起行政复议，或者在六个月内向鹿城区人民法院提起行政诉讼。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p>
    <w:p>
      <w:pPr>
        <w:pStyle w:val="2"/>
      </w:pPr>
    </w:p>
    <w:p>
      <w:pPr>
        <w:pStyle w:val="2"/>
        <w:rPr>
          <w:rFonts w:hint="eastAsia"/>
        </w:rPr>
      </w:pPr>
      <w:r>
        <w:rPr>
          <w:rFonts w:hint="eastAsia" w:ascii="仿宋_GB2312" w:hAnsi="仿宋_GB2312" w:eastAsia="仿宋_GB2312" w:cs="仿宋_GB2312"/>
          <w:color w:val="auto"/>
          <w:sz w:val="32"/>
          <w:szCs w:val="32"/>
          <w:lang w:val="en-US" w:eastAsia="zh-CN" w:bidi="ar-SA"/>
        </w:rPr>
        <w:t>（此页无正文）</w:t>
      </w:r>
    </w:p>
    <w:p>
      <w:pPr>
        <w:pStyle w:val="2"/>
        <w:rPr>
          <w:rFonts w:hint="default"/>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17</w:t>
      </w:r>
      <w:r>
        <w:rPr>
          <w:rFonts w:hint="eastAsia" w:ascii="仿宋_GB2312" w:hAnsi="宋体" w:eastAsia="仿宋_GB2312" w:cs="宋体"/>
          <w:sz w:val="32"/>
          <w:szCs w:val="32"/>
        </w:rPr>
        <w:t>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tbl>
      <w:tblPr>
        <w:tblStyle w:val="8"/>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w:t>
            </w:r>
            <w:r>
              <w:rPr>
                <w:rFonts w:hint="eastAsia" w:ascii="仿宋_GB2312" w:hAnsi="仿宋_GB2312" w:eastAsia="仿宋_GB2312" w:cs="仿宋_GB2312"/>
                <w:sz w:val="32"/>
                <w:szCs w:val="32"/>
              </w:rPr>
              <w:t>温州市生态环境局</w:t>
            </w:r>
            <w:r>
              <w:rPr>
                <w:rFonts w:hint="eastAsia" w:ascii="仿宋_GB2312" w:hAnsi="宋体" w:eastAsia="仿宋_GB2312"/>
                <w:sz w:val="32"/>
                <w:szCs w:val="32"/>
              </w:rPr>
              <w:t>永嘉分局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17</w:t>
            </w:r>
            <w:r>
              <w:rPr>
                <w:rFonts w:hint="eastAsia" w:ascii="仿宋_GB2312" w:hAnsi="宋体" w:eastAsia="仿宋_GB2312" w:cs="宋体"/>
                <w:sz w:val="32"/>
                <w:szCs w:val="32"/>
              </w:rPr>
              <w:t>日印发</w:t>
            </w:r>
          </w:p>
        </w:tc>
      </w:tr>
    </w:tbl>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4" w:left="1588" w:header="851" w:footer="754" w:gutter="0"/>
      <w:cols w:space="0" w:num="1"/>
      <w:rtlGutter w:val="0"/>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HorizontalSpacing w:val="1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04B530D0"/>
    <w:rsid w:val="04E851E9"/>
    <w:rsid w:val="063B4E6F"/>
    <w:rsid w:val="0E7E2E09"/>
    <w:rsid w:val="12A37B9B"/>
    <w:rsid w:val="176A5D84"/>
    <w:rsid w:val="18F57BE9"/>
    <w:rsid w:val="1A635100"/>
    <w:rsid w:val="1B3D0E19"/>
    <w:rsid w:val="1E21618F"/>
    <w:rsid w:val="1F434B54"/>
    <w:rsid w:val="27AF7A58"/>
    <w:rsid w:val="2DF13312"/>
    <w:rsid w:val="36EE777E"/>
    <w:rsid w:val="3F450EE2"/>
    <w:rsid w:val="493E5555"/>
    <w:rsid w:val="4BBD55B7"/>
    <w:rsid w:val="4E1C04EB"/>
    <w:rsid w:val="5404626D"/>
    <w:rsid w:val="56FE667F"/>
    <w:rsid w:val="584D09B1"/>
    <w:rsid w:val="5BD334CF"/>
    <w:rsid w:val="5C884BE9"/>
    <w:rsid w:val="5D2A20B5"/>
    <w:rsid w:val="602B754E"/>
    <w:rsid w:val="61334C87"/>
    <w:rsid w:val="6BC941AA"/>
    <w:rsid w:val="742B5FD8"/>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w:basedOn w:val="1"/>
    <w:uiPriority w:val="0"/>
    <w:pPr>
      <w:tabs>
        <w:tab w:val="left" w:pos="1480"/>
      </w:tabs>
      <w:adjustRightInd w:val="0"/>
      <w:snapToGrid w:val="0"/>
      <w:ind w:firstLine="640" w:firstLineChars="200"/>
    </w:pPr>
    <w:rPr>
      <w:rFonts w:ascii="宋体" w:hAnsi="宋体"/>
      <w:sz w:val="32"/>
    </w:rPr>
  </w:style>
  <w:style w:type="paragraph" w:styleId="4">
    <w:name w:val="Body Text Indent 2"/>
    <w:basedOn w:val="1"/>
    <w:qFormat/>
    <w:uiPriority w:val="0"/>
    <w:pPr>
      <w:tabs>
        <w:tab w:val="right" w:pos="8788"/>
      </w:tabs>
      <w:spacing w:line="300" w:lineRule="auto"/>
      <w:ind w:firstLine="640" w:firstLineChars="200"/>
      <w:jc w:val="left"/>
    </w:pPr>
    <w:rPr>
      <w:sz w:val="32"/>
    </w:rPr>
  </w:style>
  <w:style w:type="paragraph" w:styleId="5">
    <w:name w:val="Balloon Text"/>
    <w:basedOn w:val="1"/>
    <w:link w:val="12"/>
    <w:qFormat/>
    <w:uiPriority w:val="0"/>
    <w:rPr>
      <w:sz w:val="18"/>
      <w:szCs w:val="18"/>
    </w:rPr>
  </w:style>
  <w:style w:type="paragraph" w:styleId="6">
    <w:name w:val="footer"/>
    <w:basedOn w:val="1"/>
    <w:link w:val="10"/>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脚 Char"/>
    <w:basedOn w:val="9"/>
    <w:link w:val="6"/>
    <w:qFormat/>
    <w:uiPriority w:val="0"/>
    <w:rPr>
      <w:rFonts w:ascii="Times New Roman" w:hAnsi="Times New Roman" w:eastAsia="宋体" w:cs="Times New Roman"/>
      <w:sz w:val="18"/>
      <w:szCs w:val="18"/>
    </w:rPr>
  </w:style>
  <w:style w:type="character" w:styleId="11">
    <w:name w:val="Placeholder Text"/>
    <w:basedOn w:val="9"/>
    <w:unhideWhenUsed/>
    <w:qFormat/>
    <w:uiPriority w:val="99"/>
    <w:rPr>
      <w:color w:val="808080"/>
    </w:rPr>
  </w:style>
  <w:style w:type="character" w:customStyle="1" w:styleId="12">
    <w:name w:val="批注框文本 Char"/>
    <w:basedOn w:val="9"/>
    <w:link w:val="5"/>
    <w:qFormat/>
    <w:uiPriority w:val="0"/>
    <w:rPr>
      <w:rFonts w:ascii="Times New Roman" w:hAnsi="Times New Roman" w:eastAsia="宋体" w:cs="Times New Roman"/>
      <w:sz w:val="18"/>
      <w:szCs w:val="18"/>
    </w:rPr>
  </w:style>
  <w:style w:type="paragraph" w:customStyle="1" w:styleId="13">
    <w:name w:val="正文01"/>
    <w:basedOn w:val="1"/>
    <w:uiPriority w:val="0"/>
    <w:pPr>
      <w:spacing w:before="60" w:line="460" w:lineRule="exact"/>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9</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2021-09-17T02:55:20Z</cp:lastPrinted>
  <dcterms:modified xsi:type="dcterms:W3CDTF">2021-09-17T03:02:26Z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