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480"/>
        <w:rPr>
          <w:rFonts w:ascii="Times New Roman" w:hAnsi="Times New Roman"/>
          <w:color w:val="auto"/>
        </w:rPr>
      </w:pPr>
      <w:bookmarkStart w:id="0" w:name="_Toc247301321"/>
      <w:r>
        <w:rPr>
          <w:rFonts w:ascii="Times New Roman" w:hAnsi="Times New Roman"/>
          <w:color w:val="auto"/>
        </w:rPr>
        <w:drawing>
          <wp:anchor distT="0" distB="0" distL="0" distR="0" simplePos="0" relativeHeight="251660288" behindDoc="0" locked="0" layoutInCell="1" allowOverlap="1">
            <wp:simplePos x="0" y="0"/>
            <wp:positionH relativeFrom="column">
              <wp:posOffset>247015</wp:posOffset>
            </wp:positionH>
            <wp:positionV relativeFrom="paragraph">
              <wp:posOffset>142875</wp:posOffset>
            </wp:positionV>
            <wp:extent cx="742950" cy="810260"/>
            <wp:effectExtent l="19050" t="0" r="0" b="0"/>
            <wp:wrapNone/>
            <wp:docPr id="3659" name="图片 2" descr="I:\2017年\边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图片 2" descr="I:\2017年\边框3.jpg"/>
                    <pic:cNvPicPr>
                      <a:picLocks noChangeAspect="1" noChangeArrowheads="1"/>
                    </pic:cNvPicPr>
                  </pic:nvPicPr>
                  <pic:blipFill>
                    <a:blip r:embed="rId25" cstate="print"/>
                    <a:srcRect/>
                    <a:stretch>
                      <a:fillRect/>
                    </a:stretch>
                  </pic:blipFill>
                  <pic:spPr>
                    <a:xfrm>
                      <a:off x="0" y="0"/>
                      <a:ext cx="742950" cy="810260"/>
                    </a:xfrm>
                    <a:prstGeom prst="rect">
                      <a:avLst/>
                    </a:prstGeom>
                    <a:noFill/>
                    <a:ln w="9525">
                      <a:noFill/>
                      <a:miter lim="800000"/>
                      <a:headEnd/>
                      <a:tailEnd/>
                    </a:ln>
                  </pic:spPr>
                </pic:pic>
              </a:graphicData>
            </a:graphic>
          </wp:anchor>
        </w:drawing>
      </w: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0" w:firstLineChars="0"/>
        <w:jc w:val="center"/>
        <w:rPr>
          <w:rFonts w:ascii="Times New Roman" w:hAnsi="Times New Roman"/>
          <w:b/>
          <w:color w:val="auto"/>
          <w:sz w:val="52"/>
          <w:szCs w:val="52"/>
        </w:rPr>
      </w:pPr>
      <w:r>
        <w:rPr>
          <w:rFonts w:hint="eastAsia" w:ascii="Times New Roman" w:hAnsi="Times New Roman"/>
          <w:b/>
          <w:color w:val="auto"/>
          <w:sz w:val="52"/>
          <w:szCs w:val="52"/>
        </w:rPr>
        <w:t>温州旭财新材料有限公司年再生利用3.2万吨废塑料生产项目</w:t>
      </w:r>
    </w:p>
    <w:p>
      <w:pPr>
        <w:ind w:firstLine="0" w:firstLineChars="0"/>
        <w:jc w:val="center"/>
        <w:rPr>
          <w:rFonts w:ascii="Times New Roman" w:hAnsi="Times New Roman"/>
          <w:b/>
          <w:color w:val="auto"/>
          <w:sz w:val="48"/>
          <w:szCs w:val="48"/>
        </w:rPr>
      </w:pPr>
      <w:r>
        <w:rPr>
          <w:rFonts w:ascii="Times New Roman" w:hAnsi="Times New Roman"/>
          <w:b/>
          <w:color w:val="auto"/>
          <w:sz w:val="52"/>
          <w:szCs w:val="52"/>
        </w:rPr>
        <w:t>环境影响报告书</w:t>
      </w:r>
    </w:p>
    <w:p>
      <w:pPr>
        <w:ind w:firstLine="0" w:firstLineChars="0"/>
        <w:jc w:val="center"/>
        <w:rPr>
          <w:rFonts w:ascii="Times New Roman" w:hAnsi="Times New Roman"/>
          <w:b/>
          <w:color w:val="auto"/>
          <w:sz w:val="36"/>
          <w:szCs w:val="36"/>
        </w:rPr>
      </w:pPr>
      <w:r>
        <w:rPr>
          <w:rFonts w:ascii="Times New Roman" w:hAnsi="Times New Roman"/>
          <w:b/>
          <w:color w:val="auto"/>
          <w:sz w:val="36"/>
          <w:szCs w:val="36"/>
        </w:rPr>
        <w:t>（</w:t>
      </w:r>
      <w:r>
        <w:rPr>
          <w:rFonts w:hint="eastAsia" w:ascii="Times New Roman" w:hAnsi="Times New Roman"/>
          <w:b/>
          <w:color w:val="auto"/>
          <w:sz w:val="36"/>
          <w:szCs w:val="36"/>
        </w:rPr>
        <w:t>报批</w:t>
      </w:r>
      <w:r>
        <w:rPr>
          <w:rFonts w:ascii="Times New Roman" w:hAnsi="Times New Roman"/>
          <w:b/>
          <w:color w:val="auto"/>
          <w:sz w:val="36"/>
          <w:szCs w:val="36"/>
        </w:rPr>
        <w:t>稿）</w:t>
      </w: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0" w:firstLineChars="0"/>
        <w:rPr>
          <w:rFonts w:ascii="Times New Roman" w:hAnsi="Times New Roman"/>
          <w:color w:val="auto"/>
        </w:rPr>
      </w:pPr>
    </w:p>
    <w:p>
      <w:pPr>
        <w:ind w:firstLine="0" w:firstLineChars="0"/>
        <w:rPr>
          <w:rFonts w:ascii="Times New Roman" w:hAnsi="Times New Roman"/>
          <w:color w:val="auto"/>
        </w:rPr>
      </w:pPr>
    </w:p>
    <w:p>
      <w:pPr>
        <w:ind w:firstLine="0" w:firstLineChars="0"/>
        <w:rPr>
          <w:rFonts w:ascii="Times New Roman" w:hAnsi="Times New Roman"/>
          <w:color w:val="auto"/>
        </w:rPr>
      </w:pPr>
    </w:p>
    <w:p>
      <w:pPr>
        <w:ind w:firstLine="0" w:firstLineChars="0"/>
        <w:rPr>
          <w:rFonts w:ascii="Times New Roman" w:hAnsi="Times New Roman"/>
          <w:color w:val="auto"/>
        </w:rPr>
      </w:pPr>
    </w:p>
    <w:p>
      <w:pPr>
        <w:ind w:firstLine="0" w:firstLineChars="0"/>
        <w:jc w:val="center"/>
        <w:rPr>
          <w:rFonts w:ascii="Times New Roman" w:hAnsi="Times New Roman"/>
          <w:color w:val="auto"/>
          <w:u w:val="none"/>
        </w:rPr>
      </w:pPr>
      <w:r>
        <w:rPr>
          <w:rFonts w:hint="eastAsia" w:cs="宋体"/>
          <w:b/>
          <w:sz w:val="32"/>
          <w:u w:val="none"/>
          <w:lang w:eastAsia="zh-CN"/>
        </w:rPr>
        <w:t>编制</w:t>
      </w:r>
      <w:r>
        <w:rPr>
          <w:rFonts w:hint="eastAsia" w:ascii="宋体" w:hAnsi="宋体" w:cs="宋体"/>
          <w:b/>
          <w:sz w:val="32"/>
          <w:u w:val="none"/>
        </w:rPr>
        <w:t>单位：浙江清雨环保工程技术有限公司</w:t>
      </w:r>
    </w:p>
    <w:p>
      <w:pPr>
        <w:ind w:firstLine="0" w:firstLineChars="0"/>
        <w:jc w:val="center"/>
        <w:rPr>
          <w:rFonts w:ascii="Times New Roman" w:hAnsi="Times New Roman"/>
          <w:b/>
          <w:color w:val="auto"/>
          <w:sz w:val="32"/>
          <w:szCs w:val="32"/>
        </w:rPr>
      </w:pPr>
      <w:r>
        <w:rPr>
          <w:rFonts w:ascii="Times New Roman" w:hAnsi="Times New Roman"/>
          <w:b/>
          <w:color w:val="auto"/>
          <w:sz w:val="32"/>
          <w:szCs w:val="32"/>
        </w:rPr>
        <w:t>二</w:t>
      </w:r>
      <w:r>
        <w:rPr>
          <w:rFonts w:hint="eastAsia" w:ascii="Times New Roman" w:hAnsi="Times New Roman"/>
          <w:b/>
          <w:color w:val="auto"/>
          <w:sz w:val="32"/>
          <w:szCs w:val="32"/>
        </w:rPr>
        <w:t>〇二〇</w:t>
      </w:r>
      <w:r>
        <w:rPr>
          <w:rFonts w:ascii="Times New Roman" w:hAnsi="Times New Roman"/>
          <w:b/>
          <w:color w:val="auto"/>
          <w:sz w:val="32"/>
          <w:szCs w:val="32"/>
        </w:rPr>
        <w:t>年</w:t>
      </w:r>
      <w:r>
        <w:rPr>
          <w:rFonts w:hint="eastAsia" w:ascii="Times New Roman" w:hAnsi="Times New Roman"/>
          <w:b/>
          <w:color w:val="auto"/>
          <w:sz w:val="32"/>
          <w:szCs w:val="32"/>
        </w:rPr>
        <w:t>四</w:t>
      </w:r>
      <w:r>
        <w:rPr>
          <w:rFonts w:ascii="Times New Roman" w:hAnsi="Times New Roman"/>
          <w:b/>
          <w:color w:val="auto"/>
          <w:sz w:val="32"/>
          <w:szCs w:val="32"/>
        </w:rPr>
        <w:t>月</w:t>
      </w:r>
    </w:p>
    <w:p>
      <w:pPr>
        <w:ind w:firstLine="0" w:firstLineChars="0"/>
        <w:jc w:val="center"/>
        <w:rPr>
          <w:rFonts w:ascii="Times New Roman" w:hAnsi="Times New Roman"/>
          <w:b/>
          <w:color w:val="auto"/>
          <w:sz w:val="28"/>
          <w:szCs w:val="28"/>
        </w:rPr>
      </w:pPr>
      <w:r>
        <w:rPr>
          <w:rFonts w:hint="eastAsia" w:ascii="Times New Roman" w:hAnsi="Times New Roman"/>
          <w:b/>
          <w:color w:val="auto"/>
          <w:sz w:val="28"/>
          <w:szCs w:val="28"/>
        </w:rPr>
        <w:drawing>
          <wp:inline distT="0" distB="0" distL="0" distR="0">
            <wp:extent cx="5613400" cy="7720965"/>
            <wp:effectExtent l="19050" t="0" r="6350" b="0"/>
            <wp:docPr id="11" name="图片 11" descr="E:\环评\2019-2020\19.10\4.15修改意见\微信图片_2020041815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环评\2019-2020\19.10\4.15修改意见\微信图片_20200418151156.jpg"/>
                    <pic:cNvPicPr>
                      <a:picLocks noChangeAspect="1" noChangeArrowheads="1"/>
                    </pic:cNvPicPr>
                  </pic:nvPicPr>
                  <pic:blipFill>
                    <a:blip r:embed="rId26" cstate="print"/>
                    <a:srcRect/>
                    <a:stretch>
                      <a:fillRect/>
                    </a:stretch>
                  </pic:blipFill>
                  <pic:spPr>
                    <a:xfrm>
                      <a:off x="0" y="0"/>
                      <a:ext cx="5613400" cy="7720965"/>
                    </a:xfrm>
                    <a:prstGeom prst="rect">
                      <a:avLst/>
                    </a:prstGeom>
                    <a:noFill/>
                    <a:ln w="9525">
                      <a:noFill/>
                      <a:miter lim="800000"/>
                      <a:headEnd/>
                      <a:tailEnd/>
                    </a:ln>
                  </pic:spPr>
                </pic:pic>
              </a:graphicData>
            </a:graphic>
          </wp:inline>
        </w:drawing>
      </w:r>
    </w:p>
    <w:p>
      <w:pPr>
        <w:ind w:firstLine="0" w:firstLineChars="0"/>
        <w:jc w:val="center"/>
        <w:rPr>
          <w:rFonts w:ascii="Times New Roman" w:hAnsi="Times New Roman"/>
          <w:b/>
          <w:color w:val="auto"/>
          <w:sz w:val="28"/>
          <w:szCs w:val="28"/>
        </w:rPr>
      </w:pPr>
    </w:p>
    <w:p>
      <w:pPr>
        <w:adjustRightInd w:val="0"/>
        <w:snapToGrid w:val="0"/>
        <w:ind w:left="-1" w:leftChars="-118" w:right="-370" w:rightChars="-154" w:hanging="282" w:hangingChars="117"/>
        <w:jc w:val="center"/>
        <w:rPr>
          <w:rFonts w:ascii="Times New Roman" w:hAnsi="Times New Roman"/>
          <w:b/>
          <w:color w:val="auto"/>
          <w:szCs w:val="24"/>
        </w:rPr>
      </w:pPr>
    </w:p>
    <w:p>
      <w:pPr>
        <w:ind w:firstLine="0" w:firstLineChars="0"/>
        <w:rPr>
          <w:rFonts w:ascii="Times New Roman" w:hAnsi="Times New Roman"/>
          <w:b/>
          <w:color w:val="auto"/>
          <w:sz w:val="32"/>
          <w:szCs w:val="32"/>
        </w:rPr>
      </w:pPr>
    </w:p>
    <w:p>
      <w:pPr>
        <w:ind w:firstLine="0" w:firstLineChars="0"/>
        <w:rPr>
          <w:rFonts w:ascii="Times New Roman" w:hAnsi="Times New Roman"/>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440" w:right="1531" w:bottom="1440" w:left="1531" w:header="851" w:footer="992" w:gutter="0"/>
          <w:pgNumType w:fmt="upperRoman"/>
          <w:cols w:space="720" w:num="1"/>
          <w:docGrid w:type="lines" w:linePitch="312" w:charSpace="0"/>
        </w:sectPr>
      </w:pPr>
    </w:p>
    <w:p>
      <w:pPr>
        <w:adjustRightInd w:val="0"/>
        <w:snapToGrid w:val="0"/>
        <w:ind w:firstLine="0" w:firstLineChars="0"/>
        <w:jc w:val="center"/>
        <w:rPr>
          <w:rFonts w:ascii="Times New Roman" w:hAnsi="Times New Roman"/>
          <w:b/>
          <w:color w:val="auto"/>
          <w:sz w:val="48"/>
          <w:szCs w:val="48"/>
        </w:rPr>
      </w:pPr>
      <w:r>
        <w:rPr>
          <w:rFonts w:ascii="Times New Roman" w:hAnsi="Times New Roman"/>
          <w:b/>
          <w:color w:val="auto"/>
          <w:sz w:val="48"/>
          <w:szCs w:val="48"/>
        </w:rPr>
        <w:t>目录</w:t>
      </w:r>
    </w:p>
    <w:p>
      <w:pPr>
        <w:pStyle w:val="55"/>
        <w:tabs>
          <w:tab w:val="left" w:pos="960"/>
        </w:tabs>
        <w:rPr>
          <w:rFonts w:asciiTheme="minorHAnsi" w:hAnsiTheme="minorHAnsi" w:eastAsiaTheme="minorEastAsia" w:cstheme="minorBidi"/>
          <w:b w:val="0"/>
          <w:bCs w:val="0"/>
          <w:caps w:val="0"/>
          <w:color w:val="auto"/>
          <w:sz w:val="21"/>
          <w:szCs w:val="22"/>
        </w:rPr>
      </w:pPr>
      <w:r>
        <w:rPr>
          <w:rFonts w:ascii="Times New Roman" w:hAnsi="Times New Roman"/>
          <w:b w:val="0"/>
          <w:color w:val="auto"/>
        </w:rPr>
        <w:fldChar w:fldCharType="begin"/>
      </w:r>
      <w:r>
        <w:rPr>
          <w:rFonts w:ascii="Times New Roman" w:hAnsi="Times New Roman"/>
          <w:b w:val="0"/>
          <w:color w:val="auto"/>
        </w:rPr>
        <w:instrText xml:space="preserve"> TOC \o "1-2" \h \z \u </w:instrText>
      </w:r>
      <w:r>
        <w:rPr>
          <w:rFonts w:ascii="Times New Roman" w:hAnsi="Times New Roman"/>
          <w:b w:val="0"/>
          <w:color w:val="auto"/>
        </w:rPr>
        <w:fldChar w:fldCharType="separate"/>
      </w:r>
      <w:r>
        <w:rPr>
          <w:color w:val="auto"/>
        </w:rPr>
        <w:fldChar w:fldCharType="begin"/>
      </w:r>
      <w:r>
        <w:rPr>
          <w:color w:val="auto"/>
        </w:rPr>
        <w:instrText xml:space="preserve"> HYPERLINK \l "_Toc37350036" </w:instrText>
      </w:r>
      <w:r>
        <w:rPr>
          <w:color w:val="auto"/>
        </w:rPr>
        <w:fldChar w:fldCharType="separate"/>
      </w:r>
      <w:r>
        <w:rPr>
          <w:rStyle w:val="97"/>
          <w:rFonts w:hint="eastAsia"/>
          <w:color w:val="auto"/>
        </w:rPr>
        <w:t>第1章概述</w:t>
      </w:r>
      <w:r>
        <w:rPr>
          <w:color w:val="auto"/>
        </w:rPr>
        <w:tab/>
      </w:r>
      <w:r>
        <w:rPr>
          <w:color w:val="auto"/>
        </w:rPr>
        <w:fldChar w:fldCharType="begin"/>
      </w:r>
      <w:r>
        <w:rPr>
          <w:color w:val="auto"/>
        </w:rPr>
        <w:instrText xml:space="preserve"> PAGEREF _Toc37350036 \h </w:instrText>
      </w:r>
      <w:r>
        <w:rPr>
          <w:color w:val="auto"/>
        </w:rPr>
        <w:fldChar w:fldCharType="separate"/>
      </w:r>
      <w:r>
        <w:rPr>
          <w:color w:val="auto"/>
        </w:rPr>
        <w:t>1</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"_Toc37350037" </w:instrText>
      </w:r>
      <w:r>
        <w:rPr>
          <w:color w:val="auto"/>
        </w:rPr>
        <w:fldChar w:fldCharType="separate"/>
      </w:r>
      <w:r>
        <w:rPr>
          <w:rStyle w:val="97"/>
          <w:snapToGrid w:val="0"/>
          <w:color w:val="auto"/>
          <w:w w:val="0"/>
          <w:kern w:val="0"/>
        </w:rPr>
        <w:t>1.1</w:t>
      </w:r>
      <w:r>
        <w:rPr>
          <w:rStyle w:val="97"/>
          <w:rFonts w:hint="eastAsia"/>
          <w:color w:val="auto"/>
        </w:rPr>
        <w:t xml:space="preserve"> 项目由来</w:t>
      </w:r>
      <w:r>
        <w:rPr>
          <w:color w:val="auto"/>
        </w:rPr>
        <w:tab/>
      </w:r>
      <w:r>
        <w:rPr>
          <w:color w:val="auto"/>
        </w:rPr>
        <w:fldChar w:fldCharType="begin"/>
      </w:r>
      <w:r>
        <w:rPr>
          <w:color w:val="auto"/>
        </w:rPr>
        <w:instrText xml:space="preserve"> PAGEREF _Toc37350037 \h </w:instrText>
      </w:r>
      <w:r>
        <w:rPr>
          <w:color w:val="auto"/>
        </w:rPr>
        <w:fldChar w:fldCharType="separate"/>
      </w:r>
      <w:r>
        <w:rPr>
          <w:color w:val="auto"/>
        </w:rPr>
        <w:t>1</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"_Toc37350038" </w:instrText>
      </w:r>
      <w:r>
        <w:rPr>
          <w:color w:val="auto"/>
        </w:rPr>
        <w:fldChar w:fldCharType="separate"/>
      </w:r>
      <w:r>
        <w:rPr>
          <w:rStyle w:val="97"/>
          <w:snapToGrid w:val="0"/>
          <w:color w:val="auto"/>
          <w:w w:val="0"/>
          <w:kern w:val="0"/>
        </w:rPr>
        <w:t>1.2</w:t>
      </w:r>
      <w:r>
        <w:rPr>
          <w:rStyle w:val="97"/>
          <w:rFonts w:hint="eastAsia"/>
          <w:color w:val="auto"/>
        </w:rPr>
        <w:t xml:space="preserve"> 项目特点</w:t>
      </w:r>
      <w:r>
        <w:rPr>
          <w:color w:val="auto"/>
        </w:rPr>
        <w:tab/>
      </w:r>
      <w:r>
        <w:rPr>
          <w:color w:val="auto"/>
        </w:rPr>
        <w:fldChar w:fldCharType="begin"/>
      </w:r>
      <w:r>
        <w:rPr>
          <w:color w:val="auto"/>
        </w:rPr>
        <w:instrText xml:space="preserve"> PAGEREF _Toc37350038 \h </w:instrText>
      </w:r>
      <w:r>
        <w:rPr>
          <w:color w:val="auto"/>
        </w:rPr>
        <w:fldChar w:fldCharType="separate"/>
      </w:r>
      <w:r>
        <w:rPr>
          <w:color w:val="auto"/>
        </w:rPr>
        <w:t>2</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"_Toc37350039" </w:instrText>
      </w:r>
      <w:r>
        <w:rPr>
          <w:color w:val="auto"/>
        </w:rPr>
        <w:fldChar w:fldCharType="separate"/>
      </w:r>
      <w:r>
        <w:rPr>
          <w:rStyle w:val="97"/>
          <w:snapToGrid w:val="0"/>
          <w:color w:val="auto"/>
          <w:w w:val="0"/>
          <w:kern w:val="0"/>
        </w:rPr>
        <w:t>1.3</w:t>
      </w:r>
      <w:r>
        <w:rPr>
          <w:rStyle w:val="97"/>
          <w:rFonts w:hint="eastAsia"/>
          <w:color w:val="auto"/>
        </w:rPr>
        <w:t xml:space="preserve"> 工作过程</w:t>
      </w:r>
      <w:r>
        <w:rPr>
          <w:color w:val="auto"/>
        </w:rPr>
        <w:tab/>
      </w:r>
      <w:r>
        <w:rPr>
          <w:color w:val="auto"/>
        </w:rPr>
        <w:fldChar w:fldCharType="begin"/>
      </w:r>
      <w:r>
        <w:rPr>
          <w:color w:val="auto"/>
        </w:rPr>
        <w:instrText xml:space="preserve"> PAGEREF _Toc37350039 \h </w:instrText>
      </w:r>
      <w:r>
        <w:rPr>
          <w:color w:val="auto"/>
        </w:rPr>
        <w:fldChar w:fldCharType="separate"/>
      </w:r>
      <w:r>
        <w:rPr>
          <w:color w:val="auto"/>
        </w:rPr>
        <w:t>2</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"_Toc37350040" </w:instrText>
      </w:r>
      <w:r>
        <w:rPr>
          <w:color w:val="auto"/>
        </w:rPr>
        <w:fldChar w:fldCharType="separate"/>
      </w:r>
      <w:r>
        <w:rPr>
          <w:rStyle w:val="97"/>
          <w:snapToGrid w:val="0"/>
          <w:color w:val="auto"/>
          <w:w w:val="0"/>
          <w:kern w:val="0"/>
        </w:rPr>
        <w:t>1.4</w:t>
      </w:r>
      <w:r>
        <w:rPr>
          <w:rStyle w:val="97"/>
          <w:rFonts w:hint="eastAsia"/>
          <w:color w:val="auto"/>
        </w:rPr>
        <w:t xml:space="preserve"> 分析判定相关情况</w:t>
      </w:r>
      <w:r>
        <w:rPr>
          <w:color w:val="auto"/>
        </w:rPr>
        <w:tab/>
      </w:r>
      <w:r>
        <w:rPr>
          <w:color w:val="auto"/>
        </w:rPr>
        <w:fldChar w:fldCharType="begin"/>
      </w:r>
      <w:r>
        <w:rPr>
          <w:color w:val="auto"/>
        </w:rPr>
        <w:instrText xml:space="preserve"> PAGEREF _Toc37350040 \h </w:instrText>
      </w:r>
      <w:r>
        <w:rPr>
          <w:color w:val="auto"/>
        </w:rPr>
        <w:fldChar w:fldCharType="separate"/>
      </w:r>
      <w:r>
        <w:rPr>
          <w:color w:val="auto"/>
        </w:rPr>
        <w:t>3</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"_Toc37350041" </w:instrText>
      </w:r>
      <w:r>
        <w:rPr>
          <w:color w:val="auto"/>
        </w:rPr>
        <w:fldChar w:fldCharType="separate"/>
      </w:r>
      <w:r>
        <w:rPr>
          <w:rStyle w:val="97"/>
          <w:snapToGrid w:val="0"/>
          <w:color w:val="auto"/>
          <w:w w:val="0"/>
          <w:kern w:val="0"/>
        </w:rPr>
        <w:t>1.5</w:t>
      </w:r>
      <w:r>
        <w:rPr>
          <w:rStyle w:val="97"/>
          <w:rFonts w:hint="eastAsia"/>
          <w:color w:val="auto"/>
        </w:rPr>
        <w:t xml:space="preserve"> 评价关注的主要环境问题</w:t>
      </w:r>
      <w:r>
        <w:rPr>
          <w:color w:val="auto"/>
        </w:rPr>
        <w:tab/>
      </w:r>
      <w:r>
        <w:rPr>
          <w:color w:val="auto"/>
        </w:rPr>
        <w:fldChar w:fldCharType="begin"/>
      </w:r>
      <w:r>
        <w:rPr>
          <w:color w:val="auto"/>
        </w:rPr>
        <w:instrText xml:space="preserve"> PAGEREF _Toc37350041 \h </w:instrText>
      </w:r>
      <w:r>
        <w:rPr>
          <w:color w:val="auto"/>
        </w:rPr>
        <w:fldChar w:fldCharType="separate"/>
      </w:r>
      <w:r>
        <w:rPr>
          <w:color w:val="auto"/>
        </w:rPr>
        <w:t>4</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"_Toc37350042" </w:instrText>
      </w:r>
      <w:r>
        <w:rPr>
          <w:color w:val="auto"/>
        </w:rPr>
        <w:fldChar w:fldCharType="separate"/>
      </w:r>
      <w:r>
        <w:rPr>
          <w:rStyle w:val="97"/>
          <w:snapToGrid w:val="0"/>
          <w:color w:val="auto"/>
          <w:w w:val="0"/>
          <w:kern w:val="0"/>
        </w:rPr>
        <w:t>1.6</w:t>
      </w:r>
      <w:r>
        <w:rPr>
          <w:rStyle w:val="97"/>
          <w:rFonts w:hint="eastAsia"/>
          <w:color w:val="auto"/>
        </w:rPr>
        <w:t xml:space="preserve"> 报告书主要结论</w:t>
      </w:r>
      <w:r>
        <w:rPr>
          <w:color w:val="auto"/>
        </w:rPr>
        <w:tab/>
      </w:r>
      <w:r>
        <w:rPr>
          <w:color w:val="auto"/>
        </w:rPr>
        <w:fldChar w:fldCharType="begin"/>
      </w:r>
      <w:r>
        <w:rPr>
          <w:color w:val="auto"/>
        </w:rPr>
        <w:instrText xml:space="preserve"> PAGEREF _Toc37350042 \h </w:instrText>
      </w:r>
      <w:r>
        <w:rPr>
          <w:color w:val="auto"/>
        </w:rPr>
        <w:fldChar w:fldCharType="separate"/>
      </w:r>
      <w:r>
        <w:rPr>
          <w:color w:val="auto"/>
        </w:rPr>
        <w:t>5</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"_Toc37350043" </w:instrText>
      </w:r>
      <w:r>
        <w:rPr>
          <w:color w:val="auto"/>
        </w:rPr>
        <w:fldChar w:fldCharType="separate"/>
      </w:r>
      <w:r>
        <w:rPr>
          <w:rStyle w:val="97"/>
          <w:rFonts w:hint="eastAsia"/>
          <w:color w:val="auto"/>
        </w:rPr>
        <w:t>第2章</w:t>
      </w:r>
      <w:r>
        <w:rPr>
          <w:rFonts w:asciiTheme="minorHAnsi" w:hAnsiTheme="minorHAnsi" w:eastAsiaTheme="minorEastAsia" w:cstheme="minorBidi"/>
          <w:b w:val="0"/>
          <w:bCs w:val="0"/>
          <w:caps w:val="0"/>
          <w:color w:val="auto"/>
          <w:sz w:val="21"/>
          <w:szCs w:val="22"/>
        </w:rPr>
        <w:tab/>
      </w:r>
      <w:r>
        <w:rPr>
          <w:rStyle w:val="97"/>
          <w:rFonts w:hint="eastAsia"/>
          <w:color w:val="auto"/>
        </w:rPr>
        <w:t>总则</w:t>
      </w:r>
      <w:r>
        <w:rPr>
          <w:color w:val="auto"/>
        </w:rPr>
        <w:tab/>
      </w:r>
      <w:r>
        <w:rPr>
          <w:color w:val="auto"/>
        </w:rPr>
        <w:fldChar w:fldCharType="begin"/>
      </w:r>
      <w:r>
        <w:rPr>
          <w:color w:val="auto"/>
        </w:rPr>
        <w:instrText xml:space="preserve"> PAGEREF _Toc37350043 \h </w:instrText>
      </w:r>
      <w:r>
        <w:rPr>
          <w:color w:val="auto"/>
        </w:rPr>
        <w:fldChar w:fldCharType="separate"/>
      </w:r>
      <w:r>
        <w:rPr>
          <w:color w:val="auto"/>
        </w:rPr>
        <w:t>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"_Toc37350044" </w:instrText>
      </w:r>
      <w:r>
        <w:rPr>
          <w:color w:val="auto"/>
        </w:rPr>
        <w:fldChar w:fldCharType="separate"/>
      </w:r>
      <w:r>
        <w:rPr>
          <w:rStyle w:val="97"/>
          <w:color w:val="auto"/>
        </w:rPr>
        <w:t>2.1</w:t>
      </w:r>
      <w:r>
        <w:rPr>
          <w:rFonts w:asciiTheme="minorHAnsi" w:hAnsiTheme="minorHAnsi" w:eastAsiaTheme="minorEastAsia" w:cstheme="minorBidi"/>
          <w:smallCaps w:val="0"/>
          <w:color w:val="auto"/>
          <w:sz w:val="21"/>
          <w:szCs w:val="22"/>
        </w:rPr>
        <w:tab/>
      </w:r>
      <w:r>
        <w:rPr>
          <w:rStyle w:val="97"/>
          <w:rFonts w:hint="eastAsia"/>
          <w:color w:val="auto"/>
        </w:rPr>
        <w:t>编制依据</w:t>
      </w:r>
      <w:r>
        <w:rPr>
          <w:color w:val="auto"/>
        </w:rPr>
        <w:tab/>
      </w:r>
      <w:r>
        <w:rPr>
          <w:color w:val="auto"/>
        </w:rPr>
        <w:fldChar w:fldCharType="begin"/>
      </w:r>
      <w:r>
        <w:rPr>
          <w:color w:val="auto"/>
        </w:rPr>
        <w:instrText xml:space="preserve"> PAGEREF _Toc37350044 \h </w:instrText>
      </w:r>
      <w:r>
        <w:rPr>
          <w:color w:val="auto"/>
        </w:rPr>
        <w:fldChar w:fldCharType="separate"/>
      </w:r>
      <w:r>
        <w:rPr>
          <w:color w:val="auto"/>
        </w:rPr>
        <w:t>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"_Toc37350045" </w:instrText>
      </w:r>
      <w:r>
        <w:rPr>
          <w:color w:val="auto"/>
        </w:rPr>
        <w:fldChar w:fldCharType="separate"/>
      </w:r>
      <w:r>
        <w:rPr>
          <w:rStyle w:val="97"/>
          <w:color w:val="auto"/>
        </w:rPr>
        <w:t>2.2</w:t>
      </w:r>
      <w:r>
        <w:rPr>
          <w:rFonts w:asciiTheme="minorHAnsi" w:hAnsiTheme="minorHAnsi" w:eastAsiaTheme="minorEastAsia" w:cstheme="minorBidi"/>
          <w:smallCaps w:val="0"/>
          <w:color w:val="auto"/>
          <w:sz w:val="21"/>
          <w:szCs w:val="22"/>
        </w:rPr>
        <w:tab/>
      </w:r>
      <w:r>
        <w:rPr>
          <w:rStyle w:val="97"/>
          <w:rFonts w:hint="eastAsia"/>
          <w:color w:val="auto"/>
        </w:rPr>
        <w:t>评价因子与评价标准</w:t>
      </w:r>
      <w:r>
        <w:rPr>
          <w:color w:val="auto"/>
        </w:rPr>
        <w:tab/>
      </w:r>
      <w:r>
        <w:rPr>
          <w:color w:val="auto"/>
        </w:rPr>
        <w:fldChar w:fldCharType="begin"/>
      </w:r>
      <w:r>
        <w:rPr>
          <w:color w:val="auto"/>
        </w:rPr>
        <w:instrText xml:space="preserve"> PAGEREF _Toc37350045 \h </w:instrText>
      </w:r>
      <w:r>
        <w:rPr>
          <w:color w:val="auto"/>
        </w:rPr>
        <w:fldChar w:fldCharType="separate"/>
      </w:r>
      <w:r>
        <w:rPr>
          <w:color w:val="auto"/>
        </w:rPr>
        <w:t>10</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"_Toc37350046" </w:instrText>
      </w:r>
      <w:r>
        <w:rPr>
          <w:color w:val="auto"/>
        </w:rPr>
        <w:fldChar w:fldCharType="separate"/>
      </w:r>
      <w:r>
        <w:rPr>
          <w:rStyle w:val="97"/>
          <w:color w:val="auto"/>
        </w:rPr>
        <w:t>2.3</w:t>
      </w:r>
      <w:r>
        <w:rPr>
          <w:rFonts w:asciiTheme="minorHAnsi" w:hAnsiTheme="minorHAnsi" w:eastAsiaTheme="minorEastAsia" w:cstheme="minorBidi"/>
          <w:smallCaps w:val="0"/>
          <w:color w:val="auto"/>
          <w:sz w:val="21"/>
          <w:szCs w:val="22"/>
        </w:rPr>
        <w:tab/>
      </w:r>
      <w:r>
        <w:rPr>
          <w:rStyle w:val="97"/>
          <w:rFonts w:hint="eastAsia"/>
          <w:color w:val="auto"/>
        </w:rPr>
        <w:t>评价工作等级和评价范围</w:t>
      </w:r>
      <w:r>
        <w:rPr>
          <w:color w:val="auto"/>
        </w:rPr>
        <w:tab/>
      </w:r>
      <w:r>
        <w:rPr>
          <w:color w:val="auto"/>
        </w:rPr>
        <w:fldChar w:fldCharType="begin"/>
      </w:r>
      <w:r>
        <w:rPr>
          <w:color w:val="auto"/>
        </w:rPr>
        <w:instrText xml:space="preserve"> PAGEREF _Toc37350046 \h </w:instrText>
      </w:r>
      <w:r>
        <w:rPr>
          <w:color w:val="auto"/>
        </w:rPr>
        <w:fldChar w:fldCharType="separate"/>
      </w:r>
      <w:r>
        <w:rPr>
          <w:color w:val="auto"/>
        </w:rPr>
        <w:t>14</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"_Toc37350047" </w:instrText>
      </w:r>
      <w:r>
        <w:rPr>
          <w:color w:val="auto"/>
        </w:rPr>
        <w:fldChar w:fldCharType="separate"/>
      </w:r>
      <w:r>
        <w:rPr>
          <w:rStyle w:val="97"/>
          <w:color w:val="auto"/>
        </w:rPr>
        <w:t>2.4</w:t>
      </w:r>
      <w:r>
        <w:rPr>
          <w:rFonts w:asciiTheme="minorHAnsi" w:hAnsiTheme="minorHAnsi" w:eastAsiaTheme="minorEastAsia" w:cstheme="minorBidi"/>
          <w:smallCaps w:val="0"/>
          <w:color w:val="auto"/>
          <w:sz w:val="21"/>
          <w:szCs w:val="22"/>
        </w:rPr>
        <w:tab/>
      </w:r>
      <w:r>
        <w:rPr>
          <w:rStyle w:val="97"/>
          <w:rFonts w:hint="eastAsia"/>
          <w:color w:val="auto"/>
        </w:rPr>
        <w:t>相关规划及环境功能区划</w:t>
      </w:r>
      <w:r>
        <w:rPr>
          <w:color w:val="auto"/>
        </w:rPr>
        <w:tab/>
      </w:r>
      <w:r>
        <w:rPr>
          <w:color w:val="auto"/>
        </w:rPr>
        <w:fldChar w:fldCharType="begin"/>
      </w:r>
      <w:r>
        <w:rPr>
          <w:color w:val="auto"/>
        </w:rPr>
        <w:instrText xml:space="preserve"> PAGEREF _Toc37350047 \h </w:instrText>
      </w:r>
      <w:r>
        <w:rPr>
          <w:color w:val="auto"/>
        </w:rPr>
        <w:fldChar w:fldCharType="separate"/>
      </w:r>
      <w:r>
        <w:rPr>
          <w:color w:val="auto"/>
        </w:rPr>
        <w:t>18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"_Toc37350048" </w:instrText>
      </w:r>
      <w:r>
        <w:rPr>
          <w:color w:val="auto"/>
        </w:rPr>
        <w:fldChar w:fldCharType="separate"/>
      </w:r>
      <w:r>
        <w:rPr>
          <w:rStyle w:val="97"/>
          <w:color w:val="auto"/>
        </w:rPr>
        <w:t>2.5</w:t>
      </w:r>
      <w:r>
        <w:rPr>
          <w:rFonts w:asciiTheme="minorHAnsi" w:hAnsiTheme="minorHAnsi" w:eastAsiaTheme="minorEastAsia" w:cstheme="minorBidi"/>
          <w:smallCaps w:val="0"/>
          <w:color w:val="auto"/>
          <w:sz w:val="21"/>
          <w:szCs w:val="22"/>
        </w:rPr>
        <w:tab/>
      </w:r>
      <w:r>
        <w:rPr>
          <w:rStyle w:val="97"/>
          <w:rFonts w:hint="eastAsia"/>
          <w:color w:val="auto"/>
        </w:rPr>
        <w:t>主要环境保护目标</w:t>
      </w:r>
      <w:r>
        <w:rPr>
          <w:color w:val="auto"/>
        </w:rPr>
        <w:tab/>
      </w:r>
      <w:r>
        <w:rPr>
          <w:color w:val="auto"/>
        </w:rPr>
        <w:fldChar w:fldCharType="begin"/>
      </w:r>
      <w:r>
        <w:rPr>
          <w:color w:val="auto"/>
        </w:rPr>
        <w:instrText xml:space="preserve"> PAGEREF _Toc37350048 \h </w:instrText>
      </w:r>
      <w:r>
        <w:rPr>
          <w:color w:val="auto"/>
        </w:rPr>
        <w:fldChar w:fldCharType="separate"/>
      </w:r>
      <w:r>
        <w:rPr>
          <w:color w:val="auto"/>
        </w:rPr>
        <w:t>28</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"_Toc37350049" </w:instrText>
      </w:r>
      <w:r>
        <w:rPr>
          <w:color w:val="auto"/>
        </w:rPr>
        <w:fldChar w:fldCharType="separate"/>
      </w:r>
      <w:r>
        <w:rPr>
          <w:rStyle w:val="97"/>
          <w:rFonts w:hint="eastAsia"/>
          <w:color w:val="auto"/>
        </w:rPr>
        <w:t>第3章</w:t>
      </w:r>
      <w:r>
        <w:rPr>
          <w:rFonts w:asciiTheme="minorHAnsi" w:hAnsiTheme="minorHAnsi" w:eastAsiaTheme="minorEastAsia" w:cstheme="minorBidi"/>
          <w:b w:val="0"/>
          <w:bCs w:val="0"/>
          <w:caps w:val="0"/>
          <w:color w:val="auto"/>
          <w:sz w:val="21"/>
          <w:szCs w:val="22"/>
        </w:rPr>
        <w:tab/>
      </w:r>
      <w:r>
        <w:rPr>
          <w:rStyle w:val="97"/>
          <w:rFonts w:hint="eastAsia"/>
          <w:color w:val="auto"/>
        </w:rPr>
        <w:t>建设项目概况与工程分析</w:t>
      </w:r>
      <w:r>
        <w:rPr>
          <w:color w:val="auto"/>
        </w:rPr>
        <w:tab/>
      </w:r>
      <w:r>
        <w:rPr>
          <w:color w:val="auto"/>
        </w:rPr>
        <w:fldChar w:fldCharType="begin"/>
      </w:r>
      <w:r>
        <w:rPr>
          <w:color w:val="auto"/>
        </w:rPr>
        <w:instrText xml:space="preserve"> PAGEREF _Toc37350049 \h </w:instrText>
      </w:r>
      <w:r>
        <w:rPr>
          <w:color w:val="auto"/>
        </w:rPr>
        <w:fldChar w:fldCharType="separate"/>
      </w:r>
      <w:r>
        <w:rPr>
          <w:color w:val="auto"/>
        </w:rPr>
        <w:t>30</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"_Toc37350050" </w:instrText>
      </w:r>
      <w:r>
        <w:rPr>
          <w:color w:val="auto"/>
        </w:rPr>
        <w:fldChar w:fldCharType="separate"/>
      </w:r>
      <w:r>
        <w:rPr>
          <w:rStyle w:val="97"/>
          <w:color w:val="auto"/>
        </w:rPr>
        <w:t>3.1</w:t>
      </w:r>
      <w:r>
        <w:rPr>
          <w:rStyle w:val="97"/>
          <w:rFonts w:hint="eastAsia"/>
          <w:color w:val="auto"/>
        </w:rPr>
        <w:t xml:space="preserve"> 建设项目基本情况</w:t>
      </w:r>
      <w:r>
        <w:rPr>
          <w:color w:val="auto"/>
        </w:rPr>
        <w:tab/>
      </w:r>
      <w:r>
        <w:rPr>
          <w:color w:val="auto"/>
        </w:rPr>
        <w:fldChar w:fldCharType="begin"/>
      </w:r>
      <w:r>
        <w:rPr>
          <w:color w:val="auto"/>
        </w:rPr>
        <w:instrText xml:space="preserve"> PAGEREF _Toc37350050 \h </w:instrText>
      </w:r>
      <w:r>
        <w:rPr>
          <w:color w:val="auto"/>
        </w:rPr>
        <w:fldChar w:fldCharType="separate"/>
      </w:r>
      <w:r>
        <w:rPr>
          <w:color w:val="auto"/>
        </w:rPr>
        <w:t>30</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"_Toc37350051" </w:instrText>
      </w:r>
      <w:r>
        <w:rPr>
          <w:color w:val="auto"/>
        </w:rPr>
        <w:fldChar w:fldCharType="separate"/>
      </w:r>
      <w:r>
        <w:rPr>
          <w:rStyle w:val="97"/>
          <w:color w:val="auto"/>
        </w:rPr>
        <w:t>3.2</w:t>
      </w:r>
      <w:r>
        <w:rPr>
          <w:rStyle w:val="97"/>
          <w:rFonts w:hint="eastAsia"/>
          <w:color w:val="auto"/>
        </w:rPr>
        <w:t xml:space="preserve"> 建设项目工程组成</w:t>
      </w:r>
      <w:r>
        <w:rPr>
          <w:color w:val="auto"/>
        </w:rPr>
        <w:tab/>
      </w:r>
      <w:r>
        <w:rPr>
          <w:color w:val="auto"/>
        </w:rPr>
        <w:fldChar w:fldCharType="begin"/>
      </w:r>
      <w:r>
        <w:rPr>
          <w:color w:val="auto"/>
        </w:rPr>
        <w:instrText xml:space="preserve"> PAGEREF _Toc37350051 \h </w:instrText>
      </w:r>
      <w:r>
        <w:rPr>
          <w:color w:val="auto"/>
        </w:rPr>
        <w:fldChar w:fldCharType="separate"/>
      </w:r>
      <w:r>
        <w:rPr>
          <w:color w:val="auto"/>
        </w:rPr>
        <w:t>30</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"_Toc37350052" </w:instrText>
      </w:r>
      <w:r>
        <w:rPr>
          <w:color w:val="auto"/>
        </w:rPr>
        <w:fldChar w:fldCharType="separate"/>
      </w:r>
      <w:r>
        <w:rPr>
          <w:rStyle w:val="97"/>
          <w:color w:val="auto"/>
        </w:rPr>
        <w:t>3.3</w:t>
      </w:r>
      <w:r>
        <w:rPr>
          <w:rStyle w:val="97"/>
          <w:rFonts w:hint="eastAsia"/>
          <w:color w:val="auto"/>
        </w:rPr>
        <w:t xml:space="preserve"> 产品方案</w:t>
      </w:r>
      <w:r>
        <w:rPr>
          <w:color w:val="auto"/>
        </w:rPr>
        <w:tab/>
      </w:r>
      <w:r>
        <w:rPr>
          <w:color w:val="auto"/>
        </w:rPr>
        <w:fldChar w:fldCharType="begin"/>
      </w:r>
      <w:r>
        <w:rPr>
          <w:color w:val="auto"/>
        </w:rPr>
        <w:instrText xml:space="preserve"> PAGEREF _Toc37350052 \h </w:instrText>
      </w:r>
      <w:r>
        <w:rPr>
          <w:color w:val="auto"/>
        </w:rPr>
        <w:fldChar w:fldCharType="separate"/>
      </w:r>
      <w:r>
        <w:rPr>
          <w:color w:val="auto"/>
        </w:rPr>
        <w:t>31</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"_Toc37350053" </w:instrText>
      </w:r>
      <w:r>
        <w:rPr>
          <w:color w:val="auto"/>
        </w:rPr>
        <w:fldChar w:fldCharType="separate"/>
      </w:r>
      <w:r>
        <w:rPr>
          <w:rStyle w:val="97"/>
          <w:color w:val="auto"/>
        </w:rPr>
        <w:t>3.4</w:t>
      </w:r>
      <w:r>
        <w:rPr>
          <w:rStyle w:val="97"/>
          <w:rFonts w:hint="eastAsia"/>
          <w:color w:val="auto"/>
        </w:rPr>
        <w:t xml:space="preserve"> 企业平面布置</w:t>
      </w:r>
      <w:r>
        <w:rPr>
          <w:color w:val="auto"/>
        </w:rPr>
        <w:tab/>
      </w:r>
      <w:r>
        <w:rPr>
          <w:color w:val="auto"/>
        </w:rPr>
        <w:fldChar w:fldCharType="begin"/>
      </w:r>
      <w:r>
        <w:rPr>
          <w:color w:val="auto"/>
        </w:rPr>
        <w:instrText xml:space="preserve"> PAGEREF _Toc37350053 \h </w:instrText>
      </w:r>
      <w:r>
        <w:rPr>
          <w:color w:val="auto"/>
        </w:rPr>
        <w:fldChar w:fldCharType="separate"/>
      </w:r>
      <w:r>
        <w:rPr>
          <w:color w:val="auto"/>
        </w:rPr>
        <w:t>31</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"_Toc37350054" </w:instrText>
      </w:r>
      <w:r>
        <w:rPr>
          <w:color w:val="auto"/>
        </w:rPr>
        <w:fldChar w:fldCharType="separate"/>
      </w:r>
      <w:r>
        <w:rPr>
          <w:rStyle w:val="97"/>
          <w:color w:val="auto"/>
        </w:rPr>
        <w:t>3.5</w:t>
      </w:r>
      <w:r>
        <w:rPr>
          <w:rStyle w:val="97"/>
          <w:rFonts w:hint="eastAsia"/>
          <w:color w:val="auto"/>
        </w:rPr>
        <w:t xml:space="preserve"> 项目原辅材料消耗</w:t>
      </w:r>
      <w:r>
        <w:rPr>
          <w:color w:val="auto"/>
        </w:rPr>
        <w:tab/>
      </w:r>
      <w:r>
        <w:rPr>
          <w:color w:val="auto"/>
        </w:rPr>
        <w:fldChar w:fldCharType="begin"/>
      </w:r>
      <w:r>
        <w:rPr>
          <w:color w:val="auto"/>
        </w:rPr>
        <w:instrText xml:space="preserve"> PAGEREF _Toc37350054 \h </w:instrText>
      </w:r>
      <w:r>
        <w:rPr>
          <w:color w:val="auto"/>
        </w:rPr>
        <w:fldChar w:fldCharType="separate"/>
      </w:r>
      <w:r>
        <w:rPr>
          <w:color w:val="auto"/>
        </w:rPr>
        <w:t>33</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"_Toc37350055" </w:instrText>
      </w:r>
      <w:r>
        <w:rPr>
          <w:color w:val="auto"/>
        </w:rPr>
        <w:fldChar w:fldCharType="separate"/>
      </w:r>
      <w:r>
        <w:rPr>
          <w:rStyle w:val="97"/>
          <w:color w:val="auto"/>
        </w:rPr>
        <w:t>3.6</w:t>
      </w:r>
      <w:r>
        <w:rPr>
          <w:rStyle w:val="97"/>
          <w:rFonts w:hint="eastAsia"/>
          <w:color w:val="auto"/>
        </w:rPr>
        <w:t xml:space="preserve"> 项目主要生产设备</w:t>
      </w:r>
      <w:r>
        <w:rPr>
          <w:color w:val="auto"/>
        </w:rPr>
        <w:tab/>
      </w:r>
      <w:r>
        <w:rPr>
          <w:color w:val="auto"/>
        </w:rPr>
        <w:fldChar w:fldCharType="begin"/>
      </w:r>
      <w:r>
        <w:rPr>
          <w:color w:val="auto"/>
        </w:rPr>
        <w:instrText xml:space="preserve"> PAGEREF _Toc37350055 \h </w:instrText>
      </w:r>
      <w:r>
        <w:rPr>
          <w:color w:val="auto"/>
        </w:rPr>
        <w:fldChar w:fldCharType="separate"/>
      </w:r>
      <w:r>
        <w:rPr>
          <w:color w:val="auto"/>
        </w:rPr>
        <w:t>35</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"_Toc37350056" </w:instrText>
      </w:r>
      <w:r>
        <w:rPr>
          <w:color w:val="auto"/>
        </w:rPr>
        <w:fldChar w:fldCharType="separate"/>
      </w:r>
      <w:r>
        <w:rPr>
          <w:rStyle w:val="97"/>
          <w:color w:val="auto"/>
        </w:rPr>
        <w:t>3.7</w:t>
      </w:r>
      <w:r>
        <w:rPr>
          <w:rStyle w:val="97"/>
          <w:rFonts w:hint="eastAsia"/>
          <w:color w:val="auto"/>
        </w:rPr>
        <w:t xml:space="preserve"> 设备产能匹配性分析及设备先进性分析</w:t>
      </w:r>
      <w:r>
        <w:rPr>
          <w:color w:val="auto"/>
        </w:rPr>
        <w:tab/>
      </w:r>
      <w:r>
        <w:rPr>
          <w:color w:val="auto"/>
        </w:rPr>
        <w:fldChar w:fldCharType="begin"/>
      </w:r>
      <w:r>
        <w:rPr>
          <w:color w:val="auto"/>
        </w:rPr>
        <w:instrText xml:space="preserve"> PAGEREF _Toc37350056 \h </w:instrText>
      </w:r>
      <w:r>
        <w:rPr>
          <w:color w:val="auto"/>
        </w:rPr>
        <w:fldChar w:fldCharType="separate"/>
      </w:r>
      <w:r>
        <w:rPr>
          <w:color w:val="auto"/>
        </w:rPr>
        <w:t>35</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"_Toc37350057" </w:instrText>
      </w:r>
      <w:r>
        <w:rPr>
          <w:color w:val="auto"/>
        </w:rPr>
        <w:fldChar w:fldCharType="separate"/>
      </w:r>
      <w:r>
        <w:rPr>
          <w:rStyle w:val="97"/>
          <w:color w:val="auto"/>
        </w:rPr>
        <w:t>3.8</w:t>
      </w:r>
      <w:r>
        <w:rPr>
          <w:rStyle w:val="97"/>
          <w:rFonts w:hint="eastAsia"/>
          <w:color w:val="auto"/>
        </w:rPr>
        <w:t xml:space="preserve"> 公用工程</w:t>
      </w:r>
      <w:r>
        <w:rPr>
          <w:color w:val="auto"/>
        </w:rPr>
        <w:tab/>
      </w:r>
      <w:r>
        <w:rPr>
          <w:color w:val="auto"/>
        </w:rPr>
        <w:fldChar w:fldCharType="begin"/>
      </w:r>
      <w:r>
        <w:rPr>
          <w:color w:val="auto"/>
        </w:rPr>
        <w:instrText xml:space="preserve"> PAGEREF _Toc37350057 \h </w:instrText>
      </w:r>
      <w:r>
        <w:rPr>
          <w:color w:val="auto"/>
        </w:rPr>
        <w:fldChar w:fldCharType="separate"/>
      </w:r>
      <w:r>
        <w:rPr>
          <w:color w:val="auto"/>
        </w:rPr>
        <w:t>36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"_Toc37350058" </w:instrText>
      </w:r>
      <w:r>
        <w:rPr>
          <w:color w:val="auto"/>
        </w:rPr>
        <w:fldChar w:fldCharType="separate"/>
      </w:r>
      <w:r>
        <w:rPr>
          <w:rStyle w:val="97"/>
          <w:color w:val="auto"/>
        </w:rPr>
        <w:t>3.9</w:t>
      </w:r>
      <w:r>
        <w:rPr>
          <w:rStyle w:val="97"/>
          <w:rFonts w:hint="eastAsia"/>
          <w:color w:val="auto"/>
        </w:rPr>
        <w:t xml:space="preserve"> 环境影响因素分析</w:t>
      </w:r>
      <w:r>
        <w:rPr>
          <w:color w:val="auto"/>
        </w:rPr>
        <w:tab/>
      </w:r>
      <w:r>
        <w:rPr>
          <w:color w:val="auto"/>
        </w:rPr>
        <w:fldChar w:fldCharType="begin"/>
      </w:r>
      <w:r>
        <w:rPr>
          <w:color w:val="auto"/>
        </w:rPr>
        <w:instrText xml:space="preserve"> PAGEREF _Toc37350058 \h </w:instrText>
      </w:r>
      <w:r>
        <w:rPr>
          <w:color w:val="auto"/>
        </w:rPr>
        <w:fldChar w:fldCharType="separate"/>
      </w:r>
      <w:r>
        <w:rPr>
          <w:color w:val="auto"/>
        </w:rPr>
        <w:t>36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"_Toc37350059" </w:instrText>
      </w:r>
      <w:r>
        <w:rPr>
          <w:color w:val="auto"/>
        </w:rPr>
        <w:fldChar w:fldCharType="separate"/>
      </w:r>
      <w:r>
        <w:rPr>
          <w:rStyle w:val="97"/>
          <w:color w:val="auto"/>
        </w:rPr>
        <w:t>3.10</w:t>
      </w:r>
      <w:r>
        <w:rPr>
          <w:rStyle w:val="97"/>
          <w:rFonts w:hint="eastAsia"/>
          <w:color w:val="auto"/>
        </w:rPr>
        <w:t xml:space="preserve"> 污染源强分析</w:t>
      </w:r>
      <w:r>
        <w:rPr>
          <w:color w:val="auto"/>
        </w:rPr>
        <w:tab/>
      </w:r>
      <w:r>
        <w:rPr>
          <w:color w:val="auto"/>
        </w:rPr>
        <w:fldChar w:fldCharType="begin"/>
      </w:r>
      <w:r>
        <w:rPr>
          <w:color w:val="auto"/>
        </w:rPr>
        <w:instrText xml:space="preserve"> PAGEREF _Toc37350059 \h </w:instrText>
      </w:r>
      <w:r>
        <w:rPr>
          <w:color w:val="auto"/>
        </w:rPr>
        <w:fldChar w:fldCharType="separate"/>
      </w:r>
      <w:r>
        <w:rPr>
          <w:color w:val="auto"/>
        </w:rPr>
        <w:t>40</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"_Toc37350060" </w:instrText>
      </w:r>
      <w:r>
        <w:rPr>
          <w:color w:val="auto"/>
        </w:rPr>
        <w:fldChar w:fldCharType="separate"/>
      </w:r>
      <w:r>
        <w:rPr>
          <w:rStyle w:val="97"/>
          <w:color w:val="auto"/>
        </w:rPr>
        <w:t>3.11</w:t>
      </w:r>
      <w:r>
        <w:rPr>
          <w:rStyle w:val="97"/>
          <w:rFonts w:hint="eastAsia"/>
          <w:color w:val="auto"/>
        </w:rPr>
        <w:t xml:space="preserve"> 污染源强汇总</w:t>
      </w:r>
      <w:r>
        <w:rPr>
          <w:color w:val="auto"/>
        </w:rPr>
        <w:tab/>
      </w:r>
      <w:r>
        <w:rPr>
          <w:color w:val="auto"/>
        </w:rPr>
        <w:fldChar w:fldCharType="begin"/>
      </w:r>
      <w:r>
        <w:rPr>
          <w:color w:val="auto"/>
        </w:rPr>
        <w:instrText xml:space="preserve"> PAGEREF _Toc37350060 \h </w:instrText>
      </w:r>
      <w:r>
        <w:rPr>
          <w:color w:val="auto"/>
        </w:rPr>
        <w:fldChar w:fldCharType="separate"/>
      </w:r>
      <w:r>
        <w:rPr>
          <w:color w:val="auto"/>
        </w:rPr>
        <w:t>53</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"_Toc37350061" </w:instrText>
      </w:r>
      <w:r>
        <w:rPr>
          <w:color w:val="auto"/>
        </w:rPr>
        <w:fldChar w:fldCharType="separate"/>
      </w:r>
      <w:r>
        <w:rPr>
          <w:rStyle w:val="97"/>
          <w:color w:val="auto"/>
        </w:rPr>
        <w:t>3.12</w:t>
      </w:r>
      <w:r>
        <w:rPr>
          <w:rStyle w:val="97"/>
          <w:rFonts w:hint="eastAsia"/>
          <w:color w:val="auto"/>
        </w:rPr>
        <w:t xml:space="preserve"> 物料平衡</w:t>
      </w:r>
      <w:r>
        <w:rPr>
          <w:color w:val="auto"/>
        </w:rPr>
        <w:tab/>
      </w:r>
      <w:r>
        <w:rPr>
          <w:color w:val="auto"/>
        </w:rPr>
        <w:fldChar w:fldCharType="begin"/>
      </w:r>
      <w:r>
        <w:rPr>
          <w:color w:val="auto"/>
        </w:rPr>
        <w:instrText xml:space="preserve"> PAGEREF _Toc37350061 \h </w:instrText>
      </w:r>
      <w:r>
        <w:rPr>
          <w:color w:val="auto"/>
        </w:rPr>
        <w:fldChar w:fldCharType="separate"/>
      </w:r>
      <w:r>
        <w:rPr>
          <w:color w:val="auto"/>
        </w:rPr>
        <w:t>54</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"_Toc37350062" </w:instrText>
      </w:r>
      <w:r>
        <w:rPr>
          <w:color w:val="auto"/>
        </w:rPr>
        <w:fldChar w:fldCharType="separate"/>
      </w:r>
      <w:r>
        <w:rPr>
          <w:rStyle w:val="97"/>
          <w:color w:val="auto"/>
        </w:rPr>
        <w:t>3.13</w:t>
      </w:r>
      <w:r>
        <w:rPr>
          <w:rStyle w:val="97"/>
          <w:rFonts w:hint="eastAsia"/>
          <w:color w:val="auto"/>
        </w:rPr>
        <w:t xml:space="preserve"> 污染物排放总量控制</w:t>
      </w:r>
      <w:r>
        <w:rPr>
          <w:color w:val="auto"/>
        </w:rPr>
        <w:tab/>
      </w:r>
      <w:r>
        <w:rPr>
          <w:color w:val="auto"/>
        </w:rPr>
        <w:fldChar w:fldCharType="begin"/>
      </w:r>
      <w:r>
        <w:rPr>
          <w:color w:val="auto"/>
        </w:rPr>
        <w:instrText xml:space="preserve"> PAGEREF _Toc37350062 \h </w:instrText>
      </w:r>
      <w:r>
        <w:rPr>
          <w:color w:val="auto"/>
        </w:rPr>
        <w:fldChar w:fldCharType="separate"/>
      </w:r>
      <w:r>
        <w:rPr>
          <w:color w:val="auto"/>
        </w:rPr>
        <w:t>54</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"_Toc37350063" </w:instrText>
      </w:r>
      <w:r>
        <w:rPr>
          <w:color w:val="auto"/>
        </w:rPr>
        <w:fldChar w:fldCharType="separate"/>
      </w:r>
      <w:r>
        <w:rPr>
          <w:rStyle w:val="97"/>
          <w:color w:val="auto"/>
        </w:rPr>
        <w:t>3.14</w:t>
      </w:r>
      <w:r>
        <w:rPr>
          <w:rFonts w:asciiTheme="minorHAnsi" w:hAnsiTheme="minorHAnsi" w:eastAsiaTheme="minorEastAsia" w:cstheme="minorBidi"/>
          <w:smallCaps w:val="0"/>
          <w:color w:val="auto"/>
          <w:sz w:val="21"/>
          <w:szCs w:val="22"/>
        </w:rPr>
        <w:tab/>
      </w:r>
      <w:r>
        <w:rPr>
          <w:rStyle w:val="97"/>
          <w:rFonts w:hint="eastAsia"/>
          <w:color w:val="auto"/>
        </w:rPr>
        <w:t>清洁生产</w:t>
      </w:r>
      <w:r>
        <w:rPr>
          <w:color w:val="auto"/>
        </w:rPr>
        <w:tab/>
      </w:r>
      <w:r>
        <w:rPr>
          <w:color w:val="auto"/>
        </w:rPr>
        <w:fldChar w:fldCharType="begin"/>
      </w:r>
      <w:r>
        <w:rPr>
          <w:color w:val="auto"/>
        </w:rPr>
        <w:instrText xml:space="preserve"> PAGEREF _Toc37350063 \h </w:instrText>
      </w:r>
      <w:r>
        <w:rPr>
          <w:color w:val="auto"/>
        </w:rPr>
        <w:fldChar w:fldCharType="separate"/>
      </w:r>
      <w:r>
        <w:rPr>
          <w:color w:val="auto"/>
        </w:rPr>
        <w:t>55</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"_Toc37350064" </w:instrText>
      </w:r>
      <w:r>
        <w:rPr>
          <w:color w:val="auto"/>
        </w:rPr>
        <w:fldChar w:fldCharType="separate"/>
      </w:r>
      <w:r>
        <w:rPr>
          <w:rStyle w:val="97"/>
          <w:color w:val="auto"/>
        </w:rPr>
        <w:t>3.15</w:t>
      </w:r>
      <w:r>
        <w:rPr>
          <w:rFonts w:asciiTheme="minorHAnsi" w:hAnsiTheme="minorHAnsi" w:eastAsiaTheme="minorEastAsia" w:cstheme="minorBidi"/>
          <w:smallCaps w:val="0"/>
          <w:color w:val="auto"/>
          <w:sz w:val="21"/>
          <w:szCs w:val="22"/>
        </w:rPr>
        <w:tab/>
      </w:r>
      <w:r>
        <w:rPr>
          <w:rStyle w:val="97"/>
          <w:rFonts w:hint="eastAsia"/>
          <w:color w:val="auto"/>
        </w:rPr>
        <w:t>循环经济</w:t>
      </w:r>
      <w:r>
        <w:rPr>
          <w:color w:val="auto"/>
        </w:rPr>
        <w:tab/>
      </w:r>
      <w:r>
        <w:rPr>
          <w:color w:val="auto"/>
        </w:rPr>
        <w:fldChar w:fldCharType="begin"/>
      </w:r>
      <w:r>
        <w:rPr>
          <w:color w:val="auto"/>
        </w:rPr>
        <w:instrText xml:space="preserve"> PAGEREF _Toc37350064 \h </w:instrText>
      </w:r>
      <w:r>
        <w:rPr>
          <w:color w:val="auto"/>
        </w:rPr>
        <w:fldChar w:fldCharType="separate"/>
      </w:r>
      <w:r>
        <w:rPr>
          <w:color w:val="auto"/>
        </w:rPr>
        <w:t>59</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"_Toc37350065" </w:instrText>
      </w:r>
      <w:r>
        <w:rPr>
          <w:color w:val="auto"/>
        </w:rPr>
        <w:fldChar w:fldCharType="separate"/>
      </w:r>
      <w:r>
        <w:rPr>
          <w:rStyle w:val="97"/>
          <w:rFonts w:hint="eastAsia"/>
          <w:color w:val="auto"/>
        </w:rPr>
        <w:t>第4章</w:t>
      </w:r>
      <w:r>
        <w:rPr>
          <w:rFonts w:asciiTheme="minorHAnsi" w:hAnsiTheme="minorHAnsi" w:eastAsiaTheme="minorEastAsia" w:cstheme="minorBidi"/>
          <w:b w:val="0"/>
          <w:bCs w:val="0"/>
          <w:caps w:val="0"/>
          <w:color w:val="auto"/>
          <w:sz w:val="21"/>
          <w:szCs w:val="22"/>
        </w:rPr>
        <w:tab/>
      </w:r>
      <w:r>
        <w:rPr>
          <w:rStyle w:val="97"/>
          <w:rFonts w:hint="eastAsia"/>
          <w:color w:val="auto"/>
        </w:rPr>
        <w:t>环境现状调查与评价</w:t>
      </w:r>
      <w:r>
        <w:rPr>
          <w:color w:val="auto"/>
        </w:rPr>
        <w:tab/>
      </w:r>
      <w:r>
        <w:rPr>
          <w:color w:val="auto"/>
        </w:rPr>
        <w:fldChar w:fldCharType="begin"/>
      </w:r>
      <w:r>
        <w:rPr>
          <w:color w:val="auto"/>
        </w:rPr>
        <w:instrText xml:space="preserve"> PAGEREF _Toc37350065 \h </w:instrText>
      </w:r>
      <w:r>
        <w:rPr>
          <w:color w:val="auto"/>
        </w:rPr>
        <w:fldChar w:fldCharType="separate"/>
      </w:r>
      <w:r>
        <w:rPr>
          <w:color w:val="auto"/>
        </w:rPr>
        <w:t>61</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"_Toc37350066" </w:instrText>
      </w:r>
      <w:r>
        <w:rPr>
          <w:color w:val="auto"/>
        </w:rPr>
        <w:fldChar w:fldCharType="separate"/>
      </w:r>
      <w:r>
        <w:rPr>
          <w:rStyle w:val="97"/>
          <w:color w:val="auto"/>
        </w:rPr>
        <w:t>4.1</w:t>
      </w:r>
      <w:r>
        <w:rPr>
          <w:rFonts w:asciiTheme="minorHAnsi" w:hAnsiTheme="minorHAnsi" w:eastAsiaTheme="minorEastAsia" w:cstheme="minorBidi"/>
          <w:smallCaps w:val="0"/>
          <w:color w:val="auto"/>
          <w:sz w:val="21"/>
          <w:szCs w:val="22"/>
        </w:rPr>
        <w:tab/>
      </w:r>
      <w:r>
        <w:rPr>
          <w:rStyle w:val="97"/>
          <w:rFonts w:hint="eastAsia"/>
          <w:color w:val="auto"/>
        </w:rPr>
        <w:t>自然环境概况</w:t>
      </w:r>
      <w:r>
        <w:rPr>
          <w:color w:val="auto"/>
        </w:rPr>
        <w:tab/>
      </w:r>
      <w:r>
        <w:rPr>
          <w:color w:val="auto"/>
        </w:rPr>
        <w:fldChar w:fldCharType="begin"/>
      </w:r>
      <w:r>
        <w:rPr>
          <w:color w:val="auto"/>
        </w:rPr>
        <w:instrText xml:space="preserve"> PAGEREF _Toc37350066 \h </w:instrText>
      </w:r>
      <w:r>
        <w:rPr>
          <w:color w:val="auto"/>
        </w:rPr>
        <w:fldChar w:fldCharType="separate"/>
      </w:r>
      <w:r>
        <w:rPr>
          <w:color w:val="auto"/>
        </w:rPr>
        <w:t>61</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"_Toc37350067" </w:instrText>
      </w:r>
      <w:r>
        <w:rPr>
          <w:color w:val="auto"/>
        </w:rPr>
        <w:fldChar w:fldCharType="separate"/>
      </w:r>
      <w:r>
        <w:rPr>
          <w:rStyle w:val="97"/>
          <w:color w:val="auto"/>
        </w:rPr>
        <w:t>4.2</w:t>
      </w:r>
      <w:r>
        <w:rPr>
          <w:rFonts w:asciiTheme="minorHAnsi" w:hAnsiTheme="minorHAnsi" w:eastAsiaTheme="minorEastAsia" w:cstheme="minorBidi"/>
          <w:smallCaps w:val="0"/>
          <w:color w:val="auto"/>
          <w:sz w:val="21"/>
          <w:szCs w:val="22"/>
        </w:rPr>
        <w:tab/>
      </w:r>
      <w:r>
        <w:rPr>
          <w:rStyle w:val="97"/>
          <w:rFonts w:hint="eastAsia"/>
          <w:color w:val="auto"/>
        </w:rPr>
        <w:t>环境保护目标调查</w:t>
      </w:r>
      <w:r>
        <w:rPr>
          <w:color w:val="auto"/>
        </w:rPr>
        <w:tab/>
      </w:r>
      <w:r>
        <w:rPr>
          <w:color w:val="auto"/>
        </w:rPr>
        <w:fldChar w:fldCharType="begin"/>
      </w:r>
      <w:r>
        <w:rPr>
          <w:color w:val="auto"/>
        </w:rPr>
        <w:instrText xml:space="preserve"> PAGEREF _Toc37350067 \h </w:instrText>
      </w:r>
      <w:r>
        <w:rPr>
          <w:color w:val="auto"/>
        </w:rPr>
        <w:fldChar w:fldCharType="separate"/>
      </w:r>
      <w:r>
        <w:rPr>
          <w:color w:val="auto"/>
        </w:rPr>
        <w:t>65</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"_Toc37350068" </w:instrText>
      </w:r>
      <w:r>
        <w:rPr>
          <w:color w:val="auto"/>
        </w:rPr>
        <w:fldChar w:fldCharType="separate"/>
      </w:r>
      <w:r>
        <w:rPr>
          <w:rStyle w:val="97"/>
          <w:color w:val="auto"/>
        </w:rPr>
        <w:t>4.3</w:t>
      </w:r>
      <w:r>
        <w:rPr>
          <w:rFonts w:asciiTheme="minorHAnsi" w:hAnsiTheme="minorHAnsi" w:eastAsiaTheme="minorEastAsia" w:cstheme="minorBidi"/>
          <w:smallCaps w:val="0"/>
          <w:color w:val="auto"/>
          <w:sz w:val="21"/>
          <w:szCs w:val="22"/>
        </w:rPr>
        <w:tab/>
      </w:r>
      <w:r>
        <w:rPr>
          <w:rStyle w:val="97"/>
          <w:rFonts w:hint="eastAsia"/>
          <w:color w:val="auto"/>
        </w:rPr>
        <w:t>环境质量现状监测与评价</w:t>
      </w:r>
      <w:r>
        <w:rPr>
          <w:color w:val="auto"/>
        </w:rPr>
        <w:tab/>
      </w:r>
      <w:r>
        <w:rPr>
          <w:color w:val="auto"/>
        </w:rPr>
        <w:fldChar w:fldCharType="begin"/>
      </w:r>
      <w:r>
        <w:rPr>
          <w:color w:val="auto"/>
        </w:rPr>
        <w:instrText xml:space="preserve"> PAGEREF _Toc37350068 \h </w:instrText>
      </w:r>
      <w:r>
        <w:rPr>
          <w:color w:val="auto"/>
        </w:rPr>
        <w:fldChar w:fldCharType="separate"/>
      </w:r>
      <w:r>
        <w:rPr>
          <w:color w:val="auto"/>
        </w:rPr>
        <w:t>65</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"_Toc37350069" </w:instrText>
      </w:r>
      <w:r>
        <w:rPr>
          <w:color w:val="auto"/>
        </w:rPr>
        <w:fldChar w:fldCharType="separate"/>
      </w:r>
      <w:r>
        <w:rPr>
          <w:rStyle w:val="97"/>
          <w:rFonts w:hint="eastAsia"/>
          <w:color w:val="auto"/>
        </w:rPr>
        <w:t>第5章</w:t>
      </w:r>
      <w:r>
        <w:rPr>
          <w:rFonts w:asciiTheme="minorHAnsi" w:hAnsiTheme="minorHAnsi" w:eastAsiaTheme="minorEastAsia" w:cstheme="minorBidi"/>
          <w:b w:val="0"/>
          <w:bCs w:val="0"/>
          <w:caps w:val="0"/>
          <w:color w:val="auto"/>
          <w:sz w:val="21"/>
          <w:szCs w:val="22"/>
        </w:rPr>
        <w:tab/>
      </w:r>
      <w:r>
        <w:rPr>
          <w:rStyle w:val="97"/>
          <w:rFonts w:hint="eastAsia"/>
          <w:color w:val="auto"/>
        </w:rPr>
        <w:t>环境影响预测与评价</w:t>
      </w:r>
      <w:r>
        <w:rPr>
          <w:color w:val="auto"/>
        </w:rPr>
        <w:tab/>
      </w:r>
      <w:r>
        <w:rPr>
          <w:color w:val="auto"/>
        </w:rPr>
        <w:fldChar w:fldCharType="begin"/>
      </w:r>
      <w:r>
        <w:rPr>
          <w:color w:val="auto"/>
        </w:rPr>
        <w:instrText xml:space="preserve"> PAGEREF _Toc37350069 \h </w:instrText>
      </w:r>
      <w:r>
        <w:rPr>
          <w:color w:val="auto"/>
        </w:rPr>
        <w:fldChar w:fldCharType="separate"/>
      </w:r>
      <w:r>
        <w:rPr>
          <w:color w:val="auto"/>
        </w:rPr>
        <w:t>78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"_Toc37350070" </w:instrText>
      </w:r>
      <w:r>
        <w:rPr>
          <w:color w:val="auto"/>
        </w:rPr>
        <w:fldChar w:fldCharType="separate"/>
      </w:r>
      <w:r>
        <w:rPr>
          <w:rStyle w:val="97"/>
          <w:color w:val="auto"/>
        </w:rPr>
        <w:t>5.1</w:t>
      </w:r>
      <w:r>
        <w:rPr>
          <w:rFonts w:asciiTheme="minorHAnsi" w:hAnsiTheme="minorHAnsi" w:eastAsiaTheme="minorEastAsia" w:cstheme="minorBidi"/>
          <w:smallCaps w:val="0"/>
          <w:color w:val="auto"/>
          <w:sz w:val="21"/>
          <w:szCs w:val="22"/>
        </w:rPr>
        <w:tab/>
      </w:r>
      <w:r>
        <w:rPr>
          <w:rStyle w:val="97"/>
          <w:rFonts w:hint="eastAsia"/>
          <w:color w:val="auto"/>
        </w:rPr>
        <w:t>运营期环境影响预测与评价</w:t>
      </w:r>
      <w:r>
        <w:rPr>
          <w:color w:val="auto"/>
        </w:rPr>
        <w:tab/>
      </w:r>
      <w:r>
        <w:rPr>
          <w:color w:val="auto"/>
        </w:rPr>
        <w:fldChar w:fldCharType="begin"/>
      </w:r>
      <w:r>
        <w:rPr>
          <w:color w:val="auto"/>
        </w:rPr>
        <w:instrText xml:space="preserve"> PAGEREF _Toc37350070 \h </w:instrText>
      </w:r>
      <w:r>
        <w:rPr>
          <w:color w:val="auto"/>
        </w:rPr>
        <w:fldChar w:fldCharType="separate"/>
      </w:r>
      <w:r>
        <w:rPr>
          <w:color w:val="auto"/>
        </w:rPr>
        <w:t>78</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"_Toc37350071" </w:instrText>
      </w:r>
      <w:r>
        <w:rPr>
          <w:color w:val="auto"/>
        </w:rPr>
        <w:fldChar w:fldCharType="separate"/>
      </w:r>
      <w:r>
        <w:rPr>
          <w:rStyle w:val="97"/>
          <w:rFonts w:hint="eastAsia"/>
          <w:color w:val="auto"/>
          <w:kern w:val="44"/>
        </w:rPr>
        <w:t>第6章</w:t>
      </w:r>
      <w:r>
        <w:rPr>
          <w:rFonts w:asciiTheme="minorHAnsi" w:hAnsiTheme="minorHAnsi" w:eastAsiaTheme="minorEastAsia" w:cstheme="minorBidi"/>
          <w:b w:val="0"/>
          <w:bCs w:val="0"/>
          <w:caps w:val="0"/>
          <w:color w:val="auto"/>
          <w:sz w:val="21"/>
          <w:szCs w:val="22"/>
        </w:rPr>
        <w:tab/>
      </w:r>
      <w:r>
        <w:rPr>
          <w:rStyle w:val="97"/>
          <w:rFonts w:hint="eastAsia"/>
          <w:color w:val="auto"/>
          <w:kern w:val="44"/>
        </w:rPr>
        <w:t>环境保护措施及其可行性论证</w:t>
      </w:r>
      <w:r>
        <w:rPr>
          <w:color w:val="auto"/>
        </w:rPr>
        <w:tab/>
      </w:r>
      <w:r>
        <w:rPr>
          <w:color w:val="auto"/>
        </w:rPr>
        <w:fldChar w:fldCharType="begin"/>
      </w:r>
      <w:r>
        <w:rPr>
          <w:color w:val="auto"/>
        </w:rPr>
        <w:instrText xml:space="preserve"> PAGEREF _Toc37350071 \h </w:instrText>
      </w:r>
      <w:r>
        <w:rPr>
          <w:color w:val="auto"/>
        </w:rPr>
        <w:fldChar w:fldCharType="separate"/>
      </w:r>
      <w:r>
        <w:rPr>
          <w:color w:val="auto"/>
        </w:rPr>
        <w:t>104</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"_Toc37350072" </w:instrText>
      </w:r>
      <w:r>
        <w:rPr>
          <w:color w:val="auto"/>
        </w:rPr>
        <w:fldChar w:fldCharType="separate"/>
      </w:r>
      <w:r>
        <w:rPr>
          <w:rStyle w:val="97"/>
          <w:color w:val="auto"/>
        </w:rPr>
        <w:t>6.1</w:t>
      </w:r>
      <w:r>
        <w:rPr>
          <w:rFonts w:asciiTheme="minorHAnsi" w:hAnsiTheme="minorHAnsi" w:eastAsiaTheme="minorEastAsia" w:cstheme="minorBidi"/>
          <w:smallCaps w:val="0"/>
          <w:color w:val="auto"/>
          <w:sz w:val="21"/>
          <w:szCs w:val="22"/>
        </w:rPr>
        <w:tab/>
      </w:r>
      <w:r>
        <w:rPr>
          <w:rStyle w:val="97"/>
          <w:rFonts w:hint="eastAsia"/>
          <w:color w:val="auto"/>
        </w:rPr>
        <w:t>废气治理措施</w:t>
      </w:r>
      <w:r>
        <w:rPr>
          <w:color w:val="auto"/>
        </w:rPr>
        <w:tab/>
      </w:r>
      <w:r>
        <w:rPr>
          <w:color w:val="auto"/>
        </w:rPr>
        <w:fldChar w:fldCharType="begin"/>
      </w:r>
      <w:r>
        <w:rPr>
          <w:color w:val="auto"/>
        </w:rPr>
        <w:instrText xml:space="preserve"> PAGEREF _Toc37350072 \h </w:instrText>
      </w:r>
      <w:r>
        <w:rPr>
          <w:color w:val="auto"/>
        </w:rPr>
        <w:fldChar w:fldCharType="separate"/>
      </w:r>
      <w:r>
        <w:rPr>
          <w:color w:val="auto"/>
        </w:rPr>
        <w:t>104</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"_Toc37350073" </w:instrText>
      </w:r>
      <w:r>
        <w:rPr>
          <w:color w:val="auto"/>
        </w:rPr>
        <w:fldChar w:fldCharType="separate"/>
      </w:r>
      <w:r>
        <w:rPr>
          <w:rStyle w:val="97"/>
          <w:color w:val="auto"/>
        </w:rPr>
        <w:t>6.2</w:t>
      </w:r>
      <w:r>
        <w:rPr>
          <w:rFonts w:asciiTheme="minorHAnsi" w:hAnsiTheme="minorHAnsi" w:eastAsiaTheme="minorEastAsia" w:cstheme="minorBidi"/>
          <w:smallCaps w:val="0"/>
          <w:color w:val="auto"/>
          <w:sz w:val="21"/>
          <w:szCs w:val="22"/>
        </w:rPr>
        <w:tab/>
      </w:r>
      <w:r>
        <w:rPr>
          <w:rStyle w:val="97"/>
          <w:rFonts w:hint="eastAsia"/>
          <w:color w:val="auto"/>
        </w:rPr>
        <w:t>废水污染防治措施</w:t>
      </w:r>
      <w:r>
        <w:rPr>
          <w:color w:val="auto"/>
        </w:rPr>
        <w:tab/>
      </w:r>
      <w:r>
        <w:rPr>
          <w:color w:val="auto"/>
        </w:rPr>
        <w:fldChar w:fldCharType="begin"/>
      </w:r>
      <w:r>
        <w:rPr>
          <w:color w:val="auto"/>
        </w:rPr>
        <w:instrText xml:space="preserve"> PAGEREF _Toc37350073 \h </w:instrText>
      </w:r>
      <w:r>
        <w:rPr>
          <w:color w:val="auto"/>
        </w:rPr>
        <w:fldChar w:fldCharType="separate"/>
      </w:r>
      <w:r>
        <w:rPr>
          <w:color w:val="auto"/>
        </w:rPr>
        <w:t>107</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"_Toc37350074" </w:instrText>
      </w:r>
      <w:r>
        <w:rPr>
          <w:color w:val="auto"/>
        </w:rPr>
        <w:fldChar w:fldCharType="separate"/>
      </w:r>
      <w:r>
        <w:rPr>
          <w:rStyle w:val="97"/>
          <w:color w:val="auto"/>
        </w:rPr>
        <w:t>6.3</w:t>
      </w:r>
      <w:r>
        <w:rPr>
          <w:rFonts w:asciiTheme="minorHAnsi" w:hAnsiTheme="minorHAnsi" w:eastAsiaTheme="minorEastAsia" w:cstheme="minorBidi"/>
          <w:smallCaps w:val="0"/>
          <w:color w:val="auto"/>
          <w:sz w:val="21"/>
          <w:szCs w:val="22"/>
        </w:rPr>
        <w:tab/>
      </w:r>
      <w:r>
        <w:rPr>
          <w:rStyle w:val="97"/>
          <w:rFonts w:hint="eastAsia"/>
          <w:color w:val="auto"/>
        </w:rPr>
        <w:t>噪声污染防治措施</w:t>
      </w:r>
      <w:r>
        <w:rPr>
          <w:color w:val="auto"/>
        </w:rPr>
        <w:tab/>
      </w:r>
      <w:r>
        <w:rPr>
          <w:color w:val="auto"/>
        </w:rPr>
        <w:fldChar w:fldCharType="begin"/>
      </w:r>
      <w:r>
        <w:rPr>
          <w:color w:val="auto"/>
        </w:rPr>
        <w:instrText xml:space="preserve"> PAGEREF _Toc37350074 \h </w:instrText>
      </w:r>
      <w:r>
        <w:rPr>
          <w:color w:val="auto"/>
        </w:rPr>
        <w:fldChar w:fldCharType="separate"/>
      </w:r>
      <w:r>
        <w:rPr>
          <w:color w:val="auto"/>
        </w:rPr>
        <w:t>108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"_Toc37350075" </w:instrText>
      </w:r>
      <w:r>
        <w:rPr>
          <w:color w:val="auto"/>
        </w:rPr>
        <w:fldChar w:fldCharType="separate"/>
      </w:r>
      <w:r>
        <w:rPr>
          <w:rStyle w:val="97"/>
          <w:color w:val="auto"/>
        </w:rPr>
        <w:t>6.4</w:t>
      </w:r>
      <w:r>
        <w:rPr>
          <w:rFonts w:asciiTheme="minorHAnsi" w:hAnsiTheme="minorHAnsi" w:eastAsiaTheme="minorEastAsia" w:cstheme="minorBidi"/>
          <w:smallCaps w:val="0"/>
          <w:color w:val="auto"/>
          <w:sz w:val="21"/>
          <w:szCs w:val="22"/>
        </w:rPr>
        <w:tab/>
      </w:r>
      <w:r>
        <w:rPr>
          <w:rStyle w:val="97"/>
          <w:rFonts w:hint="eastAsia"/>
          <w:color w:val="auto"/>
        </w:rPr>
        <w:t>固体废物污染防治措施</w:t>
      </w:r>
      <w:r>
        <w:rPr>
          <w:color w:val="auto"/>
        </w:rPr>
        <w:tab/>
      </w:r>
      <w:r>
        <w:rPr>
          <w:color w:val="auto"/>
        </w:rPr>
        <w:fldChar w:fldCharType="begin"/>
      </w:r>
      <w:r>
        <w:rPr>
          <w:color w:val="auto"/>
        </w:rPr>
        <w:instrText xml:space="preserve"> PAGEREF _Toc37350075 \h </w:instrText>
      </w:r>
      <w:r>
        <w:rPr>
          <w:color w:val="auto"/>
        </w:rPr>
        <w:fldChar w:fldCharType="separate"/>
      </w:r>
      <w:r>
        <w:rPr>
          <w:color w:val="auto"/>
        </w:rPr>
        <w:t>108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"_Toc37350076" </w:instrText>
      </w:r>
      <w:r>
        <w:rPr>
          <w:color w:val="auto"/>
        </w:rPr>
        <w:fldChar w:fldCharType="separate"/>
      </w:r>
      <w:r>
        <w:rPr>
          <w:rStyle w:val="97"/>
          <w:color w:val="auto"/>
        </w:rPr>
        <w:t>6.5</w:t>
      </w:r>
      <w:r>
        <w:rPr>
          <w:rFonts w:asciiTheme="minorHAnsi" w:hAnsiTheme="minorHAnsi" w:eastAsiaTheme="minorEastAsia" w:cstheme="minorBidi"/>
          <w:smallCaps w:val="0"/>
          <w:color w:val="auto"/>
          <w:sz w:val="21"/>
          <w:szCs w:val="22"/>
        </w:rPr>
        <w:tab/>
      </w:r>
      <w:r>
        <w:rPr>
          <w:rStyle w:val="97"/>
          <w:rFonts w:hint="eastAsia"/>
          <w:color w:val="auto"/>
        </w:rPr>
        <w:t>地下水污染防治对策与建议</w:t>
      </w:r>
      <w:r>
        <w:rPr>
          <w:color w:val="auto"/>
        </w:rPr>
        <w:tab/>
      </w:r>
      <w:r>
        <w:rPr>
          <w:color w:val="auto"/>
        </w:rPr>
        <w:fldChar w:fldCharType="begin"/>
      </w:r>
      <w:r>
        <w:rPr>
          <w:color w:val="auto"/>
        </w:rPr>
        <w:instrText xml:space="preserve"> PAGEREF _Toc37350076 \h </w:instrText>
      </w:r>
      <w:r>
        <w:rPr>
          <w:color w:val="auto"/>
        </w:rPr>
        <w:fldChar w:fldCharType="separate"/>
      </w:r>
      <w:r>
        <w:rPr>
          <w:color w:val="auto"/>
        </w:rPr>
        <w:t>109</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"_Toc37350077" </w:instrText>
      </w:r>
      <w:r>
        <w:rPr>
          <w:color w:val="auto"/>
        </w:rPr>
        <w:fldChar w:fldCharType="separate"/>
      </w:r>
      <w:r>
        <w:rPr>
          <w:rStyle w:val="97"/>
          <w:color w:val="auto"/>
        </w:rPr>
        <w:t>6.6</w:t>
      </w:r>
      <w:r>
        <w:rPr>
          <w:rFonts w:asciiTheme="minorHAnsi" w:hAnsiTheme="minorHAnsi" w:eastAsiaTheme="minorEastAsia" w:cstheme="minorBidi"/>
          <w:smallCaps w:val="0"/>
          <w:color w:val="auto"/>
          <w:sz w:val="21"/>
          <w:szCs w:val="22"/>
        </w:rPr>
        <w:tab/>
      </w:r>
      <w:r>
        <w:rPr>
          <w:rStyle w:val="97"/>
          <w:rFonts w:hint="eastAsia"/>
          <w:color w:val="auto"/>
        </w:rPr>
        <w:t>事故排放防治措施</w:t>
      </w:r>
      <w:r>
        <w:rPr>
          <w:color w:val="auto"/>
        </w:rPr>
        <w:tab/>
      </w:r>
      <w:r>
        <w:rPr>
          <w:color w:val="auto"/>
        </w:rPr>
        <w:fldChar w:fldCharType="begin"/>
      </w:r>
      <w:r>
        <w:rPr>
          <w:color w:val="auto"/>
        </w:rPr>
        <w:instrText xml:space="preserve"> PAGEREF _Toc37350077 \h </w:instrText>
      </w:r>
      <w:r>
        <w:rPr>
          <w:color w:val="auto"/>
        </w:rPr>
        <w:fldChar w:fldCharType="separate"/>
      </w:r>
      <w:r>
        <w:rPr>
          <w:color w:val="auto"/>
        </w:rPr>
        <w:t>114</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"_Toc37350078" </w:instrText>
      </w:r>
      <w:r>
        <w:rPr>
          <w:color w:val="auto"/>
        </w:rPr>
        <w:fldChar w:fldCharType="separate"/>
      </w:r>
      <w:r>
        <w:rPr>
          <w:rStyle w:val="97"/>
          <w:color w:val="auto"/>
        </w:rPr>
        <w:t>6.7</w:t>
      </w:r>
      <w:r>
        <w:rPr>
          <w:rFonts w:asciiTheme="minorHAnsi" w:hAnsiTheme="minorHAnsi" w:eastAsiaTheme="minorEastAsia" w:cstheme="minorBidi"/>
          <w:smallCaps w:val="0"/>
          <w:color w:val="auto"/>
          <w:sz w:val="21"/>
          <w:szCs w:val="22"/>
        </w:rPr>
        <w:tab/>
      </w:r>
      <w:r>
        <w:rPr>
          <w:rStyle w:val="97"/>
          <w:rFonts w:hint="eastAsia"/>
          <w:color w:val="auto"/>
        </w:rPr>
        <w:t>污染防治对策汇总</w:t>
      </w:r>
      <w:r>
        <w:rPr>
          <w:color w:val="auto"/>
        </w:rPr>
        <w:tab/>
      </w:r>
      <w:r>
        <w:rPr>
          <w:color w:val="auto"/>
        </w:rPr>
        <w:fldChar w:fldCharType="begin"/>
      </w:r>
      <w:r>
        <w:rPr>
          <w:color w:val="auto"/>
        </w:rPr>
        <w:instrText xml:space="preserve"> PAGEREF _Toc37350078 \h </w:instrText>
      </w:r>
      <w:r>
        <w:rPr>
          <w:color w:val="auto"/>
        </w:rPr>
        <w:fldChar w:fldCharType="separate"/>
      </w:r>
      <w:r>
        <w:rPr>
          <w:color w:val="auto"/>
        </w:rPr>
        <w:t>114</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"_Toc37350079" </w:instrText>
      </w:r>
      <w:r>
        <w:rPr>
          <w:color w:val="auto"/>
        </w:rPr>
        <w:fldChar w:fldCharType="separate"/>
      </w:r>
      <w:r>
        <w:rPr>
          <w:rStyle w:val="97"/>
          <w:rFonts w:hint="eastAsia"/>
          <w:color w:val="auto"/>
          <w:kern w:val="44"/>
        </w:rPr>
        <w:t>第7章</w:t>
      </w:r>
      <w:r>
        <w:rPr>
          <w:rFonts w:asciiTheme="minorHAnsi" w:hAnsiTheme="minorHAnsi" w:eastAsiaTheme="minorEastAsia" w:cstheme="minorBidi"/>
          <w:b w:val="0"/>
          <w:bCs w:val="0"/>
          <w:caps w:val="0"/>
          <w:color w:val="auto"/>
          <w:sz w:val="21"/>
          <w:szCs w:val="22"/>
        </w:rPr>
        <w:tab/>
      </w:r>
      <w:r>
        <w:rPr>
          <w:rStyle w:val="97"/>
          <w:rFonts w:hint="eastAsia"/>
          <w:color w:val="auto"/>
          <w:kern w:val="44"/>
        </w:rPr>
        <w:t>环境影响经济损益分析</w:t>
      </w:r>
      <w:r>
        <w:rPr>
          <w:color w:val="auto"/>
        </w:rPr>
        <w:tab/>
      </w:r>
      <w:r>
        <w:rPr>
          <w:color w:val="auto"/>
        </w:rPr>
        <w:fldChar w:fldCharType="begin"/>
      </w:r>
      <w:r>
        <w:rPr>
          <w:color w:val="auto"/>
        </w:rPr>
        <w:instrText xml:space="preserve"> PAGEREF _Toc37350079 \h </w:instrText>
      </w:r>
      <w:r>
        <w:rPr>
          <w:color w:val="auto"/>
        </w:rPr>
        <w:fldChar w:fldCharType="separate"/>
      </w:r>
      <w:r>
        <w:rPr>
          <w:color w:val="auto"/>
        </w:rPr>
        <w:t>116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"_Toc37350080" </w:instrText>
      </w:r>
      <w:r>
        <w:rPr>
          <w:color w:val="auto"/>
        </w:rPr>
        <w:fldChar w:fldCharType="separate"/>
      </w:r>
      <w:r>
        <w:rPr>
          <w:rStyle w:val="97"/>
          <w:color w:val="auto"/>
        </w:rPr>
        <w:t>7.1</w:t>
      </w:r>
      <w:r>
        <w:rPr>
          <w:rFonts w:asciiTheme="minorHAnsi" w:hAnsiTheme="minorHAnsi" w:eastAsiaTheme="minorEastAsia" w:cstheme="minorBidi"/>
          <w:smallCaps w:val="0"/>
          <w:color w:val="auto"/>
          <w:sz w:val="21"/>
          <w:szCs w:val="22"/>
        </w:rPr>
        <w:tab/>
      </w:r>
      <w:r>
        <w:rPr>
          <w:rStyle w:val="97"/>
          <w:rFonts w:hint="eastAsia"/>
          <w:color w:val="auto"/>
          <w:kern w:val="0"/>
        </w:rPr>
        <w:t>项目实施后环境影响预测与环境质量现状比较</w:t>
      </w:r>
      <w:r>
        <w:rPr>
          <w:color w:val="auto"/>
        </w:rPr>
        <w:tab/>
      </w:r>
      <w:r>
        <w:rPr>
          <w:color w:val="auto"/>
        </w:rPr>
        <w:fldChar w:fldCharType="begin"/>
      </w:r>
      <w:r>
        <w:rPr>
          <w:color w:val="auto"/>
        </w:rPr>
        <w:instrText xml:space="preserve"> PAGEREF _Toc37350080 \h </w:instrText>
      </w:r>
      <w:r>
        <w:rPr>
          <w:color w:val="auto"/>
        </w:rPr>
        <w:fldChar w:fldCharType="separate"/>
      </w:r>
      <w:r>
        <w:rPr>
          <w:color w:val="auto"/>
        </w:rPr>
        <w:t>116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"_Toc37350081" </w:instrText>
      </w:r>
      <w:r>
        <w:rPr>
          <w:color w:val="auto"/>
        </w:rPr>
        <w:fldChar w:fldCharType="separate"/>
      </w:r>
      <w:r>
        <w:rPr>
          <w:rStyle w:val="97"/>
          <w:color w:val="auto"/>
        </w:rPr>
        <w:t>7.2</w:t>
      </w:r>
      <w:r>
        <w:rPr>
          <w:rFonts w:asciiTheme="minorHAnsi" w:hAnsiTheme="minorHAnsi" w:eastAsiaTheme="minorEastAsia" w:cstheme="minorBidi"/>
          <w:smallCaps w:val="0"/>
          <w:color w:val="auto"/>
          <w:sz w:val="21"/>
          <w:szCs w:val="22"/>
        </w:rPr>
        <w:tab/>
      </w:r>
      <w:r>
        <w:rPr>
          <w:rStyle w:val="97"/>
          <w:rFonts w:hint="eastAsia"/>
          <w:color w:val="auto"/>
          <w:kern w:val="0"/>
        </w:rPr>
        <w:t>环境影响经济损益分析</w:t>
      </w:r>
      <w:r>
        <w:rPr>
          <w:color w:val="auto"/>
        </w:rPr>
        <w:tab/>
      </w:r>
      <w:r>
        <w:rPr>
          <w:color w:val="auto"/>
        </w:rPr>
        <w:fldChar w:fldCharType="begin"/>
      </w:r>
      <w:r>
        <w:rPr>
          <w:color w:val="auto"/>
        </w:rPr>
        <w:instrText xml:space="preserve"> PAGEREF _Toc37350081 \h </w:instrText>
      </w:r>
      <w:r>
        <w:rPr>
          <w:color w:val="auto"/>
        </w:rPr>
        <w:fldChar w:fldCharType="separate"/>
      </w:r>
      <w:r>
        <w:rPr>
          <w:color w:val="auto"/>
        </w:rPr>
        <w:t>116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"_Toc37350082" </w:instrText>
      </w:r>
      <w:r>
        <w:rPr>
          <w:color w:val="auto"/>
        </w:rPr>
        <w:fldChar w:fldCharType="separate"/>
      </w:r>
      <w:r>
        <w:rPr>
          <w:rStyle w:val="97"/>
          <w:color w:val="auto"/>
        </w:rPr>
        <w:t>7.3</w:t>
      </w:r>
      <w:r>
        <w:rPr>
          <w:rFonts w:asciiTheme="minorHAnsi" w:hAnsiTheme="minorHAnsi" w:eastAsiaTheme="minorEastAsia" w:cstheme="minorBidi"/>
          <w:smallCaps w:val="0"/>
          <w:color w:val="auto"/>
          <w:sz w:val="21"/>
          <w:szCs w:val="22"/>
        </w:rPr>
        <w:tab/>
      </w:r>
      <w:r>
        <w:rPr>
          <w:rStyle w:val="97"/>
          <w:rFonts w:hint="eastAsia"/>
          <w:color w:val="auto"/>
          <w:kern w:val="0"/>
        </w:rPr>
        <w:t>环境影响经济损益分析结果</w:t>
      </w:r>
      <w:r>
        <w:rPr>
          <w:color w:val="auto"/>
        </w:rPr>
        <w:tab/>
      </w:r>
      <w:r>
        <w:rPr>
          <w:color w:val="auto"/>
        </w:rPr>
        <w:fldChar w:fldCharType="begin"/>
      </w:r>
      <w:r>
        <w:rPr>
          <w:color w:val="auto"/>
        </w:rPr>
        <w:instrText xml:space="preserve"> PAGEREF _Toc37350082 \h </w:instrText>
      </w:r>
      <w:r>
        <w:rPr>
          <w:color w:val="auto"/>
        </w:rPr>
        <w:fldChar w:fldCharType="separate"/>
      </w:r>
      <w:r>
        <w:rPr>
          <w:color w:val="auto"/>
        </w:rPr>
        <w:t>117</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"_Toc37350083" </w:instrText>
      </w:r>
      <w:r>
        <w:rPr>
          <w:color w:val="auto"/>
        </w:rPr>
        <w:fldChar w:fldCharType="separate"/>
      </w:r>
      <w:r>
        <w:rPr>
          <w:rStyle w:val="97"/>
          <w:rFonts w:hint="eastAsia"/>
          <w:color w:val="auto"/>
        </w:rPr>
        <w:t>第8章</w:t>
      </w:r>
      <w:r>
        <w:rPr>
          <w:rFonts w:asciiTheme="minorHAnsi" w:hAnsiTheme="minorHAnsi" w:eastAsiaTheme="minorEastAsia" w:cstheme="minorBidi"/>
          <w:b w:val="0"/>
          <w:bCs w:val="0"/>
          <w:caps w:val="0"/>
          <w:color w:val="auto"/>
          <w:sz w:val="21"/>
          <w:szCs w:val="22"/>
        </w:rPr>
        <w:tab/>
      </w:r>
      <w:r>
        <w:rPr>
          <w:rStyle w:val="97"/>
          <w:rFonts w:hint="eastAsia"/>
          <w:color w:val="auto"/>
          <w:kern w:val="44"/>
        </w:rPr>
        <w:t>环境管理和环境监测计划</w:t>
      </w:r>
      <w:r>
        <w:rPr>
          <w:color w:val="auto"/>
        </w:rPr>
        <w:tab/>
      </w:r>
      <w:r>
        <w:rPr>
          <w:color w:val="auto"/>
        </w:rPr>
        <w:fldChar w:fldCharType="begin"/>
      </w:r>
      <w:r>
        <w:rPr>
          <w:color w:val="auto"/>
        </w:rPr>
        <w:instrText xml:space="preserve"> PAGEREF _Toc37350083 \h </w:instrText>
      </w:r>
      <w:r>
        <w:rPr>
          <w:color w:val="auto"/>
        </w:rPr>
        <w:fldChar w:fldCharType="separate"/>
      </w:r>
      <w:r>
        <w:rPr>
          <w:color w:val="auto"/>
        </w:rPr>
        <w:t>119</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"_Toc37350084" </w:instrText>
      </w:r>
      <w:r>
        <w:rPr>
          <w:color w:val="auto"/>
        </w:rPr>
        <w:fldChar w:fldCharType="separate"/>
      </w:r>
      <w:r>
        <w:rPr>
          <w:rStyle w:val="97"/>
          <w:color w:val="auto"/>
        </w:rPr>
        <w:t>8.1</w:t>
      </w:r>
      <w:r>
        <w:rPr>
          <w:rStyle w:val="97"/>
          <w:rFonts w:hint="eastAsia"/>
          <w:color w:val="auto"/>
        </w:rPr>
        <w:t xml:space="preserve"> 环境管理要求</w:t>
      </w:r>
      <w:r>
        <w:rPr>
          <w:color w:val="auto"/>
        </w:rPr>
        <w:tab/>
      </w:r>
      <w:r>
        <w:rPr>
          <w:color w:val="auto"/>
        </w:rPr>
        <w:fldChar w:fldCharType="begin"/>
      </w:r>
      <w:r>
        <w:rPr>
          <w:color w:val="auto"/>
        </w:rPr>
        <w:instrText xml:space="preserve"> PAGEREF _Toc37350084 \h </w:instrText>
      </w:r>
      <w:r>
        <w:rPr>
          <w:color w:val="auto"/>
        </w:rPr>
        <w:fldChar w:fldCharType="separate"/>
      </w:r>
      <w:r>
        <w:rPr>
          <w:color w:val="auto"/>
        </w:rPr>
        <w:t>119</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"_Toc37350085" </w:instrText>
      </w:r>
      <w:r>
        <w:rPr>
          <w:color w:val="auto"/>
        </w:rPr>
        <w:fldChar w:fldCharType="separate"/>
      </w:r>
      <w:r>
        <w:rPr>
          <w:rStyle w:val="97"/>
          <w:color w:val="auto"/>
        </w:rPr>
        <w:t>8.2</w:t>
      </w:r>
      <w:r>
        <w:rPr>
          <w:rStyle w:val="97"/>
          <w:rFonts w:hint="eastAsia"/>
          <w:color w:val="auto"/>
        </w:rPr>
        <w:t xml:space="preserve"> 污染物排放管理要求</w:t>
      </w:r>
      <w:r>
        <w:rPr>
          <w:color w:val="auto"/>
        </w:rPr>
        <w:tab/>
      </w:r>
      <w:r>
        <w:rPr>
          <w:color w:val="auto"/>
        </w:rPr>
        <w:fldChar w:fldCharType="begin"/>
      </w:r>
      <w:r>
        <w:rPr>
          <w:color w:val="auto"/>
        </w:rPr>
        <w:instrText xml:space="preserve"> PAGEREF _Toc37350085 \h </w:instrText>
      </w:r>
      <w:r>
        <w:rPr>
          <w:color w:val="auto"/>
        </w:rPr>
        <w:fldChar w:fldCharType="separate"/>
      </w:r>
      <w:r>
        <w:rPr>
          <w:color w:val="auto"/>
        </w:rPr>
        <w:t>120</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"_Toc37350086" </w:instrText>
      </w:r>
      <w:r>
        <w:rPr>
          <w:color w:val="auto"/>
        </w:rPr>
        <w:fldChar w:fldCharType="separate"/>
      </w:r>
      <w:r>
        <w:rPr>
          <w:rStyle w:val="97"/>
          <w:color w:val="auto"/>
        </w:rPr>
        <w:t>8.3</w:t>
      </w:r>
      <w:r>
        <w:rPr>
          <w:rStyle w:val="97"/>
          <w:rFonts w:hint="eastAsia"/>
          <w:color w:val="auto"/>
        </w:rPr>
        <w:t xml:space="preserve"> 环境管理制度</w:t>
      </w:r>
      <w:r>
        <w:rPr>
          <w:color w:val="auto"/>
        </w:rPr>
        <w:tab/>
      </w:r>
      <w:r>
        <w:rPr>
          <w:color w:val="auto"/>
        </w:rPr>
        <w:fldChar w:fldCharType="begin"/>
      </w:r>
      <w:r>
        <w:rPr>
          <w:color w:val="auto"/>
        </w:rPr>
        <w:instrText xml:space="preserve"> PAGEREF _Toc37350086 \h </w:instrText>
      </w:r>
      <w:r>
        <w:rPr>
          <w:color w:val="auto"/>
        </w:rPr>
        <w:fldChar w:fldCharType="separate"/>
      </w:r>
      <w:r>
        <w:rPr>
          <w:color w:val="auto"/>
        </w:rPr>
        <w:t>122</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"_Toc37350087" </w:instrText>
      </w:r>
      <w:r>
        <w:rPr>
          <w:color w:val="auto"/>
        </w:rPr>
        <w:fldChar w:fldCharType="separate"/>
      </w:r>
      <w:r>
        <w:rPr>
          <w:rStyle w:val="97"/>
          <w:color w:val="auto"/>
        </w:rPr>
        <w:t>8.4</w:t>
      </w:r>
      <w:r>
        <w:rPr>
          <w:rStyle w:val="97"/>
          <w:rFonts w:hint="eastAsia"/>
          <w:color w:val="auto"/>
        </w:rPr>
        <w:t xml:space="preserve"> 环境监测计划</w:t>
      </w:r>
      <w:r>
        <w:rPr>
          <w:color w:val="auto"/>
        </w:rPr>
        <w:tab/>
      </w:r>
      <w:r>
        <w:rPr>
          <w:color w:val="auto"/>
        </w:rPr>
        <w:fldChar w:fldCharType="begin"/>
      </w:r>
      <w:r>
        <w:rPr>
          <w:color w:val="auto"/>
        </w:rPr>
        <w:instrText xml:space="preserve"> PAGEREF _Toc37350087 \h </w:instrText>
      </w:r>
      <w:r>
        <w:rPr>
          <w:color w:val="auto"/>
        </w:rPr>
        <w:fldChar w:fldCharType="separate"/>
      </w:r>
      <w:r>
        <w:rPr>
          <w:color w:val="auto"/>
        </w:rPr>
        <w:t>123</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"_Toc37350088" </w:instrText>
      </w:r>
      <w:r>
        <w:rPr>
          <w:color w:val="auto"/>
        </w:rPr>
        <w:fldChar w:fldCharType="separate"/>
      </w:r>
      <w:r>
        <w:rPr>
          <w:rStyle w:val="97"/>
          <w:color w:val="auto"/>
        </w:rPr>
        <w:t>8.5</w:t>
      </w:r>
      <w:r>
        <w:rPr>
          <w:rStyle w:val="97"/>
          <w:rFonts w:hint="eastAsia"/>
          <w:color w:val="auto"/>
        </w:rPr>
        <w:t xml:space="preserve"> 项目环保</w:t>
      </w:r>
      <w:r>
        <w:rPr>
          <w:rStyle w:val="97"/>
          <w:color w:val="auto"/>
        </w:rPr>
        <w:t>“</w:t>
      </w:r>
      <w:r>
        <w:rPr>
          <w:rStyle w:val="97"/>
          <w:rFonts w:hint="eastAsia"/>
          <w:color w:val="auto"/>
        </w:rPr>
        <w:t>三同时</w:t>
      </w:r>
      <w:r>
        <w:rPr>
          <w:rStyle w:val="97"/>
          <w:color w:val="auto"/>
        </w:rPr>
        <w:t>”</w:t>
      </w:r>
      <w:r>
        <w:rPr>
          <w:rStyle w:val="97"/>
          <w:rFonts w:hint="eastAsia"/>
          <w:color w:val="auto"/>
        </w:rPr>
        <w:t>竣工验收一览表</w:t>
      </w:r>
      <w:r>
        <w:rPr>
          <w:color w:val="auto"/>
        </w:rPr>
        <w:tab/>
      </w:r>
      <w:r>
        <w:rPr>
          <w:color w:val="auto"/>
        </w:rPr>
        <w:fldChar w:fldCharType="begin"/>
      </w:r>
      <w:r>
        <w:rPr>
          <w:color w:val="auto"/>
        </w:rPr>
        <w:instrText xml:space="preserve"> PAGEREF _Toc37350088 \h </w:instrText>
      </w:r>
      <w:r>
        <w:rPr>
          <w:color w:val="auto"/>
        </w:rPr>
        <w:fldChar w:fldCharType="separate"/>
      </w:r>
      <w:r>
        <w:rPr>
          <w:color w:val="auto"/>
        </w:rPr>
        <w:t>124</w:t>
      </w:r>
      <w:r>
        <w:rPr>
          <w:color w:val="auto"/>
        </w:rPr>
        <w:fldChar w:fldCharType="end"/>
      </w:r>
      <w:r>
        <w:rPr>
          <w:color w:val="auto"/>
        </w:rPr>
        <w:fldChar w:fldCharType="end"/>
      </w:r>
    </w:p>
    <w:p>
      <w:pPr>
        <w:pStyle w:val="55"/>
        <w:tabs>
          <w:tab w:val="left" w:pos="96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"_Toc37350089" </w:instrText>
      </w:r>
      <w:r>
        <w:rPr>
          <w:color w:val="auto"/>
        </w:rPr>
        <w:fldChar w:fldCharType="separate"/>
      </w:r>
      <w:r>
        <w:rPr>
          <w:rStyle w:val="97"/>
          <w:rFonts w:hint="eastAsia"/>
          <w:color w:val="auto"/>
        </w:rPr>
        <w:t>第9章</w:t>
      </w:r>
      <w:r>
        <w:rPr>
          <w:rFonts w:asciiTheme="minorHAnsi" w:hAnsiTheme="minorHAnsi" w:eastAsiaTheme="minorEastAsia" w:cstheme="minorBidi"/>
          <w:b w:val="0"/>
          <w:bCs w:val="0"/>
          <w:caps w:val="0"/>
          <w:color w:val="auto"/>
          <w:sz w:val="21"/>
          <w:szCs w:val="22"/>
        </w:rPr>
        <w:tab/>
      </w:r>
      <w:r>
        <w:rPr>
          <w:rStyle w:val="97"/>
          <w:rFonts w:hint="eastAsia"/>
          <w:color w:val="auto"/>
        </w:rPr>
        <w:t>环境影响评价结论</w:t>
      </w:r>
      <w:r>
        <w:rPr>
          <w:color w:val="auto"/>
        </w:rPr>
        <w:tab/>
      </w:r>
      <w:r>
        <w:rPr>
          <w:color w:val="auto"/>
        </w:rPr>
        <w:fldChar w:fldCharType="begin"/>
      </w:r>
      <w:r>
        <w:rPr>
          <w:color w:val="auto"/>
        </w:rPr>
        <w:instrText xml:space="preserve"> PAGEREF _Toc37350089 \h </w:instrText>
      </w:r>
      <w:r>
        <w:rPr>
          <w:color w:val="auto"/>
        </w:rPr>
        <w:fldChar w:fldCharType="separate"/>
      </w:r>
      <w:r>
        <w:rPr>
          <w:color w:val="auto"/>
        </w:rPr>
        <w:t>125</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"_Toc37350090" </w:instrText>
      </w:r>
      <w:r>
        <w:rPr>
          <w:color w:val="auto"/>
        </w:rPr>
        <w:fldChar w:fldCharType="separate"/>
      </w:r>
      <w:r>
        <w:rPr>
          <w:rStyle w:val="97"/>
          <w:color w:val="auto"/>
        </w:rPr>
        <w:t>9.1</w:t>
      </w:r>
      <w:r>
        <w:rPr>
          <w:rStyle w:val="97"/>
          <w:rFonts w:hint="eastAsia"/>
          <w:color w:val="auto"/>
        </w:rPr>
        <w:t xml:space="preserve"> 建设项目概况</w:t>
      </w:r>
      <w:r>
        <w:rPr>
          <w:color w:val="auto"/>
        </w:rPr>
        <w:tab/>
      </w:r>
      <w:r>
        <w:rPr>
          <w:color w:val="auto"/>
        </w:rPr>
        <w:fldChar w:fldCharType="begin"/>
      </w:r>
      <w:r>
        <w:rPr>
          <w:color w:val="auto"/>
        </w:rPr>
        <w:instrText xml:space="preserve"> PAGEREF _Toc37350090 \h </w:instrText>
      </w:r>
      <w:r>
        <w:rPr>
          <w:color w:val="auto"/>
        </w:rPr>
        <w:fldChar w:fldCharType="separate"/>
      </w:r>
      <w:r>
        <w:rPr>
          <w:color w:val="auto"/>
        </w:rPr>
        <w:t>125</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"_Toc37350091" </w:instrText>
      </w:r>
      <w:r>
        <w:rPr>
          <w:color w:val="auto"/>
        </w:rPr>
        <w:fldChar w:fldCharType="separate"/>
      </w:r>
      <w:r>
        <w:rPr>
          <w:rStyle w:val="97"/>
          <w:color w:val="auto"/>
        </w:rPr>
        <w:t>9.2</w:t>
      </w:r>
      <w:r>
        <w:rPr>
          <w:rStyle w:val="97"/>
          <w:rFonts w:hint="eastAsia"/>
          <w:color w:val="auto"/>
        </w:rPr>
        <w:t xml:space="preserve"> 环境质量现状</w:t>
      </w:r>
      <w:r>
        <w:rPr>
          <w:color w:val="auto"/>
        </w:rPr>
        <w:tab/>
      </w:r>
      <w:r>
        <w:rPr>
          <w:color w:val="auto"/>
        </w:rPr>
        <w:fldChar w:fldCharType="begin"/>
      </w:r>
      <w:r>
        <w:rPr>
          <w:color w:val="auto"/>
        </w:rPr>
        <w:instrText xml:space="preserve"> PAGEREF _Toc37350091 \h </w:instrText>
      </w:r>
      <w:r>
        <w:rPr>
          <w:color w:val="auto"/>
        </w:rPr>
        <w:fldChar w:fldCharType="separate"/>
      </w:r>
      <w:r>
        <w:rPr>
          <w:color w:val="auto"/>
        </w:rPr>
        <w:t>125</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"_Toc37350092" </w:instrText>
      </w:r>
      <w:r>
        <w:rPr>
          <w:color w:val="auto"/>
        </w:rPr>
        <w:fldChar w:fldCharType="separate"/>
      </w:r>
      <w:r>
        <w:rPr>
          <w:rStyle w:val="97"/>
          <w:color w:val="auto"/>
        </w:rPr>
        <w:t>9.3</w:t>
      </w:r>
      <w:r>
        <w:rPr>
          <w:rStyle w:val="97"/>
          <w:rFonts w:hint="eastAsia"/>
          <w:color w:val="auto"/>
        </w:rPr>
        <w:t xml:space="preserve"> 污染物排放情况</w:t>
      </w:r>
      <w:r>
        <w:rPr>
          <w:color w:val="auto"/>
        </w:rPr>
        <w:tab/>
      </w:r>
      <w:r>
        <w:rPr>
          <w:color w:val="auto"/>
        </w:rPr>
        <w:fldChar w:fldCharType="begin"/>
      </w:r>
      <w:r>
        <w:rPr>
          <w:color w:val="auto"/>
        </w:rPr>
        <w:instrText xml:space="preserve"> PAGEREF _Toc37350092 \h </w:instrText>
      </w:r>
      <w:r>
        <w:rPr>
          <w:color w:val="auto"/>
        </w:rPr>
        <w:fldChar w:fldCharType="separate"/>
      </w:r>
      <w:r>
        <w:rPr>
          <w:color w:val="auto"/>
        </w:rPr>
        <w:t>126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"_Toc37350093" </w:instrText>
      </w:r>
      <w:r>
        <w:rPr>
          <w:color w:val="auto"/>
        </w:rPr>
        <w:fldChar w:fldCharType="separate"/>
      </w:r>
      <w:r>
        <w:rPr>
          <w:rStyle w:val="97"/>
          <w:color w:val="auto"/>
        </w:rPr>
        <w:t>9.4</w:t>
      </w:r>
      <w:r>
        <w:rPr>
          <w:rStyle w:val="97"/>
          <w:rFonts w:hint="eastAsia"/>
          <w:color w:val="auto"/>
        </w:rPr>
        <w:t xml:space="preserve"> 主要环境影响评价结论</w:t>
      </w:r>
      <w:r>
        <w:rPr>
          <w:color w:val="auto"/>
        </w:rPr>
        <w:tab/>
      </w:r>
      <w:r>
        <w:rPr>
          <w:color w:val="auto"/>
        </w:rPr>
        <w:fldChar w:fldCharType="begin"/>
      </w:r>
      <w:r>
        <w:rPr>
          <w:color w:val="auto"/>
        </w:rPr>
        <w:instrText xml:space="preserve"> PAGEREF _Toc37350093 \h </w:instrText>
      </w:r>
      <w:r>
        <w:rPr>
          <w:color w:val="auto"/>
        </w:rPr>
        <w:fldChar w:fldCharType="separate"/>
      </w:r>
      <w:r>
        <w:rPr>
          <w:color w:val="auto"/>
        </w:rPr>
        <w:t>126</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"_Toc37350094" </w:instrText>
      </w:r>
      <w:r>
        <w:rPr>
          <w:color w:val="auto"/>
        </w:rPr>
        <w:fldChar w:fldCharType="separate"/>
      </w:r>
      <w:r>
        <w:rPr>
          <w:rStyle w:val="97"/>
          <w:color w:val="auto"/>
        </w:rPr>
        <w:t>9.5</w:t>
      </w:r>
      <w:r>
        <w:rPr>
          <w:rStyle w:val="97"/>
          <w:rFonts w:hint="eastAsia"/>
          <w:color w:val="auto"/>
        </w:rPr>
        <w:t xml:space="preserve"> 污染防治措施汇总</w:t>
      </w:r>
      <w:r>
        <w:rPr>
          <w:color w:val="auto"/>
        </w:rPr>
        <w:tab/>
      </w:r>
      <w:r>
        <w:rPr>
          <w:color w:val="auto"/>
        </w:rPr>
        <w:fldChar w:fldCharType="begin"/>
      </w:r>
      <w:r>
        <w:rPr>
          <w:color w:val="auto"/>
        </w:rPr>
        <w:instrText xml:space="preserve"> PAGEREF _Toc37350094 \h </w:instrText>
      </w:r>
      <w:r>
        <w:rPr>
          <w:color w:val="auto"/>
        </w:rPr>
        <w:fldChar w:fldCharType="separate"/>
      </w:r>
      <w:r>
        <w:rPr>
          <w:color w:val="auto"/>
        </w:rPr>
        <w:t>128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"_Toc37350095" </w:instrText>
      </w:r>
      <w:r>
        <w:rPr>
          <w:color w:val="auto"/>
        </w:rPr>
        <w:fldChar w:fldCharType="separate"/>
      </w:r>
      <w:r>
        <w:rPr>
          <w:rStyle w:val="97"/>
          <w:color w:val="auto"/>
        </w:rPr>
        <w:t>9.6</w:t>
      </w:r>
      <w:r>
        <w:rPr>
          <w:rStyle w:val="97"/>
          <w:rFonts w:hint="eastAsia"/>
          <w:color w:val="auto"/>
        </w:rPr>
        <w:t xml:space="preserve"> 公众意见采纳情况</w:t>
      </w:r>
      <w:r>
        <w:rPr>
          <w:color w:val="auto"/>
        </w:rPr>
        <w:tab/>
      </w:r>
      <w:r>
        <w:rPr>
          <w:color w:val="auto"/>
        </w:rPr>
        <w:fldChar w:fldCharType="begin"/>
      </w:r>
      <w:r>
        <w:rPr>
          <w:color w:val="auto"/>
        </w:rPr>
        <w:instrText xml:space="preserve"> PAGEREF _Toc37350095 \h </w:instrText>
      </w:r>
      <w:r>
        <w:rPr>
          <w:color w:val="auto"/>
        </w:rPr>
        <w:fldChar w:fldCharType="separate"/>
      </w:r>
      <w:r>
        <w:rPr>
          <w:color w:val="auto"/>
        </w:rPr>
        <w:t>128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"_Toc37350096" </w:instrText>
      </w:r>
      <w:r>
        <w:rPr>
          <w:color w:val="auto"/>
        </w:rPr>
        <w:fldChar w:fldCharType="separate"/>
      </w:r>
      <w:r>
        <w:rPr>
          <w:rStyle w:val="97"/>
          <w:color w:val="auto"/>
        </w:rPr>
        <w:t>9.7</w:t>
      </w:r>
      <w:r>
        <w:rPr>
          <w:rStyle w:val="97"/>
          <w:rFonts w:hint="eastAsia"/>
          <w:color w:val="auto"/>
        </w:rPr>
        <w:t xml:space="preserve"> 相关管理规定及技术规范符合性分析</w:t>
      </w:r>
      <w:r>
        <w:rPr>
          <w:color w:val="auto"/>
        </w:rPr>
        <w:tab/>
      </w:r>
      <w:r>
        <w:rPr>
          <w:color w:val="auto"/>
        </w:rPr>
        <w:fldChar w:fldCharType="begin"/>
      </w:r>
      <w:r>
        <w:rPr>
          <w:color w:val="auto"/>
        </w:rPr>
        <w:instrText xml:space="preserve"> PAGEREF _Toc37350096 \h </w:instrText>
      </w:r>
      <w:r>
        <w:rPr>
          <w:color w:val="auto"/>
        </w:rPr>
        <w:fldChar w:fldCharType="separate"/>
      </w:r>
      <w:r>
        <w:rPr>
          <w:color w:val="auto"/>
        </w:rPr>
        <w:t>129</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"_Toc37350097" </w:instrText>
      </w:r>
      <w:r>
        <w:rPr>
          <w:color w:val="auto"/>
        </w:rPr>
        <w:fldChar w:fldCharType="separate"/>
      </w:r>
      <w:r>
        <w:rPr>
          <w:rStyle w:val="97"/>
          <w:color w:val="auto"/>
        </w:rPr>
        <w:t>9.8</w:t>
      </w:r>
      <w:r>
        <w:rPr>
          <w:rStyle w:val="97"/>
          <w:rFonts w:hint="eastAsia"/>
          <w:color w:val="auto"/>
        </w:rPr>
        <w:t xml:space="preserve"> 环境影响经济损益分析</w:t>
      </w:r>
      <w:r>
        <w:rPr>
          <w:color w:val="auto"/>
        </w:rPr>
        <w:tab/>
      </w:r>
      <w:r>
        <w:rPr>
          <w:color w:val="auto"/>
        </w:rPr>
        <w:fldChar w:fldCharType="begin"/>
      </w:r>
      <w:r>
        <w:rPr>
          <w:color w:val="auto"/>
        </w:rPr>
        <w:instrText xml:space="preserve"> PAGEREF _Toc37350097 \h </w:instrText>
      </w:r>
      <w:r>
        <w:rPr>
          <w:color w:val="auto"/>
        </w:rPr>
        <w:fldChar w:fldCharType="separate"/>
      </w:r>
      <w:r>
        <w:rPr>
          <w:color w:val="auto"/>
        </w:rPr>
        <w:t>138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"_Toc37350098" </w:instrText>
      </w:r>
      <w:r>
        <w:rPr>
          <w:color w:val="auto"/>
        </w:rPr>
        <w:fldChar w:fldCharType="separate"/>
      </w:r>
      <w:r>
        <w:rPr>
          <w:rStyle w:val="97"/>
          <w:color w:val="auto"/>
        </w:rPr>
        <w:t>9.9</w:t>
      </w:r>
      <w:r>
        <w:rPr>
          <w:rStyle w:val="97"/>
          <w:rFonts w:hint="eastAsia"/>
          <w:color w:val="auto"/>
        </w:rPr>
        <w:t xml:space="preserve"> 环境管理与监测计划</w:t>
      </w:r>
      <w:r>
        <w:rPr>
          <w:color w:val="auto"/>
        </w:rPr>
        <w:tab/>
      </w:r>
      <w:r>
        <w:rPr>
          <w:color w:val="auto"/>
        </w:rPr>
        <w:fldChar w:fldCharType="begin"/>
      </w:r>
      <w:r>
        <w:rPr>
          <w:color w:val="auto"/>
        </w:rPr>
        <w:instrText xml:space="preserve"> PAGEREF _Toc37350098 \h </w:instrText>
      </w:r>
      <w:r>
        <w:rPr>
          <w:color w:val="auto"/>
        </w:rPr>
        <w:fldChar w:fldCharType="separate"/>
      </w:r>
      <w:r>
        <w:rPr>
          <w:color w:val="auto"/>
        </w:rPr>
        <w:t>138</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"_Toc37350099" </w:instrText>
      </w:r>
      <w:r>
        <w:rPr>
          <w:color w:val="auto"/>
        </w:rPr>
        <w:fldChar w:fldCharType="separate"/>
      </w:r>
      <w:r>
        <w:rPr>
          <w:rStyle w:val="97"/>
          <w:color w:val="auto"/>
        </w:rPr>
        <w:t>9.10</w:t>
      </w:r>
      <w:r>
        <w:rPr>
          <w:rStyle w:val="97"/>
          <w:rFonts w:hint="eastAsia"/>
          <w:color w:val="auto"/>
        </w:rPr>
        <w:t xml:space="preserve"> 项目选址合理性分析</w:t>
      </w:r>
      <w:r>
        <w:rPr>
          <w:color w:val="auto"/>
        </w:rPr>
        <w:tab/>
      </w:r>
      <w:r>
        <w:rPr>
          <w:color w:val="auto"/>
        </w:rPr>
        <w:fldChar w:fldCharType="begin"/>
      </w:r>
      <w:r>
        <w:rPr>
          <w:color w:val="auto"/>
        </w:rPr>
        <w:instrText xml:space="preserve"> PAGEREF _Toc37350099 \h </w:instrText>
      </w:r>
      <w:r>
        <w:rPr>
          <w:color w:val="auto"/>
        </w:rPr>
        <w:fldChar w:fldCharType="separate"/>
      </w:r>
      <w:r>
        <w:rPr>
          <w:color w:val="auto"/>
        </w:rPr>
        <w:t>139</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"_Toc37350100" </w:instrText>
      </w:r>
      <w:r>
        <w:rPr>
          <w:color w:val="auto"/>
        </w:rPr>
        <w:fldChar w:fldCharType="separate"/>
      </w:r>
      <w:r>
        <w:rPr>
          <w:rStyle w:val="97"/>
          <w:color w:val="auto"/>
        </w:rPr>
        <w:t>9.11 “</w:t>
      </w:r>
      <w:r>
        <w:rPr>
          <w:rStyle w:val="97"/>
          <w:rFonts w:hint="eastAsia"/>
          <w:color w:val="auto"/>
        </w:rPr>
        <w:t>三线一单</w:t>
      </w:r>
      <w:r>
        <w:rPr>
          <w:rStyle w:val="97"/>
          <w:color w:val="auto"/>
        </w:rPr>
        <w:t>”</w:t>
      </w:r>
      <w:r>
        <w:rPr>
          <w:rStyle w:val="97"/>
          <w:rFonts w:hint="eastAsia"/>
          <w:color w:val="auto"/>
        </w:rPr>
        <w:t>符合性分析</w:t>
      </w:r>
      <w:r>
        <w:rPr>
          <w:color w:val="auto"/>
        </w:rPr>
        <w:tab/>
      </w:r>
      <w:r>
        <w:rPr>
          <w:color w:val="auto"/>
        </w:rPr>
        <w:fldChar w:fldCharType="begin"/>
      </w:r>
      <w:r>
        <w:rPr>
          <w:color w:val="auto"/>
        </w:rPr>
        <w:instrText xml:space="preserve"> PAGEREF _Toc37350100 \h </w:instrText>
      </w:r>
      <w:r>
        <w:rPr>
          <w:color w:val="auto"/>
        </w:rPr>
        <w:fldChar w:fldCharType="separate"/>
      </w:r>
      <w:r>
        <w:rPr>
          <w:color w:val="auto"/>
        </w:rPr>
        <w:t>139</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"_Toc37350101" </w:instrText>
      </w:r>
      <w:r>
        <w:rPr>
          <w:color w:val="auto"/>
        </w:rPr>
        <w:fldChar w:fldCharType="separate"/>
      </w:r>
      <w:r>
        <w:rPr>
          <w:rStyle w:val="97"/>
          <w:color w:val="auto"/>
        </w:rPr>
        <w:t>9.12</w:t>
      </w:r>
      <w:r>
        <w:rPr>
          <w:rStyle w:val="97"/>
          <w:rFonts w:hint="eastAsia"/>
          <w:color w:val="auto"/>
        </w:rPr>
        <w:t xml:space="preserve"> 建设项目环保审批原则符合性分析</w:t>
      </w:r>
      <w:r>
        <w:rPr>
          <w:color w:val="auto"/>
        </w:rPr>
        <w:tab/>
      </w:r>
      <w:r>
        <w:rPr>
          <w:color w:val="auto"/>
        </w:rPr>
        <w:fldChar w:fldCharType="begin"/>
      </w:r>
      <w:r>
        <w:rPr>
          <w:color w:val="auto"/>
        </w:rPr>
        <w:instrText xml:space="preserve"> PAGEREF _Toc37350101 \h </w:instrText>
      </w:r>
      <w:r>
        <w:rPr>
          <w:color w:val="auto"/>
        </w:rPr>
        <w:fldChar w:fldCharType="separate"/>
      </w:r>
      <w:r>
        <w:rPr>
          <w:color w:val="auto"/>
        </w:rPr>
        <w:t>140</w:t>
      </w:r>
      <w:r>
        <w:rPr>
          <w:color w:val="auto"/>
        </w:rPr>
        <w:fldChar w:fldCharType="end"/>
      </w:r>
      <w:r>
        <w:rPr>
          <w:color w:val="auto"/>
        </w:rPr>
        <w:fldChar w:fldCharType="end"/>
      </w:r>
    </w:p>
    <w:p>
      <w:pPr>
        <w:pStyle w:val="69"/>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"_Toc37350102" </w:instrText>
      </w:r>
      <w:r>
        <w:rPr>
          <w:color w:val="auto"/>
        </w:rPr>
        <w:fldChar w:fldCharType="separate"/>
      </w:r>
      <w:r>
        <w:rPr>
          <w:rStyle w:val="97"/>
          <w:color w:val="auto"/>
        </w:rPr>
        <w:t>9.13</w:t>
      </w:r>
      <w:r>
        <w:rPr>
          <w:rStyle w:val="97"/>
          <w:rFonts w:hint="eastAsia"/>
          <w:color w:val="auto"/>
        </w:rPr>
        <w:t xml:space="preserve"> 建议</w:t>
      </w:r>
      <w:r>
        <w:rPr>
          <w:color w:val="auto"/>
        </w:rPr>
        <w:tab/>
      </w:r>
      <w:r>
        <w:rPr>
          <w:color w:val="auto"/>
        </w:rPr>
        <w:fldChar w:fldCharType="begin"/>
      </w:r>
      <w:r>
        <w:rPr>
          <w:color w:val="auto"/>
        </w:rPr>
        <w:instrText xml:space="preserve"> PAGEREF _Toc37350102 \h </w:instrText>
      </w:r>
      <w:r>
        <w:rPr>
          <w:color w:val="auto"/>
        </w:rPr>
        <w:fldChar w:fldCharType="separate"/>
      </w:r>
      <w:r>
        <w:rPr>
          <w:color w:val="auto"/>
        </w:rPr>
        <w:t>141</w:t>
      </w:r>
      <w:r>
        <w:rPr>
          <w:color w:val="auto"/>
        </w:rPr>
        <w:fldChar w:fldCharType="end"/>
      </w:r>
      <w:r>
        <w:rPr>
          <w:color w:val="auto"/>
        </w:rPr>
        <w:fldChar w:fldCharType="end"/>
      </w:r>
    </w:p>
    <w:p>
      <w:pPr>
        <w:pStyle w:val="69"/>
        <w:ind w:firstLine="480"/>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"_Toc37350103" </w:instrText>
      </w:r>
      <w:r>
        <w:rPr>
          <w:color w:val="auto"/>
        </w:rPr>
        <w:fldChar w:fldCharType="separate"/>
      </w:r>
      <w:r>
        <w:rPr>
          <w:rStyle w:val="97"/>
          <w:color w:val="auto"/>
        </w:rPr>
        <w:t>9.14</w:t>
      </w:r>
      <w:r>
        <w:rPr>
          <w:rStyle w:val="97"/>
          <w:rFonts w:hint="eastAsia"/>
          <w:color w:val="auto"/>
        </w:rPr>
        <w:t xml:space="preserve"> 环评总结论</w:t>
      </w:r>
      <w:r>
        <w:rPr>
          <w:color w:val="auto"/>
        </w:rPr>
        <w:tab/>
      </w:r>
      <w:r>
        <w:rPr>
          <w:color w:val="auto"/>
        </w:rPr>
        <w:fldChar w:fldCharType="begin"/>
      </w:r>
      <w:r>
        <w:rPr>
          <w:color w:val="auto"/>
        </w:rPr>
        <w:instrText xml:space="preserve"> PAGEREF _Toc37350103 \h </w:instrText>
      </w:r>
      <w:r>
        <w:rPr>
          <w:color w:val="auto"/>
        </w:rPr>
        <w:fldChar w:fldCharType="separate"/>
      </w:r>
      <w:r>
        <w:rPr>
          <w:color w:val="auto"/>
        </w:rPr>
        <w:t>142</w:t>
      </w:r>
      <w:r>
        <w:rPr>
          <w:color w:val="auto"/>
        </w:rPr>
        <w:fldChar w:fldCharType="end"/>
      </w:r>
      <w:r>
        <w:rPr>
          <w:color w:val="auto"/>
        </w:rPr>
        <w:fldChar w:fldCharType="end"/>
      </w:r>
    </w:p>
    <w:p>
      <w:pPr>
        <w:ind w:firstLine="0" w:firstLineChars="0"/>
        <w:rPr>
          <w:rFonts w:ascii="Times New Roman" w:hAnsi="Times New Roman"/>
          <w:b/>
          <w:color w:val="auto"/>
          <w:szCs w:val="24"/>
        </w:rPr>
      </w:pPr>
      <w:r>
        <w:rPr>
          <w:rFonts w:ascii="Times New Roman" w:hAnsi="Times New Roman"/>
          <w:color w:val="auto"/>
          <w:szCs w:val="24"/>
        </w:rPr>
        <w:fldChar w:fldCharType="end"/>
      </w:r>
      <w:r>
        <w:rPr>
          <w:rFonts w:ascii="Times New Roman" w:hAnsi="Times New Roman"/>
          <w:b/>
          <w:color w:val="auto"/>
          <w:szCs w:val="24"/>
        </w:rPr>
        <w:t>附图及附件、附表</w:t>
      </w:r>
    </w:p>
    <w:p>
      <w:pPr>
        <w:ind w:firstLine="0" w:firstLineChars="0"/>
        <w:rPr>
          <w:rFonts w:ascii="Times New Roman" w:hAnsi="Times New Roman"/>
          <w:b/>
          <w:color w:val="auto"/>
          <w:szCs w:val="24"/>
        </w:rPr>
      </w:pPr>
      <w:r>
        <w:rPr>
          <w:rFonts w:ascii="Times New Roman" w:hAnsi="Times New Roman"/>
          <w:b/>
          <w:color w:val="auto"/>
          <w:szCs w:val="24"/>
        </w:rPr>
        <w:t>附图：</w:t>
      </w:r>
    </w:p>
    <w:p>
      <w:pPr>
        <w:ind w:firstLine="480"/>
        <w:rPr>
          <w:rFonts w:ascii="Times New Roman" w:hAnsi="Times New Roman"/>
          <w:color w:val="auto"/>
          <w:szCs w:val="24"/>
        </w:rPr>
      </w:pPr>
      <w:r>
        <w:rPr>
          <w:rFonts w:ascii="Times New Roman" w:hAnsi="Times New Roman"/>
          <w:color w:val="auto"/>
          <w:szCs w:val="24"/>
        </w:rPr>
        <w:t>附图1</w:t>
      </w:r>
      <w:r>
        <w:rPr>
          <w:rFonts w:hint="eastAsia" w:ascii="Times New Roman" w:hAnsi="Times New Roman"/>
          <w:color w:val="auto"/>
          <w:szCs w:val="24"/>
        </w:rPr>
        <w:t xml:space="preserve"> 项目地理位置图</w:t>
      </w:r>
    </w:p>
    <w:p>
      <w:pPr>
        <w:ind w:firstLine="480"/>
        <w:rPr>
          <w:rFonts w:ascii="Times New Roman" w:hAnsi="Times New Roman"/>
          <w:color w:val="auto"/>
          <w:szCs w:val="24"/>
        </w:rPr>
      </w:pPr>
      <w:r>
        <w:rPr>
          <w:rFonts w:ascii="Times New Roman" w:hAnsi="Times New Roman"/>
          <w:color w:val="auto"/>
          <w:szCs w:val="24"/>
        </w:rPr>
        <w:t>附图</w:t>
      </w:r>
      <w:r>
        <w:rPr>
          <w:rFonts w:hint="eastAsia" w:ascii="Times New Roman" w:hAnsi="Times New Roman"/>
          <w:color w:val="auto"/>
          <w:szCs w:val="24"/>
        </w:rPr>
        <w:t>2 温州市龙港环境功能区划图</w:t>
      </w:r>
    </w:p>
    <w:p>
      <w:pPr>
        <w:ind w:firstLine="480"/>
        <w:rPr>
          <w:rFonts w:ascii="Times New Roman" w:hAnsi="Times New Roman"/>
          <w:color w:val="auto"/>
          <w:szCs w:val="24"/>
        </w:rPr>
      </w:pPr>
      <w:r>
        <w:rPr>
          <w:rFonts w:ascii="Times New Roman" w:hAnsi="Times New Roman"/>
          <w:color w:val="auto"/>
          <w:szCs w:val="24"/>
        </w:rPr>
        <w:t>附图</w:t>
      </w:r>
      <w:r>
        <w:rPr>
          <w:rFonts w:hint="eastAsia" w:ascii="Times New Roman" w:hAnsi="Times New Roman"/>
          <w:color w:val="auto"/>
          <w:szCs w:val="24"/>
        </w:rPr>
        <w:t>3 苍南县水环境功能区划图</w:t>
      </w:r>
    </w:p>
    <w:p>
      <w:pPr>
        <w:ind w:firstLine="480"/>
        <w:rPr>
          <w:rFonts w:ascii="Times New Roman" w:hAnsi="Times New Roman"/>
          <w:color w:val="auto"/>
          <w:szCs w:val="24"/>
        </w:rPr>
      </w:pPr>
      <w:r>
        <w:rPr>
          <w:rFonts w:ascii="Times New Roman" w:hAnsi="Times New Roman"/>
          <w:color w:val="auto"/>
          <w:szCs w:val="24"/>
        </w:rPr>
        <w:t>附图</w:t>
      </w:r>
      <w:r>
        <w:rPr>
          <w:rFonts w:hint="eastAsia" w:ascii="Times New Roman" w:hAnsi="Times New Roman"/>
          <w:color w:val="auto"/>
          <w:szCs w:val="24"/>
        </w:rPr>
        <w:t>4 苍南</w:t>
      </w:r>
      <w:r>
        <w:rPr>
          <w:rFonts w:hint="eastAsia" w:ascii="Times New Roman" w:hAnsi="Times New Roman"/>
          <w:bCs/>
          <w:color w:val="auto"/>
          <w:szCs w:val="24"/>
        </w:rPr>
        <w:t>县环境空气质量功能区划分图</w:t>
      </w:r>
    </w:p>
    <w:p>
      <w:pPr>
        <w:ind w:firstLine="480"/>
        <w:rPr>
          <w:rStyle w:val="782"/>
          <w:rFonts w:hint="default" w:ascii="Times New Roman" w:hAnsi="Times New Roman"/>
          <w:color w:val="auto"/>
        </w:rPr>
      </w:pPr>
      <w:r>
        <w:rPr>
          <w:rFonts w:hint="eastAsia" w:ascii="Times New Roman" w:hAnsi="Times New Roman"/>
          <w:color w:val="auto"/>
          <w:szCs w:val="24"/>
        </w:rPr>
        <w:t xml:space="preserve">附图5 </w:t>
      </w:r>
      <w:r>
        <w:rPr>
          <w:rStyle w:val="782"/>
          <w:rFonts w:hint="default" w:ascii="Times New Roman"/>
          <w:color w:val="auto"/>
        </w:rPr>
        <w:t>苍南县龙港新城产业集聚区控制性详细规划图</w:t>
      </w:r>
    </w:p>
    <w:p>
      <w:pPr>
        <w:ind w:firstLine="480"/>
        <w:rPr>
          <w:rFonts w:ascii="Times New Roman" w:hAnsi="Times New Roman"/>
          <w:bCs/>
          <w:color w:val="auto"/>
          <w:szCs w:val="24"/>
        </w:rPr>
      </w:pPr>
      <w:r>
        <w:rPr>
          <w:rFonts w:hint="eastAsia" w:ascii="Times New Roman" w:hAnsi="Times New Roman"/>
          <w:bCs/>
          <w:color w:val="auto"/>
          <w:szCs w:val="24"/>
        </w:rPr>
        <w:t>附图6 项目厂区平面布置图</w:t>
      </w:r>
    </w:p>
    <w:p>
      <w:pPr>
        <w:ind w:firstLine="480"/>
        <w:rPr>
          <w:rFonts w:ascii="Times New Roman" w:hAnsi="Times New Roman"/>
          <w:color w:val="auto"/>
          <w:szCs w:val="24"/>
        </w:rPr>
      </w:pPr>
      <w:r>
        <w:rPr>
          <w:rFonts w:hint="eastAsia" w:ascii="Times New Roman" w:hAnsi="Times New Roman"/>
          <w:color w:val="auto"/>
          <w:szCs w:val="24"/>
        </w:rPr>
        <w:t>附图7 车间平面布局图</w:t>
      </w:r>
    </w:p>
    <w:p>
      <w:pPr>
        <w:ind w:firstLine="480"/>
        <w:rPr>
          <w:rFonts w:ascii="Times New Roman" w:hAnsi="Times New Roman"/>
          <w:color w:val="auto"/>
          <w:szCs w:val="24"/>
        </w:rPr>
      </w:pPr>
      <w:r>
        <w:rPr>
          <w:rFonts w:hint="eastAsia" w:ascii="Times New Roman" w:hAnsi="Times New Roman"/>
          <w:color w:val="auto"/>
          <w:szCs w:val="24"/>
        </w:rPr>
        <w:t>附图8 生态红线图</w:t>
      </w:r>
    </w:p>
    <w:p>
      <w:pPr>
        <w:ind w:firstLine="0" w:firstLineChars="0"/>
        <w:rPr>
          <w:rFonts w:ascii="Times New Roman" w:hAnsi="Times New Roman"/>
          <w:b/>
          <w:color w:val="auto"/>
          <w:szCs w:val="24"/>
        </w:rPr>
      </w:pPr>
      <w:r>
        <w:rPr>
          <w:rFonts w:ascii="Times New Roman" w:hAnsi="Times New Roman"/>
          <w:b/>
          <w:color w:val="auto"/>
          <w:szCs w:val="24"/>
        </w:rPr>
        <w:t>附件：</w:t>
      </w:r>
    </w:p>
    <w:p>
      <w:pPr>
        <w:ind w:left="480" w:leftChars="200" w:firstLine="0" w:firstLineChars="0"/>
        <w:rPr>
          <w:rFonts w:ascii="Times New Roman" w:hAnsi="Times New Roman"/>
          <w:color w:val="auto"/>
        </w:rPr>
      </w:pPr>
      <w:r>
        <w:rPr>
          <w:rFonts w:ascii="Times New Roman" w:hAnsi="Times New Roman"/>
          <w:color w:val="auto"/>
          <w:szCs w:val="24"/>
        </w:rPr>
        <w:t>附件</w:t>
      </w:r>
      <w:r>
        <w:rPr>
          <w:rFonts w:hint="eastAsia" w:ascii="Times New Roman" w:hAnsi="Times New Roman"/>
          <w:color w:val="auto"/>
          <w:szCs w:val="24"/>
        </w:rPr>
        <w:t xml:space="preserve">1 </w:t>
      </w:r>
      <w:r>
        <w:rPr>
          <w:rFonts w:hint="eastAsia" w:ascii="Times New Roman" w:hAnsi="Times New Roman"/>
          <w:color w:val="auto"/>
        </w:rPr>
        <w:t>营业执照</w:t>
      </w:r>
    </w:p>
    <w:p>
      <w:pPr>
        <w:ind w:left="480" w:leftChars="200" w:firstLine="0" w:firstLineChars="0"/>
        <w:rPr>
          <w:rFonts w:ascii="Times New Roman" w:hAnsi="Times New Roman"/>
          <w:color w:val="auto"/>
        </w:rPr>
      </w:pPr>
      <w:r>
        <w:rPr>
          <w:rFonts w:ascii="Times New Roman" w:hAnsi="Times New Roman"/>
          <w:color w:val="auto"/>
        </w:rPr>
        <w:t>附件</w:t>
      </w:r>
      <w:r>
        <w:rPr>
          <w:rFonts w:hint="eastAsia" w:ascii="Times New Roman" w:hAnsi="Times New Roman"/>
          <w:color w:val="auto"/>
        </w:rPr>
        <w:t xml:space="preserve">2 </w:t>
      </w:r>
      <w:r>
        <w:rPr>
          <w:rFonts w:hint="eastAsia" w:ascii="Times New Roman" w:hAnsi="Times New Roman"/>
          <w:color w:val="auto"/>
          <w:szCs w:val="24"/>
        </w:rPr>
        <w:t>土地证</w:t>
      </w:r>
    </w:p>
    <w:p>
      <w:pPr>
        <w:ind w:left="480" w:leftChars="200" w:firstLine="0" w:firstLineChars="0"/>
        <w:rPr>
          <w:rFonts w:ascii="Times New Roman" w:hAnsi="Times New Roman"/>
          <w:color w:val="auto"/>
        </w:rPr>
      </w:pPr>
      <w:r>
        <w:rPr>
          <w:rFonts w:hint="eastAsia" w:ascii="Times New Roman" w:hAnsi="Times New Roman"/>
          <w:color w:val="auto"/>
        </w:rPr>
        <w:t>附件3租赁合同</w:t>
      </w:r>
    </w:p>
    <w:p>
      <w:pPr>
        <w:ind w:left="480" w:leftChars="200" w:firstLine="0" w:firstLineChars="0"/>
        <w:rPr>
          <w:rFonts w:ascii="Times New Roman" w:hAnsi="Times New Roman"/>
          <w:color w:val="auto"/>
        </w:rPr>
      </w:pPr>
      <w:r>
        <w:rPr>
          <w:rFonts w:hint="eastAsia" w:ascii="Times New Roman" w:hAnsi="Times New Roman"/>
          <w:color w:val="auto"/>
        </w:rPr>
        <w:t>附件4</w:t>
      </w:r>
      <w:r>
        <w:rPr>
          <w:rStyle w:val="782"/>
          <w:rFonts w:hint="default" w:ascii="Times New Roman"/>
          <w:color w:val="auto"/>
        </w:rPr>
        <w:t>工业厂房（小微园）出租登记情况表</w:t>
      </w:r>
    </w:p>
    <w:p>
      <w:pPr>
        <w:ind w:firstLine="465" w:firstLineChars="0"/>
        <w:rPr>
          <w:rFonts w:ascii="Times New Roman" w:hAnsi="Times New Roman"/>
          <w:color w:val="auto"/>
        </w:rPr>
      </w:pPr>
      <w:r>
        <w:rPr>
          <w:rFonts w:hint="eastAsia" w:ascii="Times New Roman" w:hAnsi="Times New Roman"/>
          <w:color w:val="auto"/>
        </w:rPr>
        <w:t>附件5环境监测报告</w:t>
      </w:r>
    </w:p>
    <w:p>
      <w:pPr>
        <w:ind w:firstLine="465" w:firstLineChars="0"/>
        <w:rPr>
          <w:rFonts w:hint="eastAsia" w:ascii="Times New Roman" w:hAnsi="Times New Roman"/>
          <w:color w:val="auto"/>
        </w:rPr>
      </w:pPr>
      <w:r>
        <w:rPr>
          <w:rFonts w:hint="eastAsia" w:ascii="Times New Roman" w:hAnsi="Times New Roman"/>
          <w:color w:val="auto"/>
        </w:rPr>
        <w:t>附件6 专家意见及修改清单</w:t>
      </w:r>
    </w:p>
    <w:p>
      <w:pPr>
        <w:ind w:left="1207" w:leftChars="200" w:hanging="727" w:hangingChars="303"/>
        <w:rPr>
          <w:rFonts w:hint="default" w:ascii="Times New Roman" w:hAnsi="Times New Roman" w:eastAsia="宋体"/>
          <w:color w:val="auto"/>
          <w:lang w:val="en-US" w:eastAsia="zh-CN"/>
        </w:rPr>
      </w:pPr>
      <w:r>
        <w:rPr>
          <w:rFonts w:hint="eastAsia" w:ascii="Times New Roman" w:hAnsi="Times New Roman"/>
          <w:color w:val="auto"/>
          <w:lang w:val="en-US" w:eastAsia="zh-CN"/>
        </w:rPr>
        <w:t>附件7温环评估〔2020〕42号关于《温州旭财新材料有限公司年再生利用3.2万</w:t>
      </w:r>
      <w:bookmarkStart w:id="165" w:name="_GoBack"/>
      <w:bookmarkEnd w:id="165"/>
      <w:r>
        <w:rPr>
          <w:rFonts w:hint="eastAsia" w:ascii="Times New Roman" w:hAnsi="Times New Roman"/>
          <w:color w:val="auto"/>
          <w:lang w:val="en-US" w:eastAsia="zh-CN"/>
        </w:rPr>
        <w:t>吨废塑料生产项目环境影响报告书》的技术评估报告</w:t>
      </w:r>
    </w:p>
    <w:p>
      <w:pPr>
        <w:ind w:firstLine="0" w:firstLineChars="0"/>
        <w:rPr>
          <w:rFonts w:ascii="Times New Roman" w:hAnsi="Times New Roman"/>
          <w:color w:val="auto"/>
          <w:szCs w:val="24"/>
        </w:rPr>
      </w:pPr>
      <w:r>
        <w:rPr>
          <w:rFonts w:ascii="Times New Roman" w:hAnsi="Times New Roman"/>
          <w:b/>
          <w:color w:val="auto"/>
          <w:szCs w:val="24"/>
        </w:rPr>
        <w:t>附表：</w:t>
      </w:r>
    </w:p>
    <w:p>
      <w:pPr>
        <w:ind w:left="540" w:firstLine="0" w:firstLineChars="0"/>
        <w:rPr>
          <w:rFonts w:ascii="Times New Roman" w:hAnsi="Times New Roman"/>
          <w:color w:val="auto"/>
          <w:szCs w:val="24"/>
        </w:rPr>
      </w:pPr>
      <w:r>
        <w:rPr>
          <w:rFonts w:ascii="Times New Roman" w:hAnsi="Times New Roman"/>
          <w:color w:val="auto"/>
          <w:szCs w:val="24"/>
        </w:rPr>
        <w:t>建设项目环评审批基础信息表</w:t>
      </w:r>
    </w:p>
    <w:p>
      <w:pPr>
        <w:ind w:firstLineChars="0"/>
        <w:rPr>
          <w:rFonts w:ascii="Times New Roman" w:hAnsi="Times New Roman"/>
          <w:color w:val="auto"/>
          <w:szCs w:val="24"/>
        </w:rPr>
      </w:pPr>
    </w:p>
    <w:bookmarkEnd w:id="0"/>
    <w:p>
      <w:pPr>
        <w:pStyle w:val="438"/>
        <w:spacing w:before="240" w:line="360" w:lineRule="auto"/>
        <w:ind w:left="0" w:firstLine="0"/>
        <w:rPr>
          <w:color w:val="auto"/>
        </w:rPr>
        <w:sectPr>
          <w:headerReference r:id="rId9" w:type="default"/>
          <w:footerReference r:id="rId10" w:type="default"/>
          <w:type w:val="continuous"/>
          <w:pgSz w:w="11906" w:h="16838"/>
          <w:pgMar w:top="1440" w:right="1531" w:bottom="1440" w:left="1531" w:header="851" w:footer="992" w:gutter="0"/>
          <w:pgNumType w:start="1"/>
          <w:cols w:space="720" w:num="1"/>
          <w:docGrid w:linePitch="312" w:charSpace="0"/>
        </w:sectPr>
      </w:pPr>
    </w:p>
    <w:p>
      <w:pPr>
        <w:pStyle w:val="438"/>
        <w:numPr>
          <w:ilvl w:val="0"/>
          <w:numId w:val="5"/>
        </w:numPr>
        <w:spacing w:before="240" w:line="360" w:lineRule="auto"/>
        <w:rPr>
          <w:color w:val="auto"/>
        </w:rPr>
      </w:pPr>
      <w:bookmarkStart w:id="1" w:name="_Toc37350036"/>
      <w:r>
        <w:rPr>
          <w:color w:val="auto"/>
        </w:rPr>
        <w:t>概述</w:t>
      </w:r>
      <w:bookmarkEnd w:id="1"/>
    </w:p>
    <w:p>
      <w:pPr>
        <w:pStyle w:val="592"/>
        <w:ind w:left="0" w:firstLine="0"/>
        <w:rPr>
          <w:color w:val="auto"/>
        </w:rPr>
      </w:pPr>
      <w:bookmarkStart w:id="2" w:name="_Toc37350037"/>
      <w:r>
        <w:rPr>
          <w:color w:val="auto"/>
        </w:rPr>
        <w:t>项目由来</w:t>
      </w:r>
      <w:bookmarkEnd w:id="2"/>
    </w:p>
    <w:p>
      <w:pPr>
        <w:ind w:firstLine="480"/>
        <w:rPr>
          <w:rFonts w:ascii="Times New Roman" w:hAnsi="Times New Roman"/>
          <w:color w:val="auto"/>
          <w:szCs w:val="24"/>
        </w:rPr>
      </w:pPr>
      <w:r>
        <w:rPr>
          <w:rFonts w:ascii="Times New Roman"/>
          <w:color w:val="auto"/>
        </w:rPr>
        <w:t>废旧塑料的回收资源化加工利用作为一项节约能源、保护环境的措施，正日益收到重视，尤其是发达国家工作起步早，已经收到明显效益。石油储量越来越少，再生塑料也意味着石油再生。利用废旧塑料熔融造粒，缓解塑料原料供需矛盾，又可大量节省国家进口原油的外汇。另外，由于绝大多数塑料不可降解，日积月累，会造成严重的白色污染，破坏地球的生态环境，而废旧塑料回收再利用可缓解污染问题。</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color w:val="auto"/>
          <w:szCs w:val="24"/>
        </w:rPr>
        <w:t>废旧塑料加工成颗粒后，依然具有良好的综合材料性能，可满足吹膜、拉丝、拉管、注塑、挤出型材等技术要求，大量应用于塑料制品的生产。由于再生塑料价格优势突出，效益明显，国内废旧塑料回收市场已渐成气候。目前，全国已有</w:t>
      </w:r>
      <w:r>
        <w:rPr>
          <w:rFonts w:ascii="Times New Roman" w:hAnsi="Times New Roman"/>
          <w:color w:val="auto"/>
          <w:szCs w:val="24"/>
        </w:rPr>
        <w:t xml:space="preserve"> 5000 </w:t>
      </w:r>
      <w:r>
        <w:rPr>
          <w:rFonts w:ascii="Times New Roman"/>
          <w:color w:val="auto"/>
          <w:szCs w:val="24"/>
        </w:rPr>
        <w:t>多家各类废旧物资回收企业，回收网点</w:t>
      </w:r>
      <w:r>
        <w:rPr>
          <w:rFonts w:ascii="Times New Roman" w:hAnsi="Times New Roman"/>
          <w:color w:val="auto"/>
          <w:szCs w:val="24"/>
        </w:rPr>
        <w:t xml:space="preserve"> 16 </w:t>
      </w:r>
      <w:r>
        <w:rPr>
          <w:rFonts w:ascii="Times New Roman"/>
          <w:color w:val="auto"/>
          <w:szCs w:val="24"/>
        </w:rPr>
        <w:t>万个，几乎遍及每个乡、镇和大、中、小城市。</w:t>
      </w:r>
    </w:p>
    <w:p>
      <w:pPr>
        <w:ind w:firstLine="480"/>
        <w:rPr>
          <w:rFonts w:ascii="Times New Roman" w:hAnsi="Times New Roman"/>
          <w:color w:val="auto"/>
          <w:szCs w:val="24"/>
        </w:rPr>
      </w:pPr>
      <w:r>
        <w:rPr>
          <w:rFonts w:ascii="Times New Roman"/>
          <w:color w:val="auto"/>
          <w:szCs w:val="24"/>
        </w:rPr>
        <w:t>在此市场背景下，我公司决定投资</w:t>
      </w:r>
      <w:r>
        <w:rPr>
          <w:rFonts w:hint="eastAsia" w:ascii="Times New Roman" w:hAnsi="Times New Roman"/>
          <w:color w:val="auto"/>
          <w:szCs w:val="24"/>
        </w:rPr>
        <w:t>1000</w:t>
      </w:r>
      <w:r>
        <w:rPr>
          <w:rFonts w:ascii="Times New Roman"/>
          <w:color w:val="auto"/>
          <w:szCs w:val="24"/>
        </w:rPr>
        <w:t>万元，</w:t>
      </w:r>
      <w:r>
        <w:rPr>
          <w:rFonts w:ascii="Times New Roman" w:hAnsi="Times New Roman"/>
          <w:color w:val="auto"/>
        </w:rPr>
        <w:t>租用</w:t>
      </w:r>
      <w:r>
        <w:rPr>
          <w:rFonts w:hint="eastAsia" w:ascii="Times New Roman" w:hAnsi="Times New Roman"/>
          <w:color w:val="auto"/>
        </w:rPr>
        <w:t>温州沃玛科技有限公司</w:t>
      </w:r>
      <w:r>
        <w:rPr>
          <w:rFonts w:ascii="Times New Roman" w:hAnsi="Times New Roman"/>
          <w:color w:val="auto"/>
        </w:rPr>
        <w:t>位于温州市龙港</w:t>
      </w:r>
      <w:r>
        <w:rPr>
          <w:rFonts w:hint="eastAsia" w:ascii="Times New Roman" w:hAnsi="Times New Roman"/>
          <w:color w:val="auto"/>
        </w:rPr>
        <w:t>临港产业基地启动区东塘路385-441号内4号楼</w:t>
      </w:r>
      <w:r>
        <w:rPr>
          <w:rFonts w:ascii="Times New Roman" w:hAnsi="Times New Roman"/>
          <w:color w:val="auto"/>
        </w:rPr>
        <w:t>厂房建设本项目，租赁总建筑面积约</w:t>
      </w:r>
      <w:r>
        <w:rPr>
          <w:rFonts w:hint="eastAsia" w:ascii="Times New Roman" w:hAnsi="Times New Roman"/>
          <w:color w:val="auto"/>
        </w:rPr>
        <w:t>3120</w:t>
      </w:r>
      <w:r>
        <w:rPr>
          <w:rFonts w:ascii="Times New Roman" w:hAnsi="Times New Roman"/>
          <w:color w:val="auto"/>
        </w:rPr>
        <w:t>m</w:t>
      </w:r>
      <w:r>
        <w:rPr>
          <w:rFonts w:ascii="Times New Roman" w:hAnsi="Times New Roman"/>
          <w:color w:val="auto"/>
          <w:vertAlign w:val="superscript"/>
        </w:rPr>
        <w:t>2</w:t>
      </w:r>
      <w:r>
        <w:rPr>
          <w:rFonts w:ascii="Times New Roman" w:hAnsi="Times New Roman"/>
          <w:color w:val="auto"/>
        </w:rPr>
        <w:t>，购置 6 条废塑料再生利用生产线及配套设备，形成年再生利用 3.2万吨废塑料的生产规模。</w:t>
      </w:r>
    </w:p>
    <w:p>
      <w:pPr>
        <w:ind w:firstLine="480"/>
        <w:rPr>
          <w:rFonts w:ascii="Times New Roman" w:hAnsi="Times New Roman"/>
          <w:color w:val="auto"/>
          <w:szCs w:val="24"/>
        </w:rPr>
      </w:pPr>
      <w:r>
        <w:rPr>
          <w:rFonts w:ascii="Times New Roman" w:hAnsi="Times New Roman"/>
          <w:color w:val="auto"/>
        </w:rPr>
        <w:t>根据《中华人民共和国环境保护法》、《中华人民共和国环境影响评价法》、《建设项目环境保护管理条例》(国务院</w:t>
      </w:r>
      <w:r>
        <w:rPr>
          <w:rFonts w:hint="eastAsia" w:ascii="Times New Roman" w:hAnsi="Times New Roman"/>
          <w:color w:val="auto"/>
        </w:rPr>
        <w:t>682</w:t>
      </w:r>
      <w:r>
        <w:rPr>
          <w:rFonts w:ascii="Times New Roman" w:hAnsi="Times New Roman"/>
          <w:color w:val="auto"/>
        </w:rPr>
        <w:t>号令)的等有关规定，该项目必须进行环境影响评价。</w:t>
      </w:r>
      <w:r>
        <w:rPr>
          <w:rFonts w:ascii="Times New Roman"/>
          <w:color w:val="auto"/>
          <w:szCs w:val="24"/>
        </w:rPr>
        <w:t>对照《国民经济行</w:t>
      </w:r>
      <w:r>
        <w:rPr>
          <w:rFonts w:ascii="Times New Roman" w:hAnsi="Times New Roman"/>
          <w:color w:val="auto"/>
          <w:szCs w:val="24"/>
        </w:rPr>
        <w:t>业分类》（GB/T 4754-2017）及</w:t>
      </w:r>
      <w:r>
        <w:rPr>
          <w:rFonts w:hint="eastAsia" w:ascii="Times New Roman"/>
          <w:color w:val="auto"/>
          <w:szCs w:val="24"/>
        </w:rPr>
        <w:t>《国民经济行业分类》国家标准第</w:t>
      </w:r>
      <w:r>
        <w:rPr>
          <w:rFonts w:hint="eastAsia" w:ascii="Times New Roman" w:hAnsi="Times New Roman"/>
          <w:color w:val="auto"/>
          <w:szCs w:val="24"/>
        </w:rPr>
        <w:t>1</w:t>
      </w:r>
      <w:r>
        <w:rPr>
          <w:rFonts w:hint="eastAsia" w:ascii="Times New Roman"/>
          <w:color w:val="auto"/>
          <w:szCs w:val="24"/>
        </w:rPr>
        <w:t>号修改单</w:t>
      </w:r>
      <w:r>
        <w:rPr>
          <w:rFonts w:ascii="Times New Roman" w:hAnsi="Times New Roman"/>
          <w:color w:val="auto"/>
        </w:rPr>
        <w:t>，项目应属于“C</w:t>
      </w:r>
      <w:r>
        <w:rPr>
          <w:rFonts w:hint="eastAsia" w:ascii="Times New Roman" w:hAnsi="Times New Roman"/>
          <w:color w:val="auto"/>
        </w:rPr>
        <w:t>4220非金属废料和碎屑加工处理</w:t>
      </w:r>
      <w:r>
        <w:rPr>
          <w:rFonts w:ascii="Times New Roman" w:hAnsi="Times New Roman"/>
          <w:color w:val="auto"/>
        </w:rPr>
        <w:t>”类项目；</w:t>
      </w:r>
      <w:r>
        <w:rPr>
          <w:rFonts w:ascii="Times New Roman" w:hAnsi="Times New Roman"/>
          <w:color w:val="auto"/>
          <w:szCs w:val="24"/>
        </w:rPr>
        <w:t>对照《建设项目环境影响评价分类管理名录》（中华人民共和国环境保护部令第44号）以及</w:t>
      </w:r>
      <w:r>
        <w:rPr>
          <w:rFonts w:hint="eastAsia" w:ascii="Times New Roman" w:hAnsi="Times New Roman"/>
          <w:color w:val="auto"/>
          <w:szCs w:val="24"/>
        </w:rPr>
        <w:t>《关于修改〈建设项目环境影响评价分类管理名录〉部分内容的决定》</w:t>
      </w:r>
      <w:r>
        <w:rPr>
          <w:rFonts w:ascii="Times New Roman" w:hAnsi="Times New Roman"/>
          <w:color w:val="auto"/>
          <w:szCs w:val="24"/>
        </w:rPr>
        <w:t>（中华人民共和国生态环境部令第1号）</w:t>
      </w:r>
      <w:r>
        <w:rPr>
          <w:rFonts w:ascii="Times New Roman" w:hAnsi="Times New Roman"/>
          <w:color w:val="auto"/>
        </w:rPr>
        <w:t>，本项目应属于“</w:t>
      </w:r>
      <w:r>
        <w:rPr>
          <w:rFonts w:hint="eastAsia" w:ascii="Times New Roman" w:hAnsi="Times New Roman"/>
          <w:color w:val="auto"/>
        </w:rPr>
        <w:t>三十、废弃资源综合利用业——86、废旧资源（含生物质）加工再生、利用</w:t>
      </w:r>
      <w:r>
        <w:rPr>
          <w:rFonts w:ascii="Times New Roman" w:hAnsi="Times New Roman"/>
          <w:color w:val="auto"/>
        </w:rPr>
        <w:t>”中</w:t>
      </w:r>
      <w:r>
        <w:rPr>
          <w:rFonts w:hint="eastAsia" w:ascii="Times New Roman" w:hAnsi="Times New Roman"/>
          <w:color w:val="auto"/>
        </w:rPr>
        <w:t>的</w:t>
      </w:r>
      <w:r>
        <w:rPr>
          <w:rFonts w:ascii="Times New Roman" w:hAnsi="Times New Roman"/>
          <w:color w:val="auto"/>
        </w:rPr>
        <w:t>“</w:t>
      </w:r>
      <w:r>
        <w:rPr>
          <w:rFonts w:hint="eastAsia" w:ascii="Times New Roman" w:hAnsi="Times New Roman"/>
          <w:color w:val="auto"/>
        </w:rPr>
        <w:t>废电子电器产品、废电池、废汽车、废电机、废五金、废塑料（除分拣清洗工艺的）、废油、废船、废轮胎等加工、再生利用</w:t>
      </w:r>
      <w:r>
        <w:rPr>
          <w:rFonts w:ascii="Times New Roman" w:hAnsi="Times New Roman"/>
          <w:color w:val="auto"/>
        </w:rPr>
        <w:t>”。因此，本项目需编制环境影响报告书。</w:t>
      </w:r>
    </w:p>
    <w:p>
      <w:pPr>
        <w:ind w:firstLine="480"/>
        <w:rPr>
          <w:rFonts w:ascii="Times New Roman" w:hAnsi="Times New Roman"/>
          <w:color w:val="auto"/>
          <w:szCs w:val="24"/>
        </w:rPr>
      </w:pPr>
      <w:r>
        <w:rPr>
          <w:rFonts w:ascii="Times New Roman" w:hAnsi="Times New Roman"/>
          <w:color w:val="auto"/>
          <w:szCs w:val="24"/>
        </w:rPr>
        <w:t>为此，</w:t>
      </w:r>
      <w:r>
        <w:rPr>
          <w:rFonts w:hint="eastAsia" w:ascii="Times New Roman" w:hAnsi="Times New Roman"/>
          <w:color w:val="auto"/>
        </w:rPr>
        <w:t>温州旭财新材料有限公司</w:t>
      </w:r>
      <w:r>
        <w:rPr>
          <w:rFonts w:ascii="Times New Roman" w:hAnsi="Times New Roman"/>
          <w:color w:val="auto"/>
          <w:szCs w:val="24"/>
        </w:rPr>
        <w:t>特委托我单位进行该项目的环境影响评价工作。我单位接受委托后，即组织人员赴现场进行踏勘及周边环境调查，收集有关资料，并征求环保主管部门的意见，在此基础上，按照环境影响评价技术导则要求编制了环境影响报告书（送审稿）。并于2020年3月</w:t>
      </w:r>
      <w:r>
        <w:rPr>
          <w:rFonts w:hint="eastAsia" w:ascii="Times New Roman" w:hAnsi="Times New Roman"/>
          <w:color w:val="auto"/>
          <w:szCs w:val="24"/>
        </w:rPr>
        <w:t>2</w:t>
      </w:r>
      <w:r>
        <w:rPr>
          <w:rFonts w:ascii="Times New Roman" w:hAnsi="Times New Roman"/>
          <w:color w:val="auto"/>
          <w:szCs w:val="24"/>
        </w:rPr>
        <w:t>日</w:t>
      </w:r>
      <w:r>
        <w:rPr>
          <w:rFonts w:hint="eastAsia" w:ascii="Times New Roman" w:hAnsi="Times New Roman"/>
          <w:color w:val="auto"/>
          <w:szCs w:val="24"/>
        </w:rPr>
        <w:t>通过专家函审</w:t>
      </w:r>
      <w:r>
        <w:rPr>
          <w:rFonts w:ascii="Times New Roman" w:hAnsi="Times New Roman"/>
          <w:color w:val="auto"/>
          <w:szCs w:val="24"/>
        </w:rPr>
        <w:t>，根据专家意见修改形成《</w:t>
      </w:r>
      <w:r>
        <w:rPr>
          <w:rFonts w:ascii="Times New Roman" w:hAnsi="Times New Roman"/>
          <w:color w:val="auto"/>
        </w:rPr>
        <w:t>温州旭财新材料有限公司年再生利用3.2万吨废塑料生产项目</w:t>
      </w:r>
      <w:r>
        <w:rPr>
          <w:rFonts w:ascii="Times New Roman" w:hAnsi="Times New Roman"/>
          <w:color w:val="auto"/>
          <w:szCs w:val="24"/>
        </w:rPr>
        <w:t>（报批稿）》，报请审批。</w:t>
      </w:r>
    </w:p>
    <w:p>
      <w:pPr>
        <w:pStyle w:val="592"/>
        <w:ind w:left="0" w:firstLine="0"/>
        <w:rPr>
          <w:color w:val="auto"/>
        </w:rPr>
      </w:pPr>
      <w:bookmarkStart w:id="3" w:name="_Toc37350038"/>
      <w:r>
        <w:rPr>
          <w:rFonts w:hint="eastAsia"/>
          <w:color w:val="auto"/>
        </w:rPr>
        <w:t>项目特点</w:t>
      </w:r>
      <w:bookmarkEnd w:id="3"/>
      <w:r>
        <w:rPr>
          <w:rFonts w:hint="eastAsia"/>
          <w:color w:val="auto"/>
        </w:rPr>
        <w:t xml:space="preserve">                                                                                                                                                                                                                                                                                                                                                                                                                                                                                                                                                                                                                                                                                                                                                                                                                                                                                                                                                                                                                                                                                                                                                                                                                                                                                                                                                                                                                                                                                                                                                                                                                                                                                                                                                                                                                                                                                                                                                                                                                                                                                                                                                                                                                                                                                                                                                                                                                                                                                                                                                                                                                                                                                                                                                                                                                                                                                                                                                                                                                                                                                                                                                                                                                                                                                                                                                                                                                                                                                                                                                                                                                                                                                                                                                                                                                                                                                                                                                                                                                                                                                                                                                                                                                </w:t>
      </w:r>
      <w:r>
        <w:rPr>
          <w:rFonts w:hint="eastAsia"/>
          <w:color w:val="auto"/>
        </w:rPr>
        <w:t xml:space="preserve">                                                                                                                                                                                                                                                                                                                                                                                                                                                                                                                                                                                                                                                                                                                                                                                                                                                                                                                                                                                                                                                                                                                                                                                                                                                                                                                                                                                                                                                                                                                                                                                                                                                                                                                                                                                                                                                                                                                                                                                                                                                                                                                                                                                                                                                                                                                                                                                                                                                                                                                                                                                                                                                                                                                                                                                                                                                                                                                                                                                                                                                                                                                                                                                                                                                                                                                                                                                                                                                                                                                                                                                                                                                                                                                                                                                                                                                                                                                                                                                                                                                                                                                                                                                                                </w:t>
      </w:r>
      <w:r>
        <w:rPr>
          <w:rFonts w:hint="eastAsia"/>
          <w:color w:val="auto"/>
        </w:rPr>
        <w:t xml:space="preserve">                                                                                                                                                                                                                                                                                                                                                                                                                                                                                                                                                                                                                                                                                                                                                                                                                                                                                                                                                                                                                                                                                                                                                                                                                                                                                                                                                                                                                                                                                                                                                                                                                                                                                                                                                                                                                                                                                                                                                                                                                                                                                                                                                                                                                                                                                                                                                                                                                                                                                                                                                                                                                                                                                                                                                                                                                                                                                                                                                                                                                                                                                                                                                                                                                                                                                                                                                                                                                                                                                                                                                                                                                                                                                                                                                                                                                                                                                                                                                                                                                                                                                                                                                                                                                </w:t>
      </w:r>
      <w:r>
        <w:rPr>
          <w:rFonts w:hint="eastAsia"/>
          <w:color w:val="auto"/>
        </w:rPr>
        <w:t xml:space="preserve">                                                                                                                                                                                                                                                                                                                                                                                                                                                                                                                                                                                                                                                                                                                                                                                                                                                                                                                                                                                                                                                                                                                                                                                                                                                                                                                                                                                                                                                                                                                                                                                                                                                                                                                                                                                                                                                                                                                       </w:t>
      </w:r>
    </w:p>
    <w:p>
      <w:pPr>
        <w:ind w:firstLine="480"/>
        <w:rPr>
          <w:rFonts w:ascii="Times New Roman" w:hAnsi="Times New Roman"/>
          <w:color w:val="auto"/>
          <w:szCs w:val="24"/>
        </w:rPr>
      </w:pPr>
      <w:r>
        <w:rPr>
          <w:rFonts w:ascii="Times New Roman" w:hAnsi="Times New Roman"/>
          <w:color w:val="auto"/>
          <w:szCs w:val="24"/>
        </w:rPr>
        <w:t>（1）</w:t>
      </w:r>
      <w:r>
        <w:rPr>
          <w:rFonts w:ascii="Times New Roman" w:hAnsi="Times New Roman"/>
          <w:color w:val="auto"/>
        </w:rPr>
        <w:t>本项目为废塑料造粒项目，</w:t>
      </w:r>
      <w:r>
        <w:rPr>
          <w:rFonts w:hint="eastAsia" w:ascii="Times New Roman" w:hAnsi="Times New Roman"/>
          <w:color w:val="auto"/>
        </w:rPr>
        <w:t>不涉及清洗工艺，没有生产废水排放，</w:t>
      </w:r>
      <w:r>
        <w:rPr>
          <w:rFonts w:ascii="Times New Roman" w:hAnsi="Times New Roman"/>
          <w:color w:val="auto"/>
        </w:rPr>
        <w:t>使用的原材料</w:t>
      </w:r>
      <w:r>
        <w:rPr>
          <w:rFonts w:hint="eastAsia" w:ascii="Times New Roman" w:hAnsi="Times New Roman"/>
          <w:color w:val="auto"/>
        </w:rPr>
        <w:t>均为上游正规厂家提供的不涉及有毒有害成分的废包装袋、废塑料边角料、无纺布下脚料等</w:t>
      </w:r>
      <w:r>
        <w:rPr>
          <w:rFonts w:ascii="Times New Roman" w:hAnsi="Times New Roman"/>
          <w:color w:val="auto"/>
          <w:szCs w:val="24"/>
        </w:rPr>
        <w:t>。</w:t>
      </w:r>
    </w:p>
    <w:p>
      <w:pPr>
        <w:ind w:firstLine="480"/>
        <w:rPr>
          <w:rFonts w:ascii="Times New Roman" w:hAnsi="Times New Roman"/>
          <w:color w:val="auto"/>
          <w:szCs w:val="24"/>
        </w:rPr>
      </w:pPr>
      <w:r>
        <w:rPr>
          <w:rFonts w:ascii="Times New Roman" w:hAnsi="Times New Roman"/>
          <w:color w:val="auto"/>
          <w:szCs w:val="24"/>
        </w:rPr>
        <w:t>（2）</w:t>
      </w:r>
      <w:r>
        <w:rPr>
          <w:rStyle w:val="782"/>
          <w:rFonts w:hint="default" w:ascii="Times New Roman"/>
          <w:color w:val="auto"/>
        </w:rPr>
        <w:t>根据项目对周边环境的影响程度，结合相似工程的类比调查，对项目提出合理有效的污染防治措施，减缓项目对周边敏感保护目标的影响。</w:t>
      </w:r>
    </w:p>
    <w:p>
      <w:pPr>
        <w:pStyle w:val="592"/>
        <w:ind w:left="0" w:firstLine="0"/>
        <w:rPr>
          <w:color w:val="auto"/>
        </w:rPr>
      </w:pPr>
      <w:bookmarkStart w:id="4" w:name="_Toc37350039"/>
      <w:r>
        <w:rPr>
          <w:color w:val="auto"/>
        </w:rPr>
        <w:t>工作过程</w:t>
      </w:r>
      <w:bookmarkEnd w:id="4"/>
    </w:p>
    <w:p>
      <w:pPr>
        <w:ind w:firstLine="480"/>
        <w:rPr>
          <w:rFonts w:ascii="Times New Roman" w:hAnsi="Times New Roman"/>
          <w:color w:val="auto"/>
          <w:szCs w:val="24"/>
        </w:rPr>
      </w:pPr>
      <w:r>
        <w:rPr>
          <w:rFonts w:ascii="Times New Roman" w:hAnsi="Times New Roman"/>
          <w:color w:val="auto"/>
          <w:szCs w:val="24"/>
        </w:rPr>
        <w:t>本次环境影响评价的工作过程主要包括以下三个阶段。</w:t>
      </w:r>
    </w:p>
    <w:p>
      <w:pPr>
        <w:ind w:firstLine="480"/>
        <w:rPr>
          <w:rFonts w:ascii="Times New Roman" w:hAnsi="Times New Roman"/>
          <w:color w:val="auto"/>
          <w:szCs w:val="24"/>
        </w:rPr>
      </w:pPr>
      <w:r>
        <w:rPr>
          <w:rFonts w:ascii="Times New Roman" w:hAnsi="Times New Roman"/>
          <w:color w:val="auto"/>
          <w:szCs w:val="24"/>
        </w:rPr>
        <w:t>第一阶段：</w:t>
      </w:r>
    </w:p>
    <w:p>
      <w:pPr>
        <w:ind w:firstLine="480"/>
        <w:rPr>
          <w:rFonts w:ascii="Times New Roman" w:hAnsi="Times New Roman"/>
          <w:color w:val="auto"/>
          <w:szCs w:val="24"/>
        </w:rPr>
      </w:pPr>
      <w:r>
        <w:rPr>
          <w:rFonts w:ascii="Times New Roman" w:hAnsi="Times New Roman"/>
          <w:color w:val="auto"/>
          <w:szCs w:val="24"/>
        </w:rPr>
        <w:t>①按照《</w:t>
      </w:r>
      <w:r>
        <w:rPr>
          <w:rFonts w:ascii="Times New Roman" w:hAnsi="Times New Roman"/>
          <w:color w:val="auto"/>
        </w:rPr>
        <w:t>建设项目环境影响评价技术导则——总纲</w:t>
      </w:r>
      <w:r>
        <w:rPr>
          <w:rFonts w:ascii="Times New Roman" w:hAnsi="Times New Roman"/>
          <w:color w:val="auto"/>
          <w:szCs w:val="24"/>
        </w:rPr>
        <w:t>》要求，受企业委托后，研究国家和地方有关环境保护的法律法规、政策、标准及相关规划等，确定项目环境影响评价文件类型为报告书。</w:t>
      </w:r>
    </w:p>
    <w:p>
      <w:pPr>
        <w:ind w:firstLine="480"/>
        <w:rPr>
          <w:rFonts w:ascii="Times New Roman" w:hAnsi="Times New Roman"/>
          <w:color w:val="auto"/>
          <w:szCs w:val="24"/>
        </w:rPr>
      </w:pPr>
      <w:r>
        <w:rPr>
          <w:rFonts w:ascii="Times New Roman" w:hAnsi="Times New Roman"/>
          <w:color w:val="auto"/>
          <w:szCs w:val="24"/>
        </w:rPr>
        <w:t>②根据项目特点，研究相关技术文件和其他有关文件，明确本项目的评价重点，识别环境影响因素、筛选评价因子，对项目进行初步工程分析。对项目地进行实地踏勘，对厂区及周围地区社会、气象、水文、项目所在地周围污染源分布情况进行了调查分析，确定项目环境保护目标、环评工作等级、评价范围和标准。</w:t>
      </w:r>
    </w:p>
    <w:p>
      <w:pPr>
        <w:ind w:firstLine="480"/>
        <w:rPr>
          <w:rFonts w:ascii="Times New Roman" w:hAnsi="Times New Roman"/>
          <w:color w:val="auto"/>
          <w:szCs w:val="24"/>
        </w:rPr>
      </w:pPr>
      <w:r>
        <w:rPr>
          <w:rFonts w:ascii="Times New Roman" w:hAnsi="Times New Roman"/>
          <w:color w:val="auto"/>
          <w:szCs w:val="24"/>
        </w:rPr>
        <w:t>③制定工作方案</w:t>
      </w:r>
    </w:p>
    <w:p>
      <w:pPr>
        <w:ind w:firstLine="480"/>
        <w:rPr>
          <w:rFonts w:ascii="Times New Roman" w:hAnsi="Times New Roman"/>
          <w:color w:val="auto"/>
          <w:szCs w:val="24"/>
        </w:rPr>
      </w:pPr>
      <w:r>
        <w:rPr>
          <w:rFonts w:ascii="Times New Roman" w:hAnsi="Times New Roman"/>
          <w:color w:val="auto"/>
          <w:szCs w:val="24"/>
        </w:rPr>
        <w:t>第二阶段：</w:t>
      </w:r>
    </w:p>
    <w:p>
      <w:pPr>
        <w:ind w:firstLine="480"/>
        <w:rPr>
          <w:rFonts w:ascii="Times New Roman" w:hAnsi="Times New Roman"/>
          <w:color w:val="auto"/>
          <w:szCs w:val="24"/>
        </w:rPr>
      </w:pPr>
      <w:r>
        <w:rPr>
          <w:rFonts w:ascii="Times New Roman" w:hAnsi="Times New Roman"/>
          <w:color w:val="auto"/>
          <w:szCs w:val="24"/>
        </w:rPr>
        <w:t>①</w:t>
      </w:r>
      <w:r>
        <w:rPr>
          <w:rFonts w:ascii="Times New Roman" w:hAnsi="Times New Roman"/>
          <w:color w:val="auto"/>
        </w:rPr>
        <w:t>对项目所在区域大气污染物、附近地表水、地下水、土壤监测数据进行委托监测以及相关资料收集</w:t>
      </w:r>
      <w:r>
        <w:rPr>
          <w:rFonts w:ascii="Times New Roman" w:hAnsi="Times New Roman"/>
          <w:color w:val="auto"/>
          <w:szCs w:val="24"/>
        </w:rPr>
        <w:t>，并进行分析。</w:t>
      </w:r>
    </w:p>
    <w:p>
      <w:pPr>
        <w:ind w:firstLine="480"/>
        <w:rPr>
          <w:rFonts w:ascii="Times New Roman" w:hAnsi="Times New Roman"/>
          <w:color w:val="auto"/>
          <w:szCs w:val="24"/>
        </w:rPr>
      </w:pPr>
      <w:r>
        <w:rPr>
          <w:rFonts w:ascii="Times New Roman" w:hAnsi="Times New Roman"/>
          <w:color w:val="auto"/>
          <w:szCs w:val="24"/>
        </w:rPr>
        <w:t>②收集项目所在地环境特征资料、区域污染源情况调查。完成环境现状调查与评价章节。</w:t>
      </w:r>
    </w:p>
    <w:p>
      <w:pPr>
        <w:ind w:firstLine="480"/>
        <w:rPr>
          <w:rFonts w:ascii="Times New Roman" w:hAnsi="Times New Roman"/>
          <w:color w:val="auto"/>
          <w:szCs w:val="24"/>
        </w:rPr>
      </w:pPr>
      <w:r>
        <w:rPr>
          <w:rFonts w:ascii="Times New Roman" w:hAnsi="Times New Roman"/>
          <w:color w:val="auto"/>
          <w:szCs w:val="24"/>
        </w:rPr>
        <w:t>③对建设项目进行工程分析。完成大气环境影响预测与评价、水环境影响分析、声环境影响分析、固体废物环境影响分析和社会环境影响评价等。</w:t>
      </w:r>
    </w:p>
    <w:p>
      <w:pPr>
        <w:ind w:firstLine="480"/>
        <w:rPr>
          <w:rFonts w:ascii="Times New Roman" w:hAnsi="Times New Roman"/>
          <w:color w:val="auto"/>
          <w:szCs w:val="24"/>
        </w:rPr>
      </w:pPr>
      <w:r>
        <w:rPr>
          <w:rFonts w:ascii="Times New Roman" w:hAnsi="Times New Roman"/>
          <w:color w:val="auto"/>
          <w:szCs w:val="24"/>
        </w:rPr>
        <w:t>第三阶段：</w:t>
      </w:r>
    </w:p>
    <w:p>
      <w:pPr>
        <w:ind w:firstLine="480"/>
        <w:rPr>
          <w:rFonts w:ascii="Times New Roman" w:hAnsi="Times New Roman"/>
          <w:color w:val="auto"/>
          <w:szCs w:val="24"/>
        </w:rPr>
      </w:pPr>
      <w:r>
        <w:rPr>
          <w:rFonts w:ascii="Times New Roman" w:hAnsi="Times New Roman"/>
          <w:color w:val="auto"/>
          <w:szCs w:val="24"/>
        </w:rPr>
        <w:t>①根据工程分析，提出环境保护措施，完成污染防治对策，进行技术经济论证。</w:t>
      </w:r>
    </w:p>
    <w:p>
      <w:pPr>
        <w:ind w:firstLine="480"/>
        <w:rPr>
          <w:rFonts w:ascii="Times New Roman" w:hAnsi="Times New Roman"/>
          <w:color w:val="auto"/>
          <w:szCs w:val="24"/>
        </w:rPr>
      </w:pPr>
      <w:r>
        <w:rPr>
          <w:rFonts w:ascii="Times New Roman" w:hAnsi="Times New Roman"/>
          <w:color w:val="auto"/>
          <w:szCs w:val="24"/>
        </w:rPr>
        <w:t>②根据建设项目环境影响情况，给出项目污染物排放清单，提出运营期的环境管理及监测计划要求，完成环境管理与环境监测章节撰写。</w:t>
      </w:r>
    </w:p>
    <w:p>
      <w:pPr>
        <w:ind w:firstLine="480"/>
        <w:rPr>
          <w:rFonts w:ascii="Times New Roman" w:hAnsi="Times New Roman"/>
          <w:color w:val="auto"/>
          <w:szCs w:val="24"/>
        </w:rPr>
      </w:pPr>
      <w:r>
        <w:rPr>
          <w:rFonts w:ascii="Times New Roman" w:hAnsi="Times New Roman"/>
          <w:color w:val="auto"/>
          <w:szCs w:val="24"/>
        </w:rPr>
        <w:t>③根据以上分析，给出建设项目环境影响评价结论。</w:t>
      </w:r>
    </w:p>
    <w:p>
      <w:pPr>
        <w:ind w:firstLine="480"/>
        <w:rPr>
          <w:rFonts w:ascii="Times New Roman" w:hAnsi="Times New Roman"/>
          <w:color w:val="auto"/>
        </w:rPr>
      </w:pPr>
      <w:r>
        <w:rPr>
          <w:rFonts w:ascii="Times New Roman" w:hAnsi="Times New Roman"/>
          <w:color w:val="auto"/>
          <w:szCs w:val="24"/>
        </w:rPr>
        <w:t>④编制环境影响报告书。</w:t>
      </w:r>
    </w:p>
    <w:p>
      <w:pPr>
        <w:ind w:firstLine="480"/>
        <w:rPr>
          <w:rFonts w:ascii="Times New Roman" w:hAnsi="Times New Roman"/>
          <w:color w:val="auto"/>
        </w:rPr>
      </w:pPr>
      <w:r>
        <w:rPr>
          <w:rFonts w:ascii="Times New Roman" w:hAnsi="Times New Roman"/>
          <w:color w:val="auto"/>
        </w:rPr>
        <w:t>项目环境影响评价工作过程见图1-1。</w:t>
      </w:r>
    </w:p>
    <w:p>
      <w:pPr>
        <w:ind w:firstLine="0" w:firstLineChars="0"/>
        <w:jc w:val="center"/>
        <w:rPr>
          <w:rFonts w:ascii="Times New Roman" w:hAnsi="Times New Roman"/>
          <w:color w:val="auto"/>
        </w:rPr>
      </w:pPr>
      <w:r>
        <w:rPr>
          <w:rFonts w:ascii="Times New Roman" w:hAnsi="Times New Roman"/>
          <w:color w:val="auto"/>
        </w:rPr>
        <w:drawing>
          <wp:inline distT="0" distB="0" distL="0" distR="0">
            <wp:extent cx="4638675" cy="4457700"/>
            <wp:effectExtent l="19050" t="0" r="9525" b="0"/>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noChangeArrowheads="1"/>
                    </pic:cNvPicPr>
                  </pic:nvPicPr>
                  <pic:blipFill>
                    <a:blip r:embed="rId27" cstate="print"/>
                    <a:srcRect/>
                    <a:stretch>
                      <a:fillRect/>
                    </a:stretch>
                  </pic:blipFill>
                  <pic:spPr>
                    <a:xfrm>
                      <a:off x="0" y="0"/>
                      <a:ext cx="4638675" cy="4457700"/>
                    </a:xfrm>
                    <a:prstGeom prst="rect">
                      <a:avLst/>
                    </a:prstGeom>
                    <a:noFill/>
                    <a:ln w="9525">
                      <a:noFill/>
                      <a:miter lim="800000"/>
                      <a:headEnd/>
                      <a:tailEnd/>
                    </a:ln>
                  </pic:spPr>
                </pic:pic>
              </a:graphicData>
            </a:graphic>
          </wp:inline>
        </w:drawing>
      </w:r>
    </w:p>
    <w:p>
      <w:pPr>
        <w:ind w:firstLine="482"/>
        <w:jc w:val="center"/>
        <w:rPr>
          <w:rFonts w:ascii="Times New Roman" w:hAnsi="Times New Roman"/>
          <w:b/>
          <w:color w:val="auto"/>
          <w:szCs w:val="24"/>
        </w:rPr>
      </w:pPr>
      <w:r>
        <w:rPr>
          <w:rFonts w:ascii="Times New Roman" w:hAnsi="Times New Roman"/>
          <w:b/>
          <w:color w:val="auto"/>
          <w:szCs w:val="24"/>
        </w:rPr>
        <w:t>图1-1环境影响评价工作过程图</w:t>
      </w:r>
    </w:p>
    <w:p>
      <w:pPr>
        <w:pStyle w:val="592"/>
        <w:ind w:left="0" w:firstLine="0"/>
        <w:rPr>
          <w:color w:val="auto"/>
        </w:rPr>
      </w:pPr>
      <w:bookmarkStart w:id="5" w:name="_Toc37350040"/>
      <w:r>
        <w:rPr>
          <w:rFonts w:hint="eastAsia"/>
          <w:color w:val="auto"/>
        </w:rPr>
        <w:t>分析判定相关情况</w:t>
      </w:r>
      <w:bookmarkEnd w:id="5"/>
    </w:p>
    <w:p>
      <w:pPr>
        <w:ind w:firstLine="480"/>
        <w:rPr>
          <w:rFonts w:ascii="Times New Roman" w:hAnsi="Times New Roman"/>
          <w:color w:val="auto"/>
        </w:rPr>
      </w:pPr>
      <w:r>
        <w:rPr>
          <w:rFonts w:ascii="Times New Roman" w:hAnsi="Times New Roman"/>
          <w:color w:val="auto"/>
        </w:rPr>
        <w:t>项目主要从事</w:t>
      </w:r>
      <w:r>
        <w:rPr>
          <w:rFonts w:hint="eastAsia" w:ascii="Times New Roman" w:hAnsi="Times New Roman"/>
          <w:color w:val="auto"/>
        </w:rPr>
        <w:t>废旧塑料回收再生产</w:t>
      </w:r>
      <w:r>
        <w:rPr>
          <w:rFonts w:ascii="Times New Roman" w:hAnsi="Times New Roman"/>
          <w:color w:val="auto"/>
        </w:rPr>
        <w:t>，位于温州市龙港</w:t>
      </w:r>
      <w:r>
        <w:rPr>
          <w:rFonts w:hint="eastAsia" w:ascii="Times New Roman" w:hAnsi="Times New Roman"/>
          <w:color w:val="auto"/>
        </w:rPr>
        <w:t>临港产业基地启动区东塘路385-441号内4号楼</w:t>
      </w:r>
      <w:r>
        <w:rPr>
          <w:rFonts w:ascii="Times New Roman" w:hAnsi="Times New Roman"/>
          <w:color w:val="auto"/>
        </w:rPr>
        <w:t>厂房，符合国家的产业政策，符合</w:t>
      </w:r>
      <w:r>
        <w:rPr>
          <w:rFonts w:hint="eastAsia" w:ascii="Times New Roman" w:hAnsi="Times New Roman"/>
          <w:color w:val="auto"/>
        </w:rPr>
        <w:t>浙江省</w:t>
      </w:r>
      <w:r>
        <w:rPr>
          <w:rFonts w:ascii="Times New Roman" w:hAnsi="Times New Roman"/>
          <w:color w:val="auto"/>
        </w:rPr>
        <w:t>环境功能区划。</w:t>
      </w:r>
      <w:r>
        <w:rPr>
          <w:rFonts w:hint="eastAsia" w:ascii="Times New Roman" w:hAnsi="Times New Roman"/>
          <w:color w:val="auto"/>
        </w:rPr>
        <w:t>项目造粒冷却水和喷射塔废水循环使用，不外排；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Style w:val="782"/>
          <w:rFonts w:hint="default" w:ascii="Times New Roman"/>
          <w:color w:val="auto"/>
        </w:rPr>
        <w:t>纳入市政污水管网，最终进入苍南县临港产业基地启动区污水处理厂处理达标后排放</w:t>
      </w:r>
      <w:r>
        <w:rPr>
          <w:rFonts w:hint="eastAsia" w:ascii="Times New Roman" w:hAnsi="Times New Roman"/>
          <w:color w:val="auto"/>
        </w:rPr>
        <w:t>；造粒车间</w:t>
      </w:r>
      <w:r>
        <w:rPr>
          <w:rFonts w:ascii="Times New Roman" w:hAnsi="Times New Roman"/>
          <w:color w:val="auto"/>
        </w:rPr>
        <w:t>各挤出机机头上方设置集气罩，</w:t>
      </w:r>
      <w:r>
        <w:rPr>
          <w:rFonts w:hint="eastAsia" w:ascii="Times New Roman" w:hAnsi="Times New Roman"/>
          <w:color w:val="auto"/>
        </w:rPr>
        <w:t>熔融挤出废气</w:t>
      </w:r>
      <w:r>
        <w:rPr>
          <w:rFonts w:ascii="Times New Roman" w:hAnsi="Times New Roman"/>
          <w:color w:val="auto"/>
        </w:rPr>
        <w:t>收集后经喷射塔+</w:t>
      </w:r>
      <w:r>
        <w:rPr>
          <w:rFonts w:hint="eastAsia" w:ascii="Times New Roman" w:hAnsi="Times New Roman"/>
          <w:color w:val="auto"/>
        </w:rPr>
        <w:t>油烟净化器+</w:t>
      </w:r>
      <w:r>
        <w:rPr>
          <w:rFonts w:ascii="Times New Roman" w:hAnsi="Times New Roman"/>
          <w:color w:val="auto"/>
        </w:rPr>
        <w:t>UV光氧+活性炭装置</w:t>
      </w:r>
      <w:r>
        <w:rPr>
          <w:rFonts w:hint="eastAsia" w:ascii="Times New Roman" w:hAnsi="Times New Roman"/>
          <w:color w:val="auto"/>
        </w:rPr>
        <w:t>净化后通过约20m高的排气筒高空排放；</w:t>
      </w:r>
      <w:r>
        <w:rPr>
          <w:rFonts w:hint="eastAsia"/>
          <w:color w:val="auto"/>
        </w:rPr>
        <w:t>危险固废交由资质单位处置；一般生产固废由相关单位回收综合利用；</w:t>
      </w:r>
      <w:r>
        <w:rPr>
          <w:rFonts w:ascii="Times New Roman"/>
          <w:color w:val="auto"/>
          <w:szCs w:val="24"/>
        </w:rPr>
        <w:t>项目</w:t>
      </w:r>
      <w:r>
        <w:rPr>
          <w:rFonts w:ascii="Times New Roman" w:hAnsi="Times New Roman"/>
          <w:color w:val="auto"/>
          <w:szCs w:val="24"/>
        </w:rPr>
        <w:t>挤出机废弃过滤网由废塑料加工单位回收进行滤网再生</w:t>
      </w:r>
      <w:r>
        <w:rPr>
          <w:rFonts w:hint="eastAsia" w:ascii="Times New Roman" w:hAnsi="Times New Roman"/>
          <w:color w:val="auto"/>
          <w:szCs w:val="24"/>
        </w:rPr>
        <w:t>；</w:t>
      </w:r>
      <w:r>
        <w:rPr>
          <w:rFonts w:hint="eastAsia"/>
          <w:color w:val="auto"/>
        </w:rPr>
        <w:t>收集的粉尘和生活垃圾由环卫部门统一清运处理</w:t>
      </w:r>
      <w:r>
        <w:rPr>
          <w:rFonts w:hint="eastAsia" w:ascii="Times New Roman" w:hAnsi="Times New Roman"/>
          <w:color w:val="auto"/>
        </w:rPr>
        <w:t>。</w:t>
      </w:r>
      <w:r>
        <w:rPr>
          <w:rFonts w:ascii="Times New Roman" w:hAnsi="Times New Roman"/>
          <w:color w:val="auto"/>
        </w:rPr>
        <w:t>根据环境影响预测分析，经处理达标排放的污染物不会对周围环境产生明显影响，周围环境功能区可以维持现状</w:t>
      </w:r>
      <w:r>
        <w:rPr>
          <w:rFonts w:hint="eastAsia" w:ascii="Times New Roman" w:hAnsi="Times New Roman"/>
          <w:color w:val="auto"/>
        </w:rPr>
        <w:t>。</w:t>
      </w:r>
    </w:p>
    <w:p>
      <w:pPr>
        <w:adjustRightInd w:val="0"/>
        <w:snapToGrid w:val="0"/>
        <w:spacing w:line="360" w:lineRule="exact"/>
        <w:ind w:firstLine="422"/>
        <w:jc w:val="center"/>
        <w:rPr>
          <w:rFonts w:ascii="Times New Roman" w:hAnsi="Times New Roman"/>
          <w:b/>
          <w:bCs/>
          <w:color w:val="auto"/>
          <w:sz w:val="21"/>
        </w:rPr>
      </w:pPr>
      <w:r>
        <w:rPr>
          <w:rFonts w:ascii="Times New Roman" w:hAnsi="Times New Roman"/>
          <w:b/>
          <w:bCs/>
          <w:color w:val="auto"/>
          <w:sz w:val="21"/>
        </w:rPr>
        <w:t>表1-</w:t>
      </w:r>
      <w:r>
        <w:rPr>
          <w:rFonts w:hint="eastAsia" w:ascii="Times New Roman" w:hAnsi="Times New Roman"/>
          <w:b/>
          <w:bCs/>
          <w:color w:val="auto"/>
          <w:sz w:val="21"/>
        </w:rPr>
        <w:t>2</w:t>
      </w:r>
      <w:r>
        <w:rPr>
          <w:rFonts w:ascii="Times New Roman" w:hAnsi="Times New Roman"/>
          <w:b/>
          <w:bCs/>
          <w:color w:val="auto"/>
          <w:sz w:val="21"/>
        </w:rPr>
        <w:t xml:space="preserve"> 项目相关情况分析判断表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5"/>
        <w:gridCol w:w="1137"/>
        <w:gridCol w:w="5192"/>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95"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项目</w:t>
            </w:r>
          </w:p>
        </w:tc>
        <w:tc>
          <w:tcPr>
            <w:tcW w:w="6329" w:type="dxa"/>
            <w:gridSpan w:val="2"/>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符合性判定</w:t>
            </w:r>
          </w:p>
        </w:tc>
        <w:tc>
          <w:tcPr>
            <w:tcW w:w="153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5"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环境功能区</w:t>
            </w:r>
          </w:p>
        </w:tc>
        <w:tc>
          <w:tcPr>
            <w:tcW w:w="6329" w:type="dxa"/>
            <w:gridSpan w:val="2"/>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根据《</w:t>
            </w:r>
            <w:r>
              <w:rPr>
                <w:rFonts w:hint="eastAsia" w:ascii="Times New Roman" w:hAnsi="Times New Roman"/>
                <w:color w:val="auto"/>
                <w:sz w:val="21"/>
              </w:rPr>
              <w:t>浙江省</w:t>
            </w:r>
            <w:r>
              <w:rPr>
                <w:rFonts w:ascii="Times New Roman" w:hAnsi="Times New Roman"/>
                <w:color w:val="auto"/>
                <w:sz w:val="21"/>
              </w:rPr>
              <w:t>环境功能区划》（201</w:t>
            </w:r>
            <w:r>
              <w:rPr>
                <w:rFonts w:hint="eastAsia" w:ascii="Times New Roman" w:hAnsi="Times New Roman"/>
                <w:color w:val="auto"/>
                <w:sz w:val="21"/>
              </w:rPr>
              <w:t>6</w:t>
            </w:r>
            <w:r>
              <w:rPr>
                <w:rFonts w:ascii="Times New Roman" w:hAnsi="Times New Roman"/>
                <w:color w:val="auto"/>
                <w:sz w:val="21"/>
              </w:rPr>
              <w:t>年</w:t>
            </w:r>
            <w:r>
              <w:rPr>
                <w:rFonts w:hint="eastAsia" w:ascii="Times New Roman" w:hAnsi="Times New Roman"/>
                <w:color w:val="auto"/>
                <w:sz w:val="21"/>
              </w:rPr>
              <w:t>7月</w:t>
            </w:r>
            <w:r>
              <w:rPr>
                <w:rFonts w:ascii="Times New Roman" w:hAnsi="Times New Roman"/>
                <w:color w:val="auto"/>
                <w:sz w:val="21"/>
              </w:rPr>
              <w:t>），本项目选址地属于苍南县临港产业新城环境重点准入区（功能区编号 0327-VI-0-1）。本项目属于二类工业项目，不在“禁止新建、扩建三类工业项目”负面清单名录</w:t>
            </w:r>
            <w:r>
              <w:rPr>
                <w:rFonts w:hint="eastAsia" w:ascii="Times New Roman" w:hAnsi="Times New Roman"/>
                <w:color w:val="auto"/>
                <w:sz w:val="21"/>
              </w:rPr>
              <w:t>。</w:t>
            </w:r>
          </w:p>
        </w:tc>
        <w:tc>
          <w:tcPr>
            <w:tcW w:w="153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本项目的建设符合该功能区划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jc w:val="center"/>
        </w:trPr>
        <w:tc>
          <w:tcPr>
            <w:tcW w:w="995"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土地利用总体规划</w:t>
            </w:r>
          </w:p>
        </w:tc>
        <w:tc>
          <w:tcPr>
            <w:tcW w:w="6329" w:type="dxa"/>
            <w:gridSpan w:val="2"/>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根据业主提供的土地证可知，项目现状用地为工业用地。</w:t>
            </w:r>
          </w:p>
        </w:tc>
        <w:tc>
          <w:tcPr>
            <w:tcW w:w="153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用地符合土地利用总体规划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5"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highlight w:val="yellow"/>
              </w:rPr>
            </w:pPr>
            <w:r>
              <w:rPr>
                <w:rFonts w:ascii="Times New Roman" w:hAnsi="Times New Roman"/>
                <w:color w:val="auto"/>
                <w:sz w:val="21"/>
              </w:rPr>
              <w:t>城乡总体规划</w:t>
            </w:r>
          </w:p>
        </w:tc>
        <w:tc>
          <w:tcPr>
            <w:tcW w:w="6329"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根据</w:t>
            </w:r>
            <w:r>
              <w:rPr>
                <w:rFonts w:ascii="Times New Roman" w:hAnsi="Times New Roman"/>
                <w:color w:val="auto"/>
                <w:sz w:val="21"/>
              </w:rPr>
              <w:t>《苍南县龙港新城产业集聚区控制性详细规划》</w:t>
            </w:r>
            <w:r>
              <w:rPr>
                <w:rFonts w:hint="eastAsia" w:ascii="Times New Roman" w:hAnsi="Times New Roman"/>
                <w:color w:val="auto"/>
                <w:sz w:val="21"/>
              </w:rPr>
              <w:t>，本项目所在地规划为</w:t>
            </w:r>
            <w:r>
              <w:rPr>
                <w:rFonts w:ascii="Times New Roman" w:hAnsi="Times New Roman"/>
                <w:color w:val="auto"/>
                <w:sz w:val="21"/>
              </w:rPr>
              <w:t>二类工业用地</w:t>
            </w:r>
            <w:r>
              <w:rPr>
                <w:rFonts w:hint="eastAsia" w:ascii="Times New Roman" w:hAnsi="Times New Roman"/>
                <w:color w:val="auto"/>
                <w:sz w:val="21"/>
              </w:rPr>
              <w:t>，因此本项目土地性质符合用地规划要求。</w:t>
            </w:r>
          </w:p>
        </w:tc>
        <w:tc>
          <w:tcPr>
            <w:tcW w:w="153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符合城乡总体规划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规划环评符合性</w:t>
            </w:r>
          </w:p>
        </w:tc>
        <w:tc>
          <w:tcPr>
            <w:tcW w:w="6329"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项目属于规划环评中行业准入清单中的 4220 非金属废料和碎屑加工处理行业，不属于《苍南县龙港新城产业集聚区控制性详细规划环境影响报告书》所规定的环评审批“负面清单”行业，</w:t>
            </w:r>
            <w:r>
              <w:rPr>
                <w:rFonts w:hint="eastAsia" w:ascii="Times New Roman" w:hAnsi="Times New Roman"/>
                <w:color w:val="auto"/>
                <w:sz w:val="21"/>
              </w:rPr>
              <w:t>本项目使用先进设备，各污染物经处理后达标排放。</w:t>
            </w:r>
            <w:r>
              <w:rPr>
                <w:rFonts w:ascii="Times New Roman" w:hAnsi="Times New Roman"/>
                <w:color w:val="auto"/>
                <w:sz w:val="21"/>
              </w:rPr>
              <w:t>因此本项目符合苍南县龙港新城产业集聚区控制性详细规划及其规划环评的要求。</w:t>
            </w:r>
          </w:p>
        </w:tc>
        <w:tc>
          <w:tcPr>
            <w:tcW w:w="153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符合规划环评要求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5"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产业政策</w:t>
            </w:r>
          </w:p>
        </w:tc>
        <w:tc>
          <w:tcPr>
            <w:tcW w:w="6329"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本项目不属于《产业结构调整指导目录(201</w:t>
            </w:r>
            <w:r>
              <w:rPr>
                <w:rFonts w:hint="eastAsia" w:ascii="Times New Roman" w:hAnsi="Times New Roman"/>
                <w:color w:val="auto"/>
                <w:sz w:val="21"/>
              </w:rPr>
              <w:t>9</w:t>
            </w:r>
            <w:r>
              <w:rPr>
                <w:rFonts w:ascii="Times New Roman" w:hAnsi="Times New Roman"/>
                <w:color w:val="auto"/>
                <w:sz w:val="21"/>
              </w:rPr>
              <w:t>年本)》中的限制类和淘汰类，</w:t>
            </w:r>
            <w:r>
              <w:rPr>
                <w:rFonts w:hint="eastAsia" w:ascii="Times New Roman" w:hAnsi="Times New Roman"/>
                <w:color w:val="auto"/>
                <w:sz w:val="21"/>
              </w:rPr>
              <w:t>也不属于</w:t>
            </w:r>
            <w:r>
              <w:rPr>
                <w:rFonts w:ascii="Times New Roman" w:hAnsi="Times New Roman"/>
                <w:color w:val="auto"/>
                <w:sz w:val="21"/>
              </w:rPr>
              <w:t>《温州市重点行业落后产能认定标准指导目录（2013年版）》中的限制类和淘汰类</w:t>
            </w:r>
            <w:r>
              <w:rPr>
                <w:rFonts w:hint="eastAsia" w:ascii="Times New Roman" w:hAnsi="Times New Roman"/>
                <w:color w:val="auto"/>
                <w:sz w:val="21"/>
              </w:rPr>
              <w:t>，即为允许类</w:t>
            </w:r>
            <w:r>
              <w:rPr>
                <w:rFonts w:ascii="Times New Roman" w:hAnsi="Times New Roman"/>
                <w:color w:val="auto"/>
                <w:sz w:val="21"/>
              </w:rPr>
              <w:t>。</w:t>
            </w:r>
          </w:p>
        </w:tc>
        <w:tc>
          <w:tcPr>
            <w:tcW w:w="153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符合产业政策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99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“三线一单”</w:t>
            </w:r>
          </w:p>
        </w:tc>
        <w:tc>
          <w:tcPr>
            <w:tcW w:w="113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ascii="Times New Roman"/>
                <w:color w:val="auto"/>
                <w:sz w:val="21"/>
              </w:rPr>
              <w:t>生态保护红线符合性分析</w:t>
            </w:r>
          </w:p>
        </w:tc>
        <w:tc>
          <w:tcPr>
            <w:tcW w:w="51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bCs/>
                <w:color w:val="auto"/>
                <w:sz w:val="21"/>
              </w:rPr>
              <w:t>根据《浙江省人民政府关于发布浙江省生态保护红线的通知》（浙政发〔</w:t>
            </w:r>
            <w:r>
              <w:rPr>
                <w:rFonts w:ascii="Times New Roman" w:hAnsi="Times New Roman"/>
                <w:bCs/>
                <w:color w:val="auto"/>
                <w:sz w:val="21"/>
              </w:rPr>
              <w:t>2018</w:t>
            </w:r>
            <w:r>
              <w:rPr>
                <w:rFonts w:ascii="Times New Roman"/>
                <w:bCs/>
                <w:color w:val="auto"/>
                <w:sz w:val="21"/>
              </w:rPr>
              <w:t>〕</w:t>
            </w:r>
            <w:r>
              <w:rPr>
                <w:rFonts w:ascii="Times New Roman" w:hAnsi="Times New Roman"/>
                <w:bCs/>
                <w:color w:val="auto"/>
                <w:sz w:val="21"/>
              </w:rPr>
              <w:t>30</w:t>
            </w:r>
            <w:r>
              <w:rPr>
                <w:rFonts w:ascii="Times New Roman"/>
                <w:bCs/>
                <w:color w:val="auto"/>
                <w:sz w:val="21"/>
              </w:rPr>
              <w:t>号）文件划定的生态保护红线范围，本项目不在当地饮用水源、风景区、自然保护区等生态保护红线范围内，满足生态保护红线要求。</w:t>
            </w:r>
          </w:p>
        </w:tc>
        <w:tc>
          <w:tcPr>
            <w:tcW w:w="1530"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满足环环评[2016]150号相关要求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99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ascii="Times New Roman"/>
                <w:color w:val="auto"/>
                <w:sz w:val="21"/>
              </w:rPr>
              <w:t>环境准入负面清单符合性分析</w:t>
            </w:r>
          </w:p>
        </w:tc>
        <w:tc>
          <w:tcPr>
            <w:tcW w:w="51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根据《</w:t>
            </w:r>
            <w:r>
              <w:rPr>
                <w:rFonts w:hint="eastAsia" w:ascii="Times New Roman" w:hAnsi="Times New Roman"/>
                <w:color w:val="auto"/>
                <w:sz w:val="21"/>
              </w:rPr>
              <w:t>浙江省</w:t>
            </w:r>
            <w:r>
              <w:rPr>
                <w:rFonts w:ascii="Times New Roman" w:hAnsi="Times New Roman"/>
                <w:color w:val="auto"/>
                <w:sz w:val="21"/>
              </w:rPr>
              <w:t>环境功能区划》（201</w:t>
            </w:r>
            <w:r>
              <w:rPr>
                <w:rFonts w:hint="eastAsia" w:ascii="Times New Roman" w:hAnsi="Times New Roman"/>
                <w:color w:val="auto"/>
                <w:sz w:val="21"/>
              </w:rPr>
              <w:t>6</w:t>
            </w:r>
            <w:r>
              <w:rPr>
                <w:rFonts w:ascii="Times New Roman" w:hAnsi="Times New Roman"/>
                <w:color w:val="auto"/>
                <w:sz w:val="21"/>
              </w:rPr>
              <w:t>年</w:t>
            </w:r>
            <w:r>
              <w:rPr>
                <w:rFonts w:hint="eastAsia" w:ascii="Times New Roman" w:hAnsi="Times New Roman"/>
                <w:color w:val="auto"/>
                <w:sz w:val="21"/>
              </w:rPr>
              <w:t>7月</w:t>
            </w:r>
            <w:r>
              <w:rPr>
                <w:rFonts w:ascii="Times New Roman" w:hAnsi="Times New Roman"/>
                <w:color w:val="auto"/>
                <w:sz w:val="21"/>
              </w:rPr>
              <w:t>），本项目选址地属于苍南县临港产业新城环境重点准入区（功能区编号 0327-VI-0-1）。本项目属于二类工业项目，不属于负面清单内，符合该环境功能区划要求。</w:t>
            </w:r>
          </w:p>
        </w:tc>
        <w:tc>
          <w:tcPr>
            <w:tcW w:w="1530"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99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ascii="Times New Roman"/>
                <w:color w:val="auto"/>
                <w:sz w:val="21"/>
              </w:rPr>
              <w:t>环境质量底线符合性分析</w:t>
            </w:r>
          </w:p>
        </w:tc>
        <w:tc>
          <w:tcPr>
            <w:tcW w:w="51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项目</w:t>
            </w:r>
            <w:r>
              <w:rPr>
                <w:rFonts w:ascii="Times New Roman" w:hAnsi="Times New Roman"/>
                <w:color w:val="auto"/>
                <w:sz w:val="21"/>
              </w:rPr>
              <w:t>营运期间的主要污染物为生活污水、有机废气、机械设备噪声、生活垃圾和生产固废等，采取本环评提出的相关防治措施后，本项目排放的污染物均能稳定达标排放， 同时本项目建成后能改善当地废塑料再生行业“散、 乱、差”的问题，能在一定程度改善区域环境质量</w:t>
            </w:r>
            <w:r>
              <w:rPr>
                <w:rFonts w:hint="eastAsia" w:ascii="Times New Roman" w:hAnsi="Times New Roman"/>
                <w:color w:val="auto"/>
                <w:sz w:val="21"/>
              </w:rPr>
              <w:t>。本项目不涉及重大危险源，项目建设后采取一系列风险方法措施满足环境风险管理红线的要求。总体而言，本项目的建设满足环境质量底线的要求。</w:t>
            </w:r>
          </w:p>
        </w:tc>
        <w:tc>
          <w:tcPr>
            <w:tcW w:w="1530"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99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ascii="Times New Roman"/>
                <w:color w:val="auto"/>
                <w:sz w:val="21"/>
              </w:rPr>
              <w:t>资源利用上线符合性分析</w:t>
            </w:r>
          </w:p>
        </w:tc>
        <w:tc>
          <w:tcPr>
            <w:tcW w:w="51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本项目利用现有工业厂房进行生产，不新增工业用地，同时项目用水来自市政供水管网，不直接取用河水和地下水，且用水量不大。项目建成运行后通过内部管理、设备选择、原辅材料的选用和管理、废物回收利用、污染治理等多方面采取合理可行的防治措施，以“节能、降耗、减污”为目标，有效地控制污染。因此，项目的水、电、土地等资源利用不会突破区域的资源利用上线。</w:t>
            </w:r>
          </w:p>
        </w:tc>
        <w:tc>
          <w:tcPr>
            <w:tcW w:w="1530"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bl>
    <w:p>
      <w:pPr>
        <w:pStyle w:val="592"/>
        <w:ind w:left="0" w:firstLine="0"/>
        <w:rPr>
          <w:color w:val="auto"/>
        </w:rPr>
      </w:pPr>
      <w:bookmarkStart w:id="6" w:name="_Toc37350041"/>
      <w:r>
        <w:rPr>
          <w:color w:val="auto"/>
        </w:rPr>
        <w:t>评价关注的主要环境问题</w:t>
      </w:r>
      <w:bookmarkEnd w:id="6"/>
    </w:p>
    <w:p>
      <w:pPr>
        <w:ind w:firstLine="480"/>
        <w:rPr>
          <w:rFonts w:ascii="Times New Roman" w:hAnsi="Times New Roman"/>
          <w:color w:val="auto"/>
        </w:rPr>
      </w:pPr>
      <w:r>
        <w:rPr>
          <w:rFonts w:ascii="Times New Roman" w:hAnsi="Times New Roman"/>
          <w:color w:val="auto"/>
        </w:rPr>
        <w:t>该项目在运行过程中主要环境问题为废气、废水、噪声和固废等，本评价重点关注项目废气，尤其是生产过程中有机废气对项目厂界以及周边敏感目标的影响。环境问题为具体分析如下：</w:t>
      </w:r>
    </w:p>
    <w:p>
      <w:pPr>
        <w:ind w:firstLine="480"/>
        <w:rPr>
          <w:rFonts w:ascii="Times New Roman" w:hAnsi="Times New Roman"/>
          <w:color w:val="auto"/>
        </w:rPr>
      </w:pPr>
      <w:bookmarkStart w:id="7" w:name="_Toc314092947"/>
      <w:r>
        <w:rPr>
          <w:rFonts w:ascii="Times New Roman" w:hAnsi="Times New Roman"/>
          <w:color w:val="auto"/>
        </w:rPr>
        <w:t>（1）废气方面</w:t>
      </w:r>
    </w:p>
    <w:p>
      <w:pPr>
        <w:ind w:firstLine="480"/>
        <w:rPr>
          <w:rFonts w:ascii="Times New Roman" w:hAnsi="Times New Roman"/>
          <w:color w:val="auto"/>
        </w:rPr>
      </w:pPr>
      <w:r>
        <w:rPr>
          <w:rFonts w:ascii="Times New Roman" w:hAnsi="Times New Roman"/>
          <w:color w:val="auto"/>
        </w:rPr>
        <w:t>项目废气主要来源于造粒过程中产生的非甲烷总烃</w:t>
      </w:r>
      <w:r>
        <w:rPr>
          <w:rFonts w:hint="eastAsia" w:ascii="Times New Roman" w:hAnsi="Times New Roman"/>
          <w:color w:val="auto"/>
        </w:rPr>
        <w:t>和苯乙烯、氨等废气</w:t>
      </w:r>
      <w:r>
        <w:rPr>
          <w:rFonts w:ascii="Times New Roman" w:hAnsi="Times New Roman"/>
          <w:color w:val="auto"/>
        </w:rPr>
        <w:t>，评价主要关注项目生产过程中工艺废气的产生情况、收集与治理情况，以及废气对周边敏感目标的影响。</w:t>
      </w:r>
    </w:p>
    <w:p>
      <w:pPr>
        <w:ind w:firstLine="480"/>
        <w:rPr>
          <w:rFonts w:ascii="Times New Roman" w:hAnsi="Times New Roman"/>
          <w:color w:val="auto"/>
        </w:rPr>
      </w:pPr>
      <w:r>
        <w:rPr>
          <w:rFonts w:ascii="Times New Roman" w:hAnsi="Times New Roman"/>
          <w:color w:val="auto"/>
        </w:rPr>
        <w:t>（2）废水方面</w:t>
      </w:r>
    </w:p>
    <w:p>
      <w:pPr>
        <w:ind w:firstLine="480"/>
        <w:rPr>
          <w:rFonts w:ascii="Times New Roman" w:hAnsi="Times New Roman"/>
          <w:color w:val="auto"/>
        </w:rPr>
      </w:pPr>
      <w:r>
        <w:rPr>
          <w:rFonts w:hint="eastAsia" w:ascii="Times New Roman" w:hAnsi="Times New Roman"/>
          <w:color w:val="auto"/>
        </w:rPr>
        <w:t>关注项目废水的水量、水质，评价纳管可行性。</w:t>
      </w:r>
    </w:p>
    <w:p>
      <w:pPr>
        <w:ind w:firstLine="480"/>
        <w:rPr>
          <w:rFonts w:ascii="Times New Roman" w:hAnsi="Times New Roman"/>
          <w:color w:val="auto"/>
        </w:rPr>
      </w:pPr>
      <w:r>
        <w:rPr>
          <w:rFonts w:ascii="Times New Roman" w:hAnsi="Times New Roman"/>
          <w:color w:val="auto"/>
        </w:rPr>
        <w:t>（3）噪声方面</w:t>
      </w:r>
    </w:p>
    <w:p>
      <w:pPr>
        <w:ind w:firstLine="480"/>
        <w:rPr>
          <w:rFonts w:ascii="Times New Roman" w:hAnsi="Times New Roman"/>
          <w:color w:val="auto"/>
        </w:rPr>
      </w:pPr>
      <w:r>
        <w:rPr>
          <w:rFonts w:hint="eastAsia" w:ascii="Times New Roman"/>
          <w:color w:val="auto"/>
        </w:rPr>
        <w:t>关注项目生产运营后厂界噪声达标可行性及对周边环境敏感点的影响。</w:t>
      </w:r>
    </w:p>
    <w:p>
      <w:pPr>
        <w:ind w:firstLine="480"/>
        <w:rPr>
          <w:rFonts w:ascii="Times New Roman" w:hAnsi="Times New Roman"/>
          <w:color w:val="auto"/>
        </w:rPr>
      </w:pPr>
      <w:r>
        <w:rPr>
          <w:rFonts w:ascii="Times New Roman" w:hAnsi="Times New Roman"/>
          <w:color w:val="auto"/>
        </w:rPr>
        <w:t>（4）固废方面</w:t>
      </w:r>
    </w:p>
    <w:p>
      <w:pPr>
        <w:ind w:firstLine="480"/>
        <w:rPr>
          <w:rFonts w:ascii="Times New Roman" w:hAnsi="Times New Roman"/>
          <w:color w:val="auto"/>
        </w:rPr>
      </w:pPr>
      <w:r>
        <w:rPr>
          <w:rFonts w:hint="eastAsia" w:ascii="Times New Roman"/>
          <w:color w:val="auto"/>
        </w:rPr>
        <w:t>关注各固废的分类、收集、暂存、处置。</w:t>
      </w:r>
    </w:p>
    <w:p>
      <w:pPr>
        <w:ind w:firstLine="480"/>
        <w:rPr>
          <w:rFonts w:ascii="Times New Roman" w:hAnsi="Times New Roman"/>
          <w:color w:val="auto"/>
        </w:rPr>
      </w:pPr>
      <w:r>
        <w:rPr>
          <w:rFonts w:ascii="Times New Roman" w:hAnsi="Times New Roman"/>
          <w:color w:val="auto"/>
        </w:rPr>
        <w:t>（5）地下水方面</w:t>
      </w:r>
    </w:p>
    <w:p>
      <w:pPr>
        <w:ind w:firstLine="480"/>
        <w:rPr>
          <w:rFonts w:ascii="Times New Roman" w:hAnsi="Times New Roman"/>
          <w:color w:val="auto"/>
        </w:rPr>
      </w:pPr>
      <w:r>
        <w:rPr>
          <w:rFonts w:hint="eastAsia" w:ascii="Times New Roman"/>
          <w:color w:val="auto"/>
        </w:rPr>
        <w:t>关注项目涉水区域的防渗措施和要求，避免废水进入地下水系统。</w:t>
      </w:r>
    </w:p>
    <w:p>
      <w:pPr>
        <w:pStyle w:val="592"/>
        <w:ind w:left="0" w:firstLine="0"/>
        <w:rPr>
          <w:color w:val="auto"/>
        </w:rPr>
      </w:pPr>
      <w:bookmarkStart w:id="8" w:name="_Toc37350042"/>
      <w:r>
        <w:rPr>
          <w:color w:val="auto"/>
        </w:rPr>
        <w:t>报告书主要结论</w:t>
      </w:r>
      <w:bookmarkEnd w:id="7"/>
      <w:bookmarkEnd w:id="8"/>
    </w:p>
    <w:p>
      <w:pPr>
        <w:pStyle w:val="42"/>
        <w:spacing w:line="360" w:lineRule="auto"/>
        <w:ind w:firstLine="480" w:firstLineChars="200"/>
        <w:rPr>
          <w:rFonts w:ascii="Times New Roman" w:hAnsi="Times New Roman"/>
          <w:b/>
          <w:bCs/>
          <w:color w:val="auto"/>
          <w:sz w:val="24"/>
          <w:szCs w:val="24"/>
        </w:rPr>
      </w:pPr>
      <w:r>
        <w:rPr>
          <w:rFonts w:ascii="Times New Roman" w:hAnsi="Times New Roman"/>
          <w:color w:val="auto"/>
          <w:sz w:val="24"/>
          <w:szCs w:val="24"/>
        </w:rPr>
        <w:t>温州旭财新材料有限公司位于温州市龙港</w:t>
      </w:r>
      <w:r>
        <w:rPr>
          <w:rFonts w:hint="eastAsia" w:ascii="Times New Roman" w:hAnsi="Times New Roman"/>
          <w:color w:val="auto"/>
          <w:sz w:val="24"/>
          <w:szCs w:val="24"/>
        </w:rPr>
        <w:t>临港产业基地启动区东塘路385-441号内4号楼</w:t>
      </w:r>
      <w:r>
        <w:rPr>
          <w:rFonts w:ascii="Times New Roman" w:hAnsi="Times New Roman"/>
          <w:color w:val="auto"/>
          <w:sz w:val="24"/>
          <w:szCs w:val="24"/>
        </w:rPr>
        <w:t>厂房，选址符合</w:t>
      </w:r>
      <w:r>
        <w:rPr>
          <w:rFonts w:hint="eastAsia" w:ascii="Times New Roman" w:hAnsi="Times New Roman"/>
          <w:color w:val="auto"/>
          <w:sz w:val="24"/>
          <w:szCs w:val="24"/>
        </w:rPr>
        <w:t>浙江省</w:t>
      </w:r>
      <w:r>
        <w:rPr>
          <w:rFonts w:ascii="Times New Roman" w:hAnsi="Times New Roman"/>
          <w:color w:val="auto"/>
          <w:sz w:val="24"/>
          <w:szCs w:val="24"/>
        </w:rPr>
        <w:t>环境功能区划</w:t>
      </w:r>
      <w:r>
        <w:rPr>
          <w:rFonts w:hint="eastAsia" w:ascii="Times New Roman" w:hAnsi="Times New Roman"/>
          <w:color w:val="auto"/>
          <w:sz w:val="24"/>
          <w:szCs w:val="24"/>
        </w:rPr>
        <w:t>，符合</w:t>
      </w:r>
      <w:r>
        <w:rPr>
          <w:rStyle w:val="782"/>
          <w:rFonts w:hint="default" w:ascii="Times New Roman"/>
          <w:color w:val="auto"/>
        </w:rPr>
        <w:t>龙港新城产业集聚区控制性详细规划</w:t>
      </w:r>
      <w:r>
        <w:rPr>
          <w:rFonts w:ascii="Times New Roman" w:hAnsi="Times New Roman"/>
          <w:color w:val="auto"/>
          <w:sz w:val="24"/>
          <w:szCs w:val="24"/>
        </w:rPr>
        <w:t>，符合国家产业政策</w:t>
      </w:r>
      <w:r>
        <w:rPr>
          <w:rFonts w:hint="eastAsia" w:ascii="Times New Roman" w:hAnsi="Times New Roman"/>
          <w:color w:val="auto"/>
          <w:sz w:val="24"/>
          <w:szCs w:val="24"/>
        </w:rPr>
        <w:t>，符合“三线一单”要求</w:t>
      </w:r>
      <w:r>
        <w:rPr>
          <w:rFonts w:ascii="Times New Roman" w:hAnsi="Times New Roman"/>
          <w:color w:val="auto"/>
          <w:sz w:val="24"/>
          <w:szCs w:val="24"/>
        </w:rPr>
        <w:t>；项目对生产过程进行全过程污染控制，外排污染物可实现达标排放</w:t>
      </w:r>
      <w:r>
        <w:rPr>
          <w:rFonts w:hint="eastAsia" w:ascii="Times New Roman" w:hAnsi="Times New Roman"/>
          <w:color w:val="auto"/>
          <w:sz w:val="24"/>
          <w:szCs w:val="24"/>
        </w:rPr>
        <w:t>；</w:t>
      </w:r>
      <w:r>
        <w:rPr>
          <w:rFonts w:ascii="Times New Roman" w:hAnsi="Times New Roman"/>
          <w:color w:val="auto"/>
          <w:sz w:val="24"/>
          <w:szCs w:val="24"/>
        </w:rPr>
        <w:t>项目符合建设项目环保审批原则。建设单位应认真落实本评价中提出的各项污染防治措施和建议，从环保的角度出发，本项目的建设是可行的。</w:t>
      </w:r>
    </w:p>
    <w:p>
      <w:pPr>
        <w:ind w:firstLine="480"/>
        <w:rPr>
          <w:rFonts w:ascii="Times New Roman" w:hAnsi="Times New Roman"/>
          <w:color w:val="auto"/>
          <w:szCs w:val="22"/>
        </w:rPr>
        <w:sectPr>
          <w:headerReference r:id="rId11" w:type="default"/>
          <w:footerReference r:id="rId12" w:type="default"/>
          <w:pgSz w:w="11906" w:h="16838"/>
          <w:pgMar w:top="1440" w:right="1531" w:bottom="1440" w:left="1531" w:header="851" w:footer="992" w:gutter="0"/>
          <w:pgNumType w:start="1"/>
          <w:cols w:space="720" w:num="1"/>
          <w:docGrid w:linePitch="312" w:charSpace="0"/>
        </w:sectPr>
      </w:pPr>
    </w:p>
    <w:p>
      <w:pPr>
        <w:pStyle w:val="438"/>
        <w:spacing w:before="240" w:line="360" w:lineRule="auto"/>
        <w:rPr>
          <w:color w:val="auto"/>
        </w:rPr>
      </w:pPr>
      <w:bookmarkStart w:id="9" w:name="_Toc37350043"/>
      <w:r>
        <w:rPr>
          <w:color w:val="auto"/>
        </w:rPr>
        <w:t>总则</w:t>
      </w:r>
      <w:bookmarkEnd w:id="9"/>
    </w:p>
    <w:p>
      <w:pPr>
        <w:pStyle w:val="592"/>
        <w:numPr>
          <w:ilvl w:val="0"/>
          <w:numId w:val="6"/>
        </w:numPr>
        <w:ind w:left="0" w:firstLine="0"/>
        <w:rPr>
          <w:color w:val="auto"/>
        </w:rPr>
      </w:pPr>
      <w:bookmarkStart w:id="10" w:name="_Toc37350044"/>
      <w:r>
        <w:rPr>
          <w:color w:val="auto"/>
        </w:rPr>
        <w:t>编制依据</w:t>
      </w:r>
      <w:bookmarkEnd w:id="10"/>
    </w:p>
    <w:p>
      <w:pPr>
        <w:pStyle w:val="4"/>
        <w:numPr>
          <w:ilvl w:val="3"/>
          <w:numId w:val="7"/>
        </w:numPr>
        <w:spacing w:beforeLines="0"/>
        <w:ind w:left="0" w:firstLine="0"/>
        <w:rPr>
          <w:rFonts w:ascii="Times New Roman" w:hAnsi="Times New Roman"/>
          <w:color w:val="auto"/>
          <w:sz w:val="24"/>
          <w:szCs w:val="24"/>
        </w:rPr>
      </w:pPr>
      <w:bookmarkStart w:id="11" w:name="_Toc278967622"/>
      <w:bookmarkStart w:id="12" w:name="_Toc278911562"/>
      <w:r>
        <w:rPr>
          <w:rFonts w:ascii="Times New Roman" w:hAnsi="Times New Roman"/>
          <w:color w:val="auto"/>
          <w:sz w:val="24"/>
          <w:szCs w:val="24"/>
        </w:rPr>
        <w:t>相关国家法律、法规</w:t>
      </w:r>
      <w:bookmarkEnd w:id="11"/>
      <w:bookmarkEnd w:id="12"/>
    </w:p>
    <w:p>
      <w:pPr>
        <w:numPr>
          <w:ilvl w:val="0"/>
          <w:numId w:val="8"/>
        </w:numPr>
        <w:ind w:firstLine="480"/>
        <w:rPr>
          <w:rFonts w:ascii="Times New Roman" w:hAnsi="Times New Roman"/>
          <w:color w:val="auto"/>
        </w:rPr>
      </w:pPr>
      <w:bookmarkStart w:id="13" w:name="_Toc278967623"/>
      <w:bookmarkStart w:id="14" w:name="_Toc278911563"/>
      <w:r>
        <w:rPr>
          <w:rFonts w:ascii="Times New Roman" w:hAnsi="Times New Roman"/>
          <w:color w:val="auto"/>
        </w:rPr>
        <w:t>《中华人民共和国环境保护法》，1989年12月26日颁布并实施，2014年4月24日修订，2015年1月1日施行；</w:t>
      </w:r>
    </w:p>
    <w:p>
      <w:pPr>
        <w:numPr>
          <w:ilvl w:val="0"/>
          <w:numId w:val="8"/>
        </w:numPr>
        <w:ind w:firstLine="480"/>
        <w:rPr>
          <w:rFonts w:ascii="Times New Roman" w:hAnsi="Times New Roman"/>
          <w:color w:val="auto"/>
        </w:rPr>
      </w:pPr>
      <w:r>
        <w:rPr>
          <w:rFonts w:hint="eastAsia" w:ascii="Times New Roman" w:hAnsi="Times New Roman"/>
          <w:color w:val="auto"/>
        </w:rPr>
        <w:t>《中华人民共和国环境影响评价法（</w:t>
      </w:r>
      <w:r>
        <w:rPr>
          <w:rFonts w:ascii="Times New Roman" w:hAnsi="Times New Roman"/>
          <w:color w:val="auto"/>
        </w:rPr>
        <w:t>2018</w:t>
      </w:r>
      <w:r>
        <w:rPr>
          <w:rFonts w:hint="eastAsia" w:ascii="Times New Roman" w:hAnsi="Times New Roman"/>
          <w:color w:val="auto"/>
        </w:rPr>
        <w:t>年修正）》，第十三届全国人民代表大会常务委员会第七次会议，</w:t>
      </w:r>
      <w:r>
        <w:rPr>
          <w:rFonts w:ascii="Times New Roman" w:hAnsi="Times New Roman"/>
          <w:color w:val="auto"/>
        </w:rPr>
        <w:t>2018</w:t>
      </w:r>
      <w:r>
        <w:rPr>
          <w:rFonts w:hint="eastAsia" w:ascii="Times New Roman" w:hAnsi="Times New Roman"/>
          <w:color w:val="auto"/>
        </w:rPr>
        <w:t>年</w:t>
      </w:r>
      <w:r>
        <w:rPr>
          <w:rFonts w:ascii="Times New Roman" w:hAnsi="Times New Roman"/>
          <w:color w:val="auto"/>
        </w:rPr>
        <w:t>12</w:t>
      </w:r>
      <w:r>
        <w:rPr>
          <w:rFonts w:hint="eastAsia" w:ascii="Times New Roman" w:hAnsi="Times New Roman"/>
          <w:color w:val="auto"/>
        </w:rPr>
        <w:t>月</w:t>
      </w:r>
      <w:r>
        <w:rPr>
          <w:rFonts w:ascii="Times New Roman" w:hAnsi="Times New Roman"/>
          <w:color w:val="auto"/>
        </w:rPr>
        <w:t>29</w:t>
      </w:r>
      <w:r>
        <w:rPr>
          <w:rFonts w:hint="eastAsia" w:ascii="Times New Roman" w:hAnsi="Times New Roman"/>
          <w:color w:val="auto"/>
        </w:rPr>
        <w:t>日修正，</w:t>
      </w:r>
      <w:r>
        <w:rPr>
          <w:rFonts w:ascii="Times New Roman" w:hAnsi="Times New Roman"/>
          <w:color w:val="auto"/>
        </w:rPr>
        <w:t>2018</w:t>
      </w:r>
      <w:r>
        <w:rPr>
          <w:rFonts w:hint="eastAsia" w:ascii="Times New Roman" w:hAnsi="Times New Roman"/>
          <w:color w:val="auto"/>
        </w:rPr>
        <w:t>年</w:t>
      </w:r>
      <w:r>
        <w:rPr>
          <w:rFonts w:ascii="Times New Roman" w:hAnsi="Times New Roman"/>
          <w:color w:val="auto"/>
        </w:rPr>
        <w:t>12</w:t>
      </w:r>
      <w:r>
        <w:rPr>
          <w:rFonts w:hint="eastAsia" w:ascii="Times New Roman" w:hAnsi="Times New Roman"/>
          <w:color w:val="auto"/>
        </w:rPr>
        <w:t>月</w:t>
      </w:r>
      <w:r>
        <w:rPr>
          <w:rFonts w:ascii="Times New Roman" w:hAnsi="Times New Roman"/>
          <w:color w:val="auto"/>
        </w:rPr>
        <w:t>29</w:t>
      </w:r>
      <w:r>
        <w:rPr>
          <w:rFonts w:hint="eastAsia" w:ascii="Times New Roman" w:hAnsi="Times New Roman"/>
          <w:color w:val="auto"/>
        </w:rPr>
        <w:t>日起施行</w:t>
      </w:r>
      <w:r>
        <w:rPr>
          <w:rFonts w:ascii="Times New Roman" w:hAnsi="Times New Roman"/>
          <w:color w:val="auto"/>
        </w:rPr>
        <w:t>；</w:t>
      </w:r>
    </w:p>
    <w:p>
      <w:pPr>
        <w:numPr>
          <w:ilvl w:val="0"/>
          <w:numId w:val="8"/>
        </w:numPr>
        <w:ind w:firstLine="480"/>
        <w:rPr>
          <w:rFonts w:ascii="Times New Roman" w:hAnsi="Times New Roman"/>
          <w:color w:val="auto"/>
        </w:rPr>
      </w:pPr>
      <w:r>
        <w:rPr>
          <w:rFonts w:ascii="Times New Roman" w:hAnsi="Times New Roman"/>
          <w:color w:val="auto"/>
        </w:rPr>
        <w:t>《中华人民共和国水污染防治法》，</w:t>
      </w:r>
      <w:r>
        <w:rPr>
          <w:rFonts w:hint="eastAsia" w:ascii="Times New Roman" w:hAnsi="Times New Roman"/>
          <w:color w:val="auto"/>
        </w:rPr>
        <w:t>第十二届全国人名代表大会常务委员会第二十八次会议，2017年6月27日第二次修订，2018年1月1日实施；</w:t>
      </w:r>
    </w:p>
    <w:p>
      <w:pPr>
        <w:widowControl/>
        <w:numPr>
          <w:ilvl w:val="0"/>
          <w:numId w:val="8"/>
        </w:numPr>
        <w:ind w:firstLine="480"/>
        <w:jc w:val="left"/>
        <w:rPr>
          <w:rFonts w:ascii="Times New Roman" w:hAnsi="Times New Roman"/>
          <w:color w:val="auto"/>
        </w:rPr>
      </w:pPr>
      <w:r>
        <w:rPr>
          <w:rFonts w:ascii="Times New Roman" w:hAnsi="Times New Roman"/>
          <w:color w:val="auto"/>
        </w:rPr>
        <w:t>《中华人民共和国大气污染防治法》，第十</w:t>
      </w:r>
      <w:r>
        <w:rPr>
          <w:rFonts w:hint="eastAsia" w:ascii="Times New Roman" w:hAnsi="Times New Roman"/>
          <w:color w:val="auto"/>
        </w:rPr>
        <w:t>三</w:t>
      </w:r>
      <w:r>
        <w:rPr>
          <w:rFonts w:ascii="Times New Roman" w:hAnsi="Times New Roman"/>
          <w:color w:val="auto"/>
        </w:rPr>
        <w:t>届全国人名代表大会常务委员会第</w:t>
      </w:r>
      <w:r>
        <w:rPr>
          <w:rFonts w:hint="eastAsia" w:ascii="Times New Roman" w:hAnsi="Times New Roman"/>
          <w:color w:val="auto"/>
        </w:rPr>
        <w:t>六</w:t>
      </w:r>
      <w:r>
        <w:rPr>
          <w:rFonts w:ascii="Times New Roman" w:hAnsi="Times New Roman"/>
          <w:color w:val="auto"/>
        </w:rPr>
        <w:t>次会议</w:t>
      </w:r>
      <w:r>
        <w:rPr>
          <w:rFonts w:hint="eastAsia" w:ascii="Times New Roman" w:hAnsi="Times New Roman"/>
          <w:color w:val="auto"/>
        </w:rPr>
        <w:t>，2018年10月26日修订，</w:t>
      </w:r>
      <w:r>
        <w:rPr>
          <w:rFonts w:ascii="Times New Roman" w:hAnsi="Times New Roman"/>
          <w:color w:val="auto"/>
        </w:rPr>
        <w:t>2018年10月26日起施行；</w:t>
      </w:r>
    </w:p>
    <w:p>
      <w:pPr>
        <w:widowControl/>
        <w:numPr>
          <w:ilvl w:val="0"/>
          <w:numId w:val="8"/>
        </w:numPr>
        <w:ind w:firstLine="480"/>
        <w:jc w:val="left"/>
        <w:rPr>
          <w:rFonts w:ascii="Times New Roman" w:hAnsi="Times New Roman"/>
          <w:color w:val="auto"/>
        </w:rPr>
      </w:pPr>
      <w:r>
        <w:rPr>
          <w:rFonts w:hint="eastAsia" w:ascii="Times New Roman" w:hAnsi="Times New Roman"/>
          <w:color w:val="auto"/>
        </w:rPr>
        <w:t>《中华人民共和国环境噪声污染防治法（</w:t>
      </w:r>
      <w:r>
        <w:rPr>
          <w:rFonts w:ascii="Times New Roman" w:hAnsi="Times New Roman"/>
          <w:color w:val="auto"/>
        </w:rPr>
        <w:t>2018</w:t>
      </w:r>
      <w:r>
        <w:rPr>
          <w:rFonts w:hint="eastAsia" w:ascii="Times New Roman" w:hAnsi="Times New Roman"/>
          <w:color w:val="auto"/>
        </w:rPr>
        <w:t>年修正）》，第十三届全国人民代表大会常务委员会第七次会议，</w:t>
      </w:r>
      <w:r>
        <w:rPr>
          <w:rFonts w:ascii="Times New Roman" w:hAnsi="Times New Roman"/>
          <w:color w:val="auto"/>
        </w:rPr>
        <w:t>2018</w:t>
      </w:r>
      <w:r>
        <w:rPr>
          <w:rFonts w:hint="eastAsia" w:ascii="Times New Roman" w:hAnsi="Times New Roman"/>
          <w:color w:val="auto"/>
        </w:rPr>
        <w:t>年</w:t>
      </w:r>
      <w:r>
        <w:rPr>
          <w:rFonts w:ascii="Times New Roman" w:hAnsi="Times New Roman"/>
          <w:color w:val="auto"/>
        </w:rPr>
        <w:t>12</w:t>
      </w:r>
      <w:r>
        <w:rPr>
          <w:rFonts w:hint="eastAsia" w:ascii="Times New Roman" w:hAnsi="Times New Roman"/>
          <w:color w:val="auto"/>
        </w:rPr>
        <w:t>月</w:t>
      </w:r>
      <w:r>
        <w:rPr>
          <w:rFonts w:ascii="Times New Roman" w:hAnsi="Times New Roman"/>
          <w:color w:val="auto"/>
        </w:rPr>
        <w:t>29</w:t>
      </w:r>
      <w:r>
        <w:rPr>
          <w:rFonts w:hint="eastAsia" w:ascii="Times New Roman" w:hAnsi="Times New Roman"/>
          <w:color w:val="auto"/>
        </w:rPr>
        <w:t>日修正，</w:t>
      </w:r>
      <w:r>
        <w:rPr>
          <w:rFonts w:ascii="Times New Roman" w:hAnsi="Times New Roman"/>
          <w:color w:val="auto"/>
        </w:rPr>
        <w:t>2018</w:t>
      </w:r>
      <w:r>
        <w:rPr>
          <w:rFonts w:hint="eastAsia" w:ascii="Times New Roman" w:hAnsi="Times New Roman"/>
          <w:color w:val="auto"/>
        </w:rPr>
        <w:t>年</w:t>
      </w:r>
      <w:r>
        <w:rPr>
          <w:rFonts w:ascii="Times New Roman" w:hAnsi="Times New Roman"/>
          <w:color w:val="auto"/>
        </w:rPr>
        <w:t>12</w:t>
      </w:r>
      <w:r>
        <w:rPr>
          <w:rFonts w:hint="eastAsia" w:ascii="Times New Roman" w:hAnsi="Times New Roman"/>
          <w:color w:val="auto"/>
        </w:rPr>
        <w:t>月</w:t>
      </w:r>
      <w:r>
        <w:rPr>
          <w:rFonts w:ascii="Times New Roman" w:hAnsi="Times New Roman"/>
          <w:color w:val="auto"/>
        </w:rPr>
        <w:t>29</w:t>
      </w:r>
      <w:r>
        <w:rPr>
          <w:rFonts w:hint="eastAsia" w:ascii="Times New Roman" w:hAnsi="Times New Roman"/>
          <w:color w:val="auto"/>
        </w:rPr>
        <w:t>日起施行</w:t>
      </w:r>
      <w:r>
        <w:rPr>
          <w:rFonts w:ascii="Times New Roman" w:hAnsi="Times New Roman"/>
          <w:color w:val="auto"/>
        </w:rPr>
        <w:t>；</w:t>
      </w:r>
    </w:p>
    <w:p>
      <w:pPr>
        <w:widowControl/>
        <w:numPr>
          <w:ilvl w:val="0"/>
          <w:numId w:val="8"/>
        </w:numPr>
        <w:ind w:firstLine="480"/>
        <w:jc w:val="left"/>
        <w:rPr>
          <w:rFonts w:ascii="Times New Roman" w:hAnsi="Times New Roman"/>
          <w:color w:val="auto"/>
        </w:rPr>
      </w:pPr>
      <w:r>
        <w:rPr>
          <w:rFonts w:ascii="Times New Roman" w:hAnsi="Times New Roman"/>
          <w:color w:val="auto"/>
        </w:rPr>
        <w:t>《中华人民共和国固体废物污染环境防治法》（2015年修正），中华人民共和国主席令第</w:t>
      </w:r>
      <w:r>
        <w:rPr>
          <w:rFonts w:hint="eastAsia" w:ascii="Times New Roman" w:hAnsi="Times New Roman"/>
          <w:color w:val="auto"/>
        </w:rPr>
        <w:t>57</w:t>
      </w:r>
      <w:r>
        <w:rPr>
          <w:rFonts w:ascii="Times New Roman" w:hAnsi="Times New Roman"/>
          <w:color w:val="auto"/>
        </w:rPr>
        <w:t>号</w:t>
      </w:r>
      <w:r>
        <w:rPr>
          <w:rFonts w:hint="eastAsia" w:ascii="Times New Roman" w:hAnsi="Times New Roman"/>
          <w:color w:val="auto"/>
        </w:rPr>
        <w:t>，2016年11月07号修正；</w:t>
      </w:r>
    </w:p>
    <w:p>
      <w:pPr>
        <w:numPr>
          <w:ilvl w:val="0"/>
          <w:numId w:val="8"/>
        </w:numPr>
        <w:ind w:firstLine="480"/>
        <w:rPr>
          <w:rFonts w:ascii="Times New Roman" w:hAnsi="Times New Roman"/>
          <w:color w:val="auto"/>
        </w:rPr>
      </w:pPr>
      <w:r>
        <w:rPr>
          <w:rFonts w:ascii="Times New Roman" w:hAnsi="Times New Roman"/>
          <w:color w:val="auto"/>
        </w:rPr>
        <w:t>《中华人民共和国清洁生产促进法（2012年修订）》，中华人民共和国主席令第54号，2012年7月1起施行；</w:t>
      </w:r>
    </w:p>
    <w:p>
      <w:pPr>
        <w:numPr>
          <w:ilvl w:val="0"/>
          <w:numId w:val="8"/>
        </w:numPr>
        <w:ind w:firstLine="480"/>
        <w:rPr>
          <w:rFonts w:ascii="Times New Roman" w:hAnsi="Times New Roman"/>
          <w:color w:val="auto"/>
        </w:rPr>
      </w:pPr>
      <w:r>
        <w:rPr>
          <w:rFonts w:hint="eastAsia" w:ascii="Times New Roman" w:hAnsi="Times New Roman"/>
          <w:color w:val="auto"/>
        </w:rPr>
        <w:t>《中华人民共和国循环经济促进法（</w:t>
      </w:r>
      <w:r>
        <w:rPr>
          <w:rFonts w:ascii="Times New Roman" w:hAnsi="Times New Roman"/>
          <w:color w:val="auto"/>
        </w:rPr>
        <w:t>2018</w:t>
      </w:r>
      <w:r>
        <w:rPr>
          <w:rFonts w:hint="eastAsia" w:ascii="Times New Roman" w:hAnsi="Times New Roman"/>
          <w:color w:val="auto"/>
        </w:rPr>
        <w:t>年修订）》，中华人民共和国主席令第四号，</w:t>
      </w:r>
      <w:r>
        <w:rPr>
          <w:rFonts w:ascii="Times New Roman" w:hAnsi="Times New Roman"/>
          <w:color w:val="auto"/>
        </w:rPr>
        <w:t>2018</w:t>
      </w:r>
      <w:r>
        <w:rPr>
          <w:rFonts w:hint="eastAsia" w:ascii="Times New Roman" w:hAnsi="Times New Roman"/>
          <w:color w:val="auto"/>
        </w:rPr>
        <w:t>年</w:t>
      </w:r>
      <w:r>
        <w:rPr>
          <w:rFonts w:ascii="Times New Roman" w:hAnsi="Times New Roman"/>
          <w:color w:val="auto"/>
        </w:rPr>
        <w:t>10</w:t>
      </w:r>
      <w:r>
        <w:rPr>
          <w:rFonts w:hint="eastAsia" w:ascii="Times New Roman" w:hAnsi="Times New Roman"/>
          <w:color w:val="auto"/>
        </w:rPr>
        <w:t>月</w:t>
      </w:r>
      <w:r>
        <w:rPr>
          <w:rFonts w:ascii="Times New Roman" w:hAnsi="Times New Roman"/>
          <w:color w:val="auto"/>
        </w:rPr>
        <w:t>26</w:t>
      </w:r>
      <w:r>
        <w:rPr>
          <w:rFonts w:hint="eastAsia" w:ascii="Times New Roman" w:hAnsi="Times New Roman"/>
          <w:color w:val="auto"/>
        </w:rPr>
        <w:t>日修订，</w:t>
      </w:r>
      <w:r>
        <w:rPr>
          <w:rFonts w:ascii="Times New Roman" w:hAnsi="Times New Roman"/>
          <w:color w:val="auto"/>
        </w:rPr>
        <w:t>2018</w:t>
      </w:r>
      <w:r>
        <w:rPr>
          <w:rFonts w:hint="eastAsia" w:ascii="Times New Roman" w:hAnsi="Times New Roman"/>
          <w:color w:val="auto"/>
        </w:rPr>
        <w:t>年</w:t>
      </w:r>
      <w:r>
        <w:rPr>
          <w:rFonts w:ascii="Times New Roman" w:hAnsi="Times New Roman"/>
          <w:color w:val="auto"/>
        </w:rPr>
        <w:t>10</w:t>
      </w:r>
      <w:r>
        <w:rPr>
          <w:rFonts w:hint="eastAsia" w:ascii="Times New Roman" w:hAnsi="Times New Roman"/>
          <w:color w:val="auto"/>
        </w:rPr>
        <w:t>月</w:t>
      </w:r>
      <w:r>
        <w:rPr>
          <w:rFonts w:ascii="Times New Roman" w:hAnsi="Times New Roman"/>
          <w:color w:val="auto"/>
        </w:rPr>
        <w:t>26</w:t>
      </w:r>
      <w:r>
        <w:rPr>
          <w:rFonts w:hint="eastAsia" w:ascii="Times New Roman" w:hAnsi="Times New Roman"/>
          <w:color w:val="auto"/>
        </w:rPr>
        <w:t>日起施行</w:t>
      </w:r>
      <w:r>
        <w:rPr>
          <w:rFonts w:ascii="Times New Roman" w:hAnsi="Times New Roman"/>
          <w:color w:val="auto"/>
        </w:rPr>
        <w:t>；</w:t>
      </w:r>
    </w:p>
    <w:p>
      <w:pPr>
        <w:numPr>
          <w:ilvl w:val="0"/>
          <w:numId w:val="8"/>
        </w:numPr>
        <w:ind w:firstLine="480"/>
        <w:rPr>
          <w:rFonts w:ascii="Times New Roman" w:hAnsi="Times New Roman"/>
          <w:color w:val="auto"/>
        </w:rPr>
      </w:pPr>
      <w:r>
        <w:rPr>
          <w:rFonts w:ascii="Times New Roman" w:hAnsi="Times New Roman"/>
          <w:color w:val="auto"/>
        </w:rPr>
        <w:t>《中华人民共和国土地管理法》，中华人民共和国主席令第28号，2004年8月28日；</w:t>
      </w:r>
    </w:p>
    <w:p>
      <w:pPr>
        <w:numPr>
          <w:ilvl w:val="0"/>
          <w:numId w:val="8"/>
        </w:numPr>
        <w:ind w:firstLine="480"/>
        <w:rPr>
          <w:rFonts w:ascii="Times New Roman" w:hAnsi="Times New Roman"/>
          <w:color w:val="auto"/>
        </w:rPr>
      </w:pPr>
      <w:r>
        <w:rPr>
          <w:rFonts w:ascii="Times New Roman" w:hAnsi="Times New Roman"/>
          <w:color w:val="auto"/>
        </w:rPr>
        <w:t>《建设项目环境影响评价分类管理名录》，环境保护部令第44号，2016年12月27日审议通过，2017年9月1日实施；</w:t>
      </w:r>
    </w:p>
    <w:p>
      <w:pPr>
        <w:numPr>
          <w:ilvl w:val="0"/>
          <w:numId w:val="8"/>
        </w:numPr>
        <w:ind w:firstLine="480"/>
        <w:rPr>
          <w:rFonts w:ascii="Times New Roman" w:hAnsi="Times New Roman"/>
          <w:color w:val="auto"/>
        </w:rPr>
      </w:pPr>
      <w:r>
        <w:rPr>
          <w:rFonts w:hint="eastAsia" w:ascii="Times New Roman" w:hAnsi="Times New Roman"/>
          <w:color w:val="auto"/>
        </w:rPr>
        <w:t>《关于修改〈建设项目环境影响评价分类管理名录〉部分内容的决定》</w:t>
      </w:r>
      <w:r>
        <w:rPr>
          <w:rFonts w:ascii="Times New Roman" w:hAnsi="Times New Roman"/>
          <w:color w:val="auto"/>
        </w:rPr>
        <w:t>中华人民共和国</w:t>
      </w:r>
      <w:r>
        <w:rPr>
          <w:rFonts w:hint="eastAsia" w:ascii="Times New Roman" w:hAnsi="Times New Roman"/>
          <w:color w:val="auto"/>
        </w:rPr>
        <w:t>生态</w:t>
      </w:r>
      <w:r>
        <w:rPr>
          <w:rFonts w:ascii="Times New Roman" w:hAnsi="Times New Roman"/>
          <w:color w:val="auto"/>
        </w:rPr>
        <w:t>环境部令第</w:t>
      </w:r>
      <w:r>
        <w:rPr>
          <w:rFonts w:hint="eastAsia" w:ascii="Times New Roman" w:hAnsi="Times New Roman"/>
          <w:color w:val="auto"/>
        </w:rPr>
        <w:t>1</w:t>
      </w:r>
      <w:r>
        <w:rPr>
          <w:rFonts w:ascii="Times New Roman" w:hAnsi="Times New Roman"/>
          <w:color w:val="auto"/>
        </w:rPr>
        <w:t>号</w:t>
      </w:r>
      <w:r>
        <w:rPr>
          <w:rFonts w:hint="eastAsia" w:ascii="Times New Roman" w:hAnsi="Times New Roman"/>
          <w:color w:val="auto"/>
        </w:rPr>
        <w:t>，2018年4月28日发布并实施；</w:t>
      </w:r>
    </w:p>
    <w:p>
      <w:pPr>
        <w:numPr>
          <w:ilvl w:val="0"/>
          <w:numId w:val="8"/>
        </w:numPr>
        <w:ind w:firstLine="480"/>
        <w:rPr>
          <w:rFonts w:ascii="Times New Roman" w:hAnsi="Times New Roman"/>
          <w:color w:val="auto"/>
        </w:rPr>
      </w:pPr>
      <w:r>
        <w:rPr>
          <w:rFonts w:ascii="Times New Roman" w:hAnsi="Times New Roman"/>
          <w:color w:val="auto"/>
        </w:rPr>
        <w:t>《建设项目环境保护管理条例》（中华人民共和国国务院令[2017]第682号，2017年6月21日修改，2017年10月1日实施；</w:t>
      </w:r>
    </w:p>
    <w:p>
      <w:pPr>
        <w:numPr>
          <w:ilvl w:val="0"/>
          <w:numId w:val="8"/>
        </w:numPr>
        <w:ind w:firstLine="480"/>
        <w:rPr>
          <w:rFonts w:ascii="Times New Roman" w:hAnsi="Times New Roman"/>
          <w:color w:val="auto"/>
        </w:rPr>
      </w:pPr>
      <w:r>
        <w:rPr>
          <w:rFonts w:ascii="Times New Roman" w:hAnsi="Times New Roman"/>
          <w:color w:val="auto"/>
        </w:rPr>
        <w:t>《国务院关于进一步加强淘汰落后产能工作的通知》，国发[2010]7号，2010年2月；</w:t>
      </w:r>
    </w:p>
    <w:p>
      <w:pPr>
        <w:numPr>
          <w:ilvl w:val="0"/>
          <w:numId w:val="8"/>
        </w:numPr>
        <w:ind w:firstLine="480"/>
        <w:rPr>
          <w:rFonts w:ascii="Times New Roman" w:hAnsi="Times New Roman"/>
          <w:color w:val="auto"/>
        </w:rPr>
      </w:pPr>
      <w:r>
        <w:rPr>
          <w:rFonts w:ascii="Times New Roman" w:hAnsi="Times New Roman"/>
          <w:color w:val="auto"/>
        </w:rPr>
        <w:t>《关于贯彻落实拟制部分行业产能过剩和重复建设引导产业健康发展若干意见的通知》，国发[2009]38号，2009年9月；</w:t>
      </w:r>
    </w:p>
    <w:p>
      <w:pPr>
        <w:numPr>
          <w:ilvl w:val="0"/>
          <w:numId w:val="8"/>
        </w:numPr>
        <w:ind w:firstLine="480"/>
        <w:rPr>
          <w:rFonts w:ascii="Times New Roman" w:hAnsi="Times New Roman"/>
          <w:color w:val="auto"/>
        </w:rPr>
      </w:pPr>
      <w:r>
        <w:rPr>
          <w:rFonts w:ascii="Times New Roman" w:hAnsi="Times New Roman"/>
          <w:color w:val="auto"/>
        </w:rPr>
        <w:t>关于发布《环境保护部审批环境影响评价文件的建设项目目录（2015年本）》的公告，2015年第17号公告，环境保护部，2015年3月16日；</w:t>
      </w:r>
    </w:p>
    <w:p>
      <w:pPr>
        <w:numPr>
          <w:ilvl w:val="0"/>
          <w:numId w:val="8"/>
        </w:numPr>
        <w:ind w:firstLine="480"/>
        <w:rPr>
          <w:rFonts w:ascii="Times New Roman" w:hAnsi="Times New Roman"/>
          <w:color w:val="auto"/>
        </w:rPr>
      </w:pPr>
      <w:r>
        <w:rPr>
          <w:rFonts w:ascii="Times New Roman" w:hAnsi="Times New Roman"/>
          <w:color w:val="auto"/>
        </w:rPr>
        <w:t>《关于发布〈危险废物污染防治技术政策〉的通知》，环发[2001]199号；</w:t>
      </w:r>
    </w:p>
    <w:p>
      <w:pPr>
        <w:numPr>
          <w:ilvl w:val="0"/>
          <w:numId w:val="8"/>
        </w:numPr>
        <w:ind w:firstLine="480"/>
        <w:rPr>
          <w:rFonts w:ascii="Times New Roman" w:hAnsi="Times New Roman"/>
          <w:color w:val="auto"/>
        </w:rPr>
      </w:pPr>
      <w:r>
        <w:rPr>
          <w:rFonts w:ascii="Times New Roman" w:hAnsi="Times New Roman"/>
          <w:color w:val="auto"/>
        </w:rPr>
        <w:t>《关于进一步加强环境影响评价管理防范环境风险的通知》，环境保护部，环发[2012]77号；</w:t>
      </w:r>
    </w:p>
    <w:p>
      <w:pPr>
        <w:numPr>
          <w:ilvl w:val="0"/>
          <w:numId w:val="8"/>
        </w:numPr>
        <w:ind w:firstLine="480"/>
        <w:rPr>
          <w:rFonts w:ascii="Times New Roman" w:hAnsi="Times New Roman"/>
          <w:color w:val="auto"/>
        </w:rPr>
      </w:pPr>
      <w:r>
        <w:rPr>
          <w:rFonts w:ascii="Times New Roman" w:hAnsi="Times New Roman"/>
          <w:color w:val="auto"/>
        </w:rPr>
        <w:t>《关于切实加强风险防范严格环境影响评价管理的通知》，环境保护部，环发[2012]98号；</w:t>
      </w:r>
    </w:p>
    <w:p>
      <w:pPr>
        <w:numPr>
          <w:ilvl w:val="0"/>
          <w:numId w:val="8"/>
        </w:numPr>
        <w:ind w:firstLine="480"/>
        <w:rPr>
          <w:rFonts w:ascii="Times New Roman" w:hAnsi="Times New Roman"/>
          <w:color w:val="auto"/>
        </w:rPr>
      </w:pPr>
      <w:r>
        <w:rPr>
          <w:rFonts w:ascii="Times New Roman" w:hAnsi="Times New Roman"/>
          <w:color w:val="auto"/>
        </w:rPr>
        <w:t>《关于印发&lt;建设项目主要污染物排放总量指标审核及管理暂行办法&gt;的通知》（环发[2014]197号），环境保护部，2014年12月31日印发；</w:t>
      </w:r>
    </w:p>
    <w:p>
      <w:pPr>
        <w:numPr>
          <w:ilvl w:val="0"/>
          <w:numId w:val="8"/>
        </w:numPr>
        <w:ind w:firstLine="480"/>
        <w:rPr>
          <w:rFonts w:ascii="Times New Roman" w:hAnsi="Times New Roman"/>
          <w:color w:val="auto"/>
        </w:rPr>
      </w:pPr>
      <w:r>
        <w:rPr>
          <w:rFonts w:ascii="Times New Roman" w:hAnsi="Times New Roman"/>
          <w:color w:val="auto"/>
        </w:rPr>
        <w:t>《印发〈关于加强工业节水工作的意见〉的通知》，国家经贸委等六部委局，国经贸资源（2000）1015号；</w:t>
      </w:r>
    </w:p>
    <w:p>
      <w:pPr>
        <w:numPr>
          <w:ilvl w:val="0"/>
          <w:numId w:val="8"/>
        </w:numPr>
        <w:ind w:firstLine="480"/>
        <w:rPr>
          <w:rFonts w:ascii="Times New Roman" w:hAnsi="Times New Roman"/>
          <w:color w:val="auto"/>
        </w:rPr>
      </w:pPr>
      <w:r>
        <w:rPr>
          <w:rFonts w:ascii="Times New Roman" w:hAnsi="Times New Roman"/>
          <w:color w:val="auto"/>
        </w:rPr>
        <w:t>国土资源部国家发展和改革委员会关于发布实施《限制用地项目目录（2012年本）》和《禁止用地项目目录（2012年本）》的通知，2012年5月23日；</w:t>
      </w:r>
    </w:p>
    <w:p>
      <w:pPr>
        <w:numPr>
          <w:ilvl w:val="0"/>
          <w:numId w:val="8"/>
        </w:numPr>
        <w:ind w:firstLine="480"/>
        <w:rPr>
          <w:rFonts w:ascii="Times New Roman" w:hAnsi="Times New Roman"/>
          <w:color w:val="auto"/>
        </w:rPr>
      </w:pPr>
      <w:r>
        <w:rPr>
          <w:rFonts w:ascii="Times New Roman" w:hAnsi="Times New Roman"/>
          <w:color w:val="auto"/>
        </w:rPr>
        <w:t>《产业结构调整指导目录（201</w:t>
      </w:r>
      <w:r>
        <w:rPr>
          <w:rFonts w:hint="eastAsia" w:ascii="Times New Roman" w:hAnsi="Times New Roman"/>
          <w:color w:val="auto"/>
        </w:rPr>
        <w:t>9</w:t>
      </w:r>
      <w:r>
        <w:rPr>
          <w:rFonts w:ascii="Times New Roman" w:hAnsi="Times New Roman"/>
          <w:color w:val="auto"/>
        </w:rPr>
        <w:t>年本）》</w:t>
      </w:r>
      <w:r>
        <w:rPr>
          <w:rFonts w:hint="eastAsia" w:ascii="Times New Roman" w:hAnsi="Times New Roman"/>
          <w:color w:val="auto"/>
        </w:rPr>
        <w:t>中华人民共和国国家发展和改革委员会</w:t>
      </w:r>
      <w:r>
        <w:rPr>
          <w:rFonts w:ascii="Times New Roman" w:hAnsi="Times New Roman"/>
          <w:color w:val="auto"/>
        </w:rPr>
        <w:t>令第</w:t>
      </w:r>
      <w:r>
        <w:rPr>
          <w:rFonts w:hint="eastAsia" w:ascii="Times New Roman" w:hAnsi="Times New Roman"/>
          <w:color w:val="auto"/>
        </w:rPr>
        <w:t>2</w:t>
      </w:r>
      <w:r>
        <w:rPr>
          <w:rFonts w:ascii="Times New Roman" w:hAnsi="Times New Roman"/>
          <w:color w:val="auto"/>
        </w:rPr>
        <w:t>9号，20</w:t>
      </w:r>
      <w:r>
        <w:rPr>
          <w:rFonts w:hint="eastAsia" w:ascii="Times New Roman" w:hAnsi="Times New Roman"/>
          <w:color w:val="auto"/>
        </w:rPr>
        <w:t>20</w:t>
      </w:r>
      <w:r>
        <w:rPr>
          <w:rFonts w:ascii="Times New Roman" w:hAnsi="Times New Roman"/>
          <w:color w:val="auto"/>
        </w:rPr>
        <w:t>年</w:t>
      </w:r>
      <w:r>
        <w:rPr>
          <w:rFonts w:hint="eastAsia" w:ascii="Times New Roman" w:hAnsi="Times New Roman"/>
          <w:color w:val="auto"/>
        </w:rPr>
        <w:t>1</w:t>
      </w:r>
      <w:r>
        <w:rPr>
          <w:rFonts w:ascii="Times New Roman" w:hAnsi="Times New Roman"/>
          <w:color w:val="auto"/>
        </w:rPr>
        <w:t>月1日起施行</w:t>
      </w:r>
      <w:r>
        <w:rPr>
          <w:rFonts w:hint="eastAsia" w:ascii="Times New Roman" w:hAnsi="Times New Roman"/>
          <w:color w:val="auto"/>
        </w:rPr>
        <w:t>；</w:t>
      </w:r>
    </w:p>
    <w:p>
      <w:pPr>
        <w:numPr>
          <w:ilvl w:val="0"/>
          <w:numId w:val="8"/>
        </w:numPr>
        <w:ind w:firstLine="480"/>
        <w:rPr>
          <w:rFonts w:ascii="Times New Roman" w:hAnsi="Times New Roman"/>
          <w:color w:val="auto"/>
        </w:rPr>
      </w:pPr>
      <w:r>
        <w:rPr>
          <w:rFonts w:hint="eastAsia" w:ascii="Times New Roman" w:hAnsi="Times New Roman"/>
          <w:color w:val="auto"/>
        </w:rPr>
        <w:t>《中华人民共和国土壤污染防治法》，全国人大常委会，2018年8月31日通过，2019年1月1日起实施；</w:t>
      </w:r>
    </w:p>
    <w:p>
      <w:pPr>
        <w:numPr>
          <w:ilvl w:val="0"/>
          <w:numId w:val="8"/>
        </w:numPr>
        <w:ind w:firstLine="480"/>
        <w:rPr>
          <w:rFonts w:ascii="Times New Roman" w:hAnsi="Times New Roman"/>
          <w:color w:val="auto"/>
        </w:rPr>
      </w:pPr>
      <w:r>
        <w:rPr>
          <w:rFonts w:ascii="Times New Roman" w:hAnsi="Times New Roman"/>
          <w:color w:val="auto"/>
        </w:rPr>
        <w:t>关于印发《重点行业挥发性有机物综合治理方案》的通知，生态环境部，2019年6月26日</w:t>
      </w:r>
      <w:r>
        <w:rPr>
          <w:rFonts w:hint="eastAsia" w:ascii="Times New Roman" w:hAnsi="Times New Roman"/>
          <w:color w:val="auto"/>
        </w:rPr>
        <w:t>；</w:t>
      </w:r>
    </w:p>
    <w:p>
      <w:pPr>
        <w:numPr>
          <w:ilvl w:val="0"/>
          <w:numId w:val="8"/>
        </w:numPr>
        <w:ind w:firstLine="480"/>
        <w:rPr>
          <w:rFonts w:ascii="Times New Roman" w:hAnsi="Times New Roman"/>
          <w:color w:val="auto"/>
        </w:rPr>
      </w:pPr>
      <w:r>
        <w:rPr>
          <w:rFonts w:ascii="Times New Roman" w:hAnsi="Times New Roman"/>
          <w:color w:val="auto"/>
        </w:rPr>
        <w:t>国务院关于印发《打赢蓝天保卫战三年行动计划》的通知，国发[2018]22号，2018年6月27日印发。</w:t>
      </w:r>
    </w:p>
    <w:bookmarkEnd w:id="13"/>
    <w:bookmarkEnd w:id="14"/>
    <w:p>
      <w:pPr>
        <w:pStyle w:val="4"/>
        <w:numPr>
          <w:ilvl w:val="3"/>
          <w:numId w:val="7"/>
        </w:numPr>
        <w:spacing w:beforeLines="0"/>
        <w:ind w:left="0" w:firstLine="0"/>
        <w:rPr>
          <w:rFonts w:ascii="Times New Roman" w:hAnsi="Times New Roman"/>
          <w:color w:val="auto"/>
          <w:sz w:val="24"/>
          <w:szCs w:val="24"/>
        </w:rPr>
      </w:pPr>
      <w:r>
        <w:rPr>
          <w:rFonts w:ascii="Times New Roman" w:hAnsi="Times New Roman"/>
          <w:color w:val="auto"/>
          <w:sz w:val="24"/>
          <w:szCs w:val="24"/>
        </w:rPr>
        <w:t>相关地方条例文件</w:t>
      </w:r>
    </w:p>
    <w:p>
      <w:pPr>
        <w:numPr>
          <w:ilvl w:val="0"/>
          <w:numId w:val="9"/>
        </w:numPr>
        <w:ind w:firstLine="480"/>
        <w:rPr>
          <w:rFonts w:ascii="Times New Roman" w:hAnsi="Times New Roman"/>
          <w:color w:val="auto"/>
        </w:rPr>
      </w:pPr>
      <w:r>
        <w:rPr>
          <w:rFonts w:ascii="Times New Roman" w:hAnsi="Times New Roman"/>
          <w:color w:val="auto"/>
        </w:rPr>
        <w:t>《浙江省大气污染防治条例》，浙江省人民代表大会常务委员会公告第</w:t>
      </w:r>
      <w:r>
        <w:rPr>
          <w:rFonts w:hint="eastAsia" w:ascii="Times New Roman" w:hAnsi="Times New Roman"/>
          <w:color w:val="auto"/>
        </w:rPr>
        <w:t>4</w:t>
      </w:r>
      <w:r>
        <w:rPr>
          <w:rFonts w:ascii="Times New Roman" w:hAnsi="Times New Roman"/>
          <w:color w:val="auto"/>
        </w:rPr>
        <w:t>1号，</w:t>
      </w:r>
      <w:r>
        <w:rPr>
          <w:rFonts w:hint="eastAsia" w:ascii="Times New Roman" w:hAnsi="Times New Roman"/>
          <w:color w:val="auto"/>
        </w:rPr>
        <w:t>2016年5月27号修订，2016年7月1日实施</w:t>
      </w:r>
      <w:r>
        <w:rPr>
          <w:rFonts w:ascii="Times New Roman" w:hAnsi="Times New Roman"/>
          <w:color w:val="auto"/>
        </w:rPr>
        <w:t>；</w:t>
      </w:r>
    </w:p>
    <w:p>
      <w:pPr>
        <w:numPr>
          <w:ilvl w:val="0"/>
          <w:numId w:val="9"/>
        </w:numPr>
        <w:ind w:firstLine="480"/>
        <w:rPr>
          <w:rFonts w:ascii="Times New Roman" w:hAnsi="Times New Roman"/>
          <w:color w:val="auto"/>
        </w:rPr>
      </w:pPr>
      <w:r>
        <w:rPr>
          <w:rFonts w:hint="eastAsia" w:ascii="Times New Roman" w:hAnsi="Times New Roman"/>
          <w:color w:val="auto"/>
        </w:rPr>
        <w:t>《浙江省水污染防治条例》，浙江省人民代表大会常务委员会公告第</w:t>
      </w:r>
      <w:r>
        <w:rPr>
          <w:rFonts w:ascii="Times New Roman" w:hAnsi="Times New Roman"/>
          <w:color w:val="auto"/>
        </w:rPr>
        <w:t>74号，2017年11月30日修订，2018年1月1日起施行；</w:t>
      </w:r>
    </w:p>
    <w:p>
      <w:pPr>
        <w:numPr>
          <w:ilvl w:val="0"/>
          <w:numId w:val="9"/>
        </w:numPr>
        <w:ind w:firstLine="480"/>
        <w:rPr>
          <w:rFonts w:ascii="Times New Roman" w:hAnsi="Times New Roman"/>
          <w:color w:val="auto"/>
        </w:rPr>
      </w:pPr>
      <w:r>
        <w:rPr>
          <w:rFonts w:hint="eastAsia" w:ascii="Times New Roman" w:hAnsi="Times New Roman"/>
          <w:color w:val="auto"/>
        </w:rPr>
        <w:t>《浙江省固体废物污染环境防治条例（</w:t>
      </w:r>
      <w:r>
        <w:rPr>
          <w:rFonts w:ascii="Times New Roman" w:hAnsi="Times New Roman"/>
          <w:color w:val="auto"/>
        </w:rPr>
        <w:t>2017年第二次修正）》，浙江省第十二届人民代表大会常务委员会第四十四次会议通过，2017年9月30日；</w:t>
      </w:r>
    </w:p>
    <w:p>
      <w:pPr>
        <w:widowControl/>
        <w:numPr>
          <w:ilvl w:val="0"/>
          <w:numId w:val="9"/>
        </w:numPr>
        <w:ind w:firstLine="480"/>
        <w:jc w:val="left"/>
        <w:rPr>
          <w:rFonts w:ascii="Times New Roman" w:hAnsi="Times New Roman"/>
          <w:color w:val="auto"/>
        </w:rPr>
      </w:pPr>
      <w:r>
        <w:rPr>
          <w:rFonts w:ascii="Times New Roman" w:hAnsi="Times New Roman"/>
          <w:color w:val="auto"/>
        </w:rPr>
        <w:t>《关于印发&lt;浙江省水污染防治行动计划&gt;的通知》，浙江省人民政府浙政发[2016]12号，2016年3月30日；</w:t>
      </w:r>
    </w:p>
    <w:p>
      <w:pPr>
        <w:widowControl/>
        <w:numPr>
          <w:ilvl w:val="0"/>
          <w:numId w:val="9"/>
        </w:numPr>
        <w:ind w:firstLine="480"/>
        <w:jc w:val="left"/>
        <w:rPr>
          <w:rFonts w:ascii="Times New Roman" w:hAnsi="Times New Roman"/>
          <w:color w:val="auto"/>
        </w:rPr>
      </w:pPr>
      <w:r>
        <w:rPr>
          <w:rFonts w:ascii="Times New Roman" w:hAnsi="Times New Roman"/>
          <w:color w:val="auto"/>
        </w:rPr>
        <w:t>《浙江省人民政府关于浙江省水功能区水环境功能区划分方案(2015)的批复》，浙政函[2015]71号，浙江省人民政府，2015年6月29日印发；</w:t>
      </w:r>
    </w:p>
    <w:p>
      <w:pPr>
        <w:numPr>
          <w:ilvl w:val="0"/>
          <w:numId w:val="9"/>
        </w:numPr>
        <w:ind w:firstLine="480"/>
        <w:rPr>
          <w:rFonts w:ascii="Times New Roman" w:hAnsi="Times New Roman"/>
          <w:color w:val="auto"/>
        </w:rPr>
      </w:pPr>
      <w:r>
        <w:rPr>
          <w:rFonts w:ascii="Times New Roman" w:hAnsi="Times New Roman"/>
          <w:color w:val="auto"/>
        </w:rPr>
        <w:t>《浙江省建设项目环境保护管理办法</w:t>
      </w:r>
      <w:r>
        <w:rPr>
          <w:rFonts w:hint="eastAsia" w:ascii="Times New Roman" w:hAnsi="Times New Roman"/>
          <w:color w:val="auto"/>
        </w:rPr>
        <w:t>（2018年修订）</w:t>
      </w:r>
      <w:r>
        <w:rPr>
          <w:rFonts w:ascii="Times New Roman" w:hAnsi="Times New Roman"/>
          <w:color w:val="auto"/>
        </w:rPr>
        <w:t>》，省政府令</w:t>
      </w:r>
      <w:r>
        <w:rPr>
          <w:rFonts w:hint="eastAsia" w:ascii="Times New Roman" w:hAnsi="Times New Roman"/>
          <w:color w:val="auto"/>
        </w:rPr>
        <w:t>364</w:t>
      </w:r>
      <w:r>
        <w:rPr>
          <w:rFonts w:ascii="Times New Roman" w:hAnsi="Times New Roman"/>
          <w:color w:val="auto"/>
        </w:rPr>
        <w:t>号，201</w:t>
      </w:r>
      <w:r>
        <w:rPr>
          <w:rFonts w:hint="eastAsia" w:ascii="Times New Roman" w:hAnsi="Times New Roman"/>
          <w:color w:val="auto"/>
        </w:rPr>
        <w:t>8</w:t>
      </w:r>
      <w:r>
        <w:rPr>
          <w:rFonts w:ascii="Times New Roman" w:hAnsi="Times New Roman"/>
          <w:color w:val="auto"/>
        </w:rPr>
        <w:t>年</w:t>
      </w:r>
      <w:r>
        <w:rPr>
          <w:rFonts w:hint="eastAsia" w:ascii="Times New Roman" w:hAnsi="Times New Roman"/>
          <w:color w:val="auto"/>
        </w:rPr>
        <w:t>1</w:t>
      </w:r>
      <w:r>
        <w:rPr>
          <w:rFonts w:ascii="Times New Roman" w:hAnsi="Times New Roman"/>
          <w:color w:val="auto"/>
        </w:rPr>
        <w:t>月</w:t>
      </w:r>
      <w:r>
        <w:rPr>
          <w:rFonts w:hint="eastAsia" w:ascii="Times New Roman" w:hAnsi="Times New Roman"/>
          <w:color w:val="auto"/>
        </w:rPr>
        <w:t>22</w:t>
      </w:r>
      <w:r>
        <w:rPr>
          <w:rFonts w:ascii="Times New Roman" w:hAnsi="Times New Roman"/>
          <w:color w:val="auto"/>
        </w:rPr>
        <w:t>日</w:t>
      </w:r>
      <w:r>
        <w:rPr>
          <w:rFonts w:hint="eastAsia" w:ascii="Times New Roman" w:hAnsi="Times New Roman"/>
          <w:color w:val="auto"/>
        </w:rPr>
        <w:t>修订，2018年3月1日实施</w:t>
      </w:r>
      <w:r>
        <w:rPr>
          <w:rFonts w:ascii="Times New Roman" w:hAnsi="Times New Roman"/>
          <w:color w:val="auto"/>
        </w:rPr>
        <w:t>；</w:t>
      </w:r>
    </w:p>
    <w:p>
      <w:pPr>
        <w:numPr>
          <w:ilvl w:val="0"/>
          <w:numId w:val="9"/>
        </w:numPr>
        <w:ind w:firstLine="480"/>
        <w:rPr>
          <w:rFonts w:ascii="Times New Roman" w:hAnsi="Times New Roman"/>
          <w:color w:val="auto"/>
        </w:rPr>
      </w:pPr>
      <w:r>
        <w:rPr>
          <w:rFonts w:ascii="Times New Roman" w:hAnsi="Times New Roman"/>
          <w:color w:val="auto"/>
        </w:rPr>
        <w:t>《浙江省环境污染监督管理办法》，浙江省人民政府令第216号，2006年9月1日起施行，2014年浙江省人民政府令第321号修正；</w:t>
      </w:r>
    </w:p>
    <w:p>
      <w:pPr>
        <w:numPr>
          <w:ilvl w:val="0"/>
          <w:numId w:val="9"/>
        </w:numPr>
        <w:ind w:firstLine="480"/>
        <w:rPr>
          <w:rFonts w:ascii="Times New Roman" w:hAnsi="Times New Roman"/>
          <w:color w:val="auto"/>
        </w:rPr>
      </w:pPr>
      <w:r>
        <w:rPr>
          <w:rFonts w:ascii="Times New Roman" w:hAnsi="Times New Roman"/>
          <w:color w:val="auto"/>
        </w:rPr>
        <w:t>《浙江省主要污染物总量减排管理办法》，浙政发[2008]42号，2008年6月26日；</w:t>
      </w:r>
    </w:p>
    <w:p>
      <w:pPr>
        <w:numPr>
          <w:ilvl w:val="0"/>
          <w:numId w:val="9"/>
        </w:numPr>
        <w:ind w:firstLine="480"/>
        <w:rPr>
          <w:rFonts w:ascii="Times New Roman" w:hAnsi="Times New Roman"/>
          <w:color w:val="auto"/>
        </w:rPr>
      </w:pPr>
      <w:r>
        <w:rPr>
          <w:rFonts w:ascii="Times New Roman" w:hAnsi="Times New Roman"/>
          <w:color w:val="auto"/>
        </w:rPr>
        <w:t>《浙江省人民政府办公厅关于印发浙江省大气复合污染防治实施方案的通知》，浙政办发[2012]80号，浙江省人民政府办公厅，2012年7月6日；</w:t>
      </w:r>
    </w:p>
    <w:p>
      <w:pPr>
        <w:numPr>
          <w:ilvl w:val="0"/>
          <w:numId w:val="9"/>
        </w:numPr>
        <w:ind w:firstLine="480"/>
        <w:rPr>
          <w:rFonts w:ascii="Times New Roman" w:hAnsi="Times New Roman"/>
          <w:color w:val="auto"/>
          <w:szCs w:val="24"/>
        </w:rPr>
      </w:pPr>
      <w:r>
        <w:rPr>
          <w:rFonts w:ascii="Times New Roman" w:hAnsi="Times New Roman"/>
          <w:color w:val="auto"/>
          <w:szCs w:val="24"/>
        </w:rPr>
        <w:t>《</w:t>
      </w:r>
      <w:r>
        <w:rPr>
          <w:rFonts w:ascii="Times New Roman" w:hAnsi="Times New Roman"/>
          <w:bCs/>
          <w:color w:val="auto"/>
          <w:szCs w:val="24"/>
          <w:lang w:bidi="en-US"/>
        </w:rPr>
        <w:t>关于进一步加强建设项目环境保护“三同时”管理的意见》，浙江省环保厅浙环发[2013]14号，2013年3月6日发布</w:t>
      </w:r>
      <w:r>
        <w:rPr>
          <w:rFonts w:ascii="Times New Roman" w:hAnsi="Times New Roman"/>
          <w:color w:val="auto"/>
          <w:szCs w:val="24"/>
        </w:rPr>
        <w:t>；</w:t>
      </w:r>
    </w:p>
    <w:p>
      <w:pPr>
        <w:numPr>
          <w:ilvl w:val="0"/>
          <w:numId w:val="9"/>
        </w:numPr>
        <w:ind w:firstLine="480"/>
        <w:rPr>
          <w:rFonts w:ascii="Times New Roman" w:hAnsi="Times New Roman"/>
          <w:color w:val="auto"/>
        </w:rPr>
      </w:pPr>
      <w:r>
        <w:rPr>
          <w:rFonts w:ascii="Times New Roman" w:hAnsi="Times New Roman"/>
          <w:color w:val="auto"/>
        </w:rPr>
        <w:t>《关于进一步加强建设项目固体废物环境管理的通知》，浙环发[2009]76号，浙江省环境保护局，2009年10月28日印发；</w:t>
      </w:r>
    </w:p>
    <w:p>
      <w:pPr>
        <w:numPr>
          <w:ilvl w:val="0"/>
          <w:numId w:val="9"/>
        </w:numPr>
        <w:ind w:firstLine="480"/>
        <w:rPr>
          <w:rFonts w:ascii="Times New Roman" w:hAnsi="Times New Roman"/>
          <w:color w:val="auto"/>
        </w:rPr>
      </w:pPr>
      <w:r>
        <w:rPr>
          <w:rFonts w:ascii="Times New Roman" w:hAnsi="Times New Roman"/>
          <w:color w:val="auto"/>
        </w:rPr>
        <w:t>《浙江省建设项目主要污染物总量准入审核办法（试行）》，浙环发[2012]10号，浙江省环境保护局，2012年2月24日印发；</w:t>
      </w:r>
    </w:p>
    <w:p>
      <w:pPr>
        <w:numPr>
          <w:ilvl w:val="0"/>
          <w:numId w:val="9"/>
        </w:numPr>
        <w:ind w:firstLine="480"/>
        <w:rPr>
          <w:rFonts w:ascii="Times New Roman" w:hAnsi="Times New Roman"/>
          <w:color w:val="auto"/>
        </w:rPr>
      </w:pPr>
      <w:r>
        <w:rPr>
          <w:rFonts w:ascii="Times New Roman" w:hAnsi="Times New Roman"/>
          <w:color w:val="auto"/>
        </w:rPr>
        <w:t>关于发布实施《浙江省限制用地项目目录（2014年本）》和《浙江省禁止用地项目目录（2014年本）》的通知，浙土资发〔2014〕16号，浙江省国土资源厅浙江省发展和改革委员会浙江省经济和信息化委员会，2014年4月15日；</w:t>
      </w:r>
    </w:p>
    <w:p>
      <w:pPr>
        <w:numPr>
          <w:ilvl w:val="0"/>
          <w:numId w:val="9"/>
        </w:numPr>
        <w:ind w:firstLine="480"/>
        <w:rPr>
          <w:rFonts w:ascii="Times New Roman" w:hAnsi="Times New Roman"/>
          <w:color w:val="auto"/>
        </w:rPr>
      </w:pPr>
      <w:r>
        <w:rPr>
          <w:rFonts w:ascii="Times New Roman" w:hAnsi="Times New Roman"/>
          <w:color w:val="auto"/>
        </w:rPr>
        <w:t>《关于进一步严格内河流域建设项目环评审批的通知》温环发[2010]73号，2010年6月28日；</w:t>
      </w:r>
    </w:p>
    <w:p>
      <w:pPr>
        <w:numPr>
          <w:ilvl w:val="0"/>
          <w:numId w:val="9"/>
        </w:numPr>
        <w:ind w:firstLine="480"/>
        <w:rPr>
          <w:rFonts w:ascii="Times New Roman" w:hAnsi="Times New Roman"/>
          <w:color w:val="auto"/>
        </w:rPr>
      </w:pPr>
      <w:r>
        <w:rPr>
          <w:rFonts w:hint="eastAsia" w:ascii="Times New Roman" w:hAnsi="Times New Roman"/>
          <w:color w:val="auto"/>
        </w:rPr>
        <w:t>《省生态环境主管部门负责审批环境影响评价文件的建设项目清单（</w:t>
      </w:r>
      <w:r>
        <w:rPr>
          <w:rFonts w:ascii="Times New Roman" w:hAnsi="Times New Roman"/>
          <w:color w:val="auto"/>
        </w:rPr>
        <w:t>2019年本）》浙环发〔2019〕22号</w:t>
      </w:r>
      <w:r>
        <w:rPr>
          <w:rFonts w:ascii="Times New Roman" w:hAnsi="Times New Roman"/>
          <w:color w:val="auto"/>
          <w:szCs w:val="24"/>
        </w:rPr>
        <w:t>；</w:t>
      </w:r>
    </w:p>
    <w:p>
      <w:pPr>
        <w:numPr>
          <w:ilvl w:val="0"/>
          <w:numId w:val="9"/>
        </w:numPr>
        <w:ind w:firstLine="480"/>
        <w:rPr>
          <w:rFonts w:ascii="Times New Roman" w:hAnsi="Times New Roman"/>
          <w:color w:val="auto"/>
        </w:rPr>
      </w:pPr>
      <w:r>
        <w:rPr>
          <w:rFonts w:ascii="Times New Roman" w:hAnsi="Times New Roman"/>
          <w:color w:val="auto"/>
        </w:rPr>
        <w:t>《温州市排污权有偿使用和交易试行办法》，温州市人民政府令第123号，2011年3月1日；</w:t>
      </w:r>
    </w:p>
    <w:p>
      <w:pPr>
        <w:numPr>
          <w:ilvl w:val="0"/>
          <w:numId w:val="9"/>
        </w:numPr>
        <w:ind w:firstLine="480"/>
        <w:rPr>
          <w:rFonts w:ascii="Times New Roman" w:hAnsi="Times New Roman"/>
          <w:color w:val="auto"/>
        </w:rPr>
      </w:pPr>
      <w:r>
        <w:rPr>
          <w:rFonts w:ascii="Times New Roman" w:hAnsi="Times New Roman"/>
          <w:color w:val="auto"/>
        </w:rPr>
        <w:t>《温州市初始排污权有偿使用实施细则（试行）》（温政办〔2013〕83号），2013年7月；</w:t>
      </w:r>
    </w:p>
    <w:p>
      <w:pPr>
        <w:numPr>
          <w:ilvl w:val="0"/>
          <w:numId w:val="9"/>
        </w:numPr>
        <w:ind w:firstLine="480"/>
        <w:rPr>
          <w:rFonts w:ascii="Times New Roman" w:hAnsi="Times New Roman"/>
          <w:color w:val="auto"/>
        </w:rPr>
      </w:pPr>
      <w:r>
        <w:rPr>
          <w:rFonts w:ascii="Times New Roman" w:hAnsi="Times New Roman"/>
          <w:color w:val="auto"/>
        </w:rPr>
        <w:t>《温州市重点行业落后产能认定标准指导目录（2013年版）》，温政办[2013]62号，2013年4月22日；</w:t>
      </w:r>
    </w:p>
    <w:p>
      <w:pPr>
        <w:numPr>
          <w:ilvl w:val="0"/>
          <w:numId w:val="9"/>
        </w:numPr>
        <w:ind w:firstLine="480"/>
        <w:rPr>
          <w:rFonts w:ascii="Times New Roman" w:hAnsi="Times New Roman"/>
          <w:color w:val="auto"/>
        </w:rPr>
      </w:pPr>
      <w:r>
        <w:rPr>
          <w:rFonts w:ascii="Times New Roman" w:hAnsi="Times New Roman"/>
          <w:color w:val="auto"/>
        </w:rPr>
        <w:t>《温州市建设项目环评审批污染物总量替代管理办法（试行）》，温环发[2010]88号，2010年8月30日；</w:t>
      </w:r>
    </w:p>
    <w:p>
      <w:pPr>
        <w:numPr>
          <w:ilvl w:val="0"/>
          <w:numId w:val="9"/>
        </w:numPr>
        <w:ind w:left="0" w:firstLine="480"/>
        <w:rPr>
          <w:rFonts w:ascii="Times New Roman" w:hAnsi="Times New Roman"/>
          <w:color w:val="auto"/>
        </w:rPr>
      </w:pPr>
      <w:r>
        <w:rPr>
          <w:rFonts w:hint="eastAsia" w:ascii="Times New Roman" w:hAnsi="Times New Roman"/>
          <w:color w:val="auto"/>
        </w:rPr>
        <w:t>温州市人民政府办公室关于印发温州市七类行业整治提升行动方案（2018-2020年）的通知；</w:t>
      </w:r>
    </w:p>
    <w:p>
      <w:pPr>
        <w:numPr>
          <w:ilvl w:val="0"/>
          <w:numId w:val="9"/>
        </w:numPr>
        <w:ind w:left="0" w:firstLine="480"/>
        <w:rPr>
          <w:rFonts w:ascii="Times New Roman" w:hAnsi="Times New Roman"/>
          <w:color w:val="auto"/>
        </w:rPr>
      </w:pPr>
      <w:r>
        <w:rPr>
          <w:rFonts w:ascii="Times New Roman" w:hAnsi="Times New Roman"/>
          <w:color w:val="auto"/>
        </w:rPr>
        <w:t>《浙江省人民政府关于发布浙江省生态保护红线的通知》，浙政发[2018]30号，2018年7月20日</w:t>
      </w:r>
      <w:r>
        <w:rPr>
          <w:rFonts w:hint="eastAsia" w:ascii="Times New Roman" w:hAnsi="Times New Roman"/>
          <w:color w:val="auto"/>
        </w:rPr>
        <w:t>。</w:t>
      </w:r>
    </w:p>
    <w:p>
      <w:pPr>
        <w:pStyle w:val="4"/>
        <w:numPr>
          <w:ilvl w:val="3"/>
          <w:numId w:val="7"/>
        </w:numPr>
        <w:spacing w:beforeLines="0"/>
        <w:ind w:left="0" w:firstLine="0"/>
        <w:rPr>
          <w:rFonts w:ascii="Times New Roman" w:hAnsi="Times New Roman"/>
          <w:color w:val="auto"/>
          <w:sz w:val="24"/>
          <w:szCs w:val="24"/>
        </w:rPr>
      </w:pPr>
      <w:r>
        <w:rPr>
          <w:rFonts w:ascii="Times New Roman" w:hAnsi="Times New Roman"/>
          <w:color w:val="auto"/>
          <w:sz w:val="24"/>
          <w:szCs w:val="24"/>
        </w:rPr>
        <w:t>相关导则及技术规范</w:t>
      </w:r>
    </w:p>
    <w:p>
      <w:pPr>
        <w:numPr>
          <w:ilvl w:val="0"/>
          <w:numId w:val="10"/>
        </w:numPr>
        <w:ind w:firstLine="425" w:firstLineChars="0"/>
        <w:rPr>
          <w:rFonts w:ascii="Times New Roman" w:hAnsi="Times New Roman"/>
          <w:color w:val="auto"/>
        </w:rPr>
      </w:pPr>
      <w:r>
        <w:rPr>
          <w:rFonts w:ascii="Times New Roman" w:hAnsi="Times New Roman"/>
          <w:color w:val="auto"/>
        </w:rPr>
        <w:t>《建设项目环境影响评价技术导则——总纲》，HJ2.1-2016；</w:t>
      </w:r>
    </w:p>
    <w:p>
      <w:pPr>
        <w:numPr>
          <w:ilvl w:val="0"/>
          <w:numId w:val="10"/>
        </w:numPr>
        <w:ind w:firstLine="425" w:firstLineChars="0"/>
        <w:rPr>
          <w:rFonts w:ascii="Times New Roman" w:hAnsi="Times New Roman"/>
          <w:color w:val="auto"/>
        </w:rPr>
      </w:pPr>
      <w:r>
        <w:rPr>
          <w:rFonts w:ascii="Times New Roman" w:hAnsi="Times New Roman"/>
          <w:color w:val="auto"/>
        </w:rPr>
        <w:t>《环境影响评价技术导则——大气环境》，HJ2.2-20</w:t>
      </w:r>
      <w:r>
        <w:rPr>
          <w:rFonts w:hint="eastAsia" w:ascii="Times New Roman" w:hAnsi="Times New Roman"/>
          <w:color w:val="auto"/>
        </w:rPr>
        <w:t>18</w:t>
      </w:r>
      <w:r>
        <w:rPr>
          <w:rFonts w:ascii="Times New Roman" w:hAnsi="Times New Roman"/>
          <w:color w:val="auto"/>
        </w:rPr>
        <w:t>；</w:t>
      </w:r>
    </w:p>
    <w:p>
      <w:pPr>
        <w:numPr>
          <w:ilvl w:val="0"/>
          <w:numId w:val="10"/>
        </w:numPr>
        <w:ind w:firstLine="425" w:firstLineChars="0"/>
        <w:rPr>
          <w:rFonts w:ascii="Times New Roman" w:hAnsi="Times New Roman"/>
          <w:color w:val="auto"/>
        </w:rPr>
      </w:pPr>
      <w:r>
        <w:rPr>
          <w:rFonts w:ascii="Times New Roman" w:hAnsi="Times New Roman"/>
          <w:color w:val="auto"/>
        </w:rPr>
        <w:t>《环境影响评价技术导则——地</w:t>
      </w:r>
      <w:r>
        <w:rPr>
          <w:rFonts w:hint="eastAsia" w:ascii="Times New Roman" w:hAnsi="Times New Roman"/>
          <w:color w:val="auto"/>
        </w:rPr>
        <w:t>表</w:t>
      </w:r>
      <w:r>
        <w:rPr>
          <w:rFonts w:ascii="Times New Roman" w:hAnsi="Times New Roman"/>
          <w:color w:val="auto"/>
        </w:rPr>
        <w:t>水环境》，HJ</w:t>
      </w:r>
      <w:r>
        <w:rPr>
          <w:rFonts w:hint="eastAsia" w:ascii="Times New Roman" w:hAnsi="Times New Roman"/>
          <w:color w:val="auto"/>
        </w:rPr>
        <w:t xml:space="preserve"> </w:t>
      </w:r>
      <w:r>
        <w:rPr>
          <w:rFonts w:ascii="Times New Roman" w:hAnsi="Times New Roman"/>
          <w:color w:val="auto"/>
        </w:rPr>
        <w:t>2.3-</w:t>
      </w:r>
      <w:r>
        <w:rPr>
          <w:rFonts w:hint="eastAsia" w:ascii="Times New Roman" w:hAnsi="Times New Roman"/>
          <w:color w:val="auto"/>
        </w:rPr>
        <w:t>2018</w:t>
      </w:r>
      <w:r>
        <w:rPr>
          <w:rFonts w:ascii="Times New Roman" w:hAnsi="Times New Roman"/>
          <w:color w:val="auto"/>
        </w:rPr>
        <w:t>；</w:t>
      </w:r>
    </w:p>
    <w:p>
      <w:pPr>
        <w:numPr>
          <w:ilvl w:val="0"/>
          <w:numId w:val="10"/>
        </w:numPr>
        <w:ind w:firstLine="425" w:firstLineChars="0"/>
        <w:rPr>
          <w:rFonts w:ascii="Times New Roman" w:hAnsi="Times New Roman"/>
          <w:color w:val="auto"/>
        </w:rPr>
      </w:pPr>
      <w:r>
        <w:rPr>
          <w:rFonts w:ascii="Times New Roman" w:hAnsi="Times New Roman"/>
          <w:color w:val="auto"/>
        </w:rPr>
        <w:t>《环境影响评价技术导则——声环境》，HJ2.4-2009；</w:t>
      </w:r>
    </w:p>
    <w:p>
      <w:pPr>
        <w:numPr>
          <w:ilvl w:val="0"/>
          <w:numId w:val="10"/>
        </w:numPr>
        <w:ind w:firstLine="425" w:firstLineChars="0"/>
        <w:rPr>
          <w:rFonts w:ascii="Times New Roman" w:hAnsi="Times New Roman"/>
          <w:color w:val="auto"/>
        </w:rPr>
      </w:pPr>
      <w:r>
        <w:rPr>
          <w:rFonts w:ascii="Times New Roman" w:hAnsi="Times New Roman"/>
          <w:color w:val="auto"/>
          <w:szCs w:val="24"/>
        </w:rPr>
        <w:t>《</w:t>
      </w:r>
      <w:r>
        <w:rPr>
          <w:rFonts w:ascii="Times New Roman" w:hAnsi="Times New Roman"/>
          <w:color w:val="auto"/>
        </w:rPr>
        <w:t>环境影响评价技术导则—地下水环境</w:t>
      </w:r>
      <w:r>
        <w:rPr>
          <w:rFonts w:ascii="Times New Roman" w:hAnsi="Times New Roman"/>
          <w:color w:val="auto"/>
          <w:szCs w:val="24"/>
        </w:rPr>
        <w:t>》，</w:t>
      </w:r>
      <w:r>
        <w:rPr>
          <w:rFonts w:ascii="Times New Roman" w:hAnsi="Times New Roman"/>
          <w:color w:val="auto"/>
        </w:rPr>
        <w:t>HJ 610-201</w:t>
      </w:r>
      <w:r>
        <w:rPr>
          <w:rFonts w:hint="eastAsia" w:ascii="Times New Roman" w:hAnsi="Times New Roman"/>
          <w:color w:val="auto"/>
        </w:rPr>
        <w:t>6，</w:t>
      </w:r>
      <w:r>
        <w:rPr>
          <w:rFonts w:ascii="Times New Roman" w:hAnsi="Times New Roman"/>
          <w:color w:val="auto"/>
          <w:szCs w:val="24"/>
        </w:rPr>
        <w:t>国家环境保护部，</w:t>
      </w:r>
      <w:r>
        <w:rPr>
          <w:rFonts w:hint="eastAsia" w:ascii="Times New Roman" w:hAnsi="Times New Roman"/>
          <w:color w:val="auto"/>
          <w:szCs w:val="24"/>
        </w:rPr>
        <w:t>2016.1.7</w:t>
      </w:r>
      <w:r>
        <w:rPr>
          <w:rFonts w:ascii="Times New Roman" w:hAnsi="Times New Roman"/>
          <w:color w:val="auto"/>
          <w:szCs w:val="24"/>
        </w:rPr>
        <w:t>；</w:t>
      </w:r>
    </w:p>
    <w:p>
      <w:pPr>
        <w:numPr>
          <w:ilvl w:val="0"/>
          <w:numId w:val="10"/>
        </w:numPr>
        <w:ind w:firstLine="425" w:firstLineChars="0"/>
        <w:rPr>
          <w:rFonts w:ascii="Times New Roman" w:hAnsi="Times New Roman"/>
          <w:color w:val="auto"/>
        </w:rPr>
      </w:pPr>
      <w:r>
        <w:rPr>
          <w:rFonts w:ascii="Times New Roman" w:hAnsi="Times New Roman"/>
          <w:color w:val="auto"/>
        </w:rPr>
        <w:t>《建设项目环境风险评价技术导则》，HJ</w:t>
      </w:r>
      <w:r>
        <w:rPr>
          <w:rFonts w:hint="eastAsia" w:ascii="Times New Roman" w:hAnsi="Times New Roman"/>
          <w:color w:val="auto"/>
        </w:rPr>
        <w:t xml:space="preserve"> </w:t>
      </w:r>
      <w:r>
        <w:rPr>
          <w:rFonts w:ascii="Times New Roman" w:hAnsi="Times New Roman"/>
          <w:color w:val="auto"/>
        </w:rPr>
        <w:t>169-20</w:t>
      </w:r>
      <w:r>
        <w:rPr>
          <w:rFonts w:hint="eastAsia" w:ascii="Times New Roman" w:hAnsi="Times New Roman"/>
          <w:color w:val="auto"/>
        </w:rPr>
        <w:t>18</w:t>
      </w:r>
      <w:r>
        <w:rPr>
          <w:rFonts w:ascii="Times New Roman" w:hAnsi="Times New Roman"/>
          <w:color w:val="auto"/>
        </w:rPr>
        <w:t>；</w:t>
      </w:r>
    </w:p>
    <w:p>
      <w:pPr>
        <w:numPr>
          <w:ilvl w:val="0"/>
          <w:numId w:val="10"/>
        </w:numPr>
        <w:ind w:firstLine="480"/>
        <w:jc w:val="left"/>
        <w:rPr>
          <w:rFonts w:ascii="Times New Roman" w:hAnsi="Times New Roman"/>
          <w:color w:val="auto"/>
        </w:rPr>
      </w:pPr>
      <w:r>
        <w:rPr>
          <w:rFonts w:ascii="Times New Roman" w:hAnsi="Times New Roman"/>
          <w:color w:val="auto"/>
        </w:rPr>
        <w:t>《环境影响评价技术导则—土壤环境</w:t>
      </w:r>
      <w:r>
        <w:rPr>
          <w:rFonts w:hint="eastAsia" w:ascii="Times New Roman" w:hAnsi="Times New Roman"/>
          <w:color w:val="auto"/>
        </w:rPr>
        <w:t>（试行）</w:t>
      </w:r>
      <w:r>
        <w:rPr>
          <w:rFonts w:ascii="Times New Roman" w:hAnsi="Times New Roman"/>
          <w:color w:val="auto"/>
        </w:rPr>
        <w:t>》，HJ964-2018；</w:t>
      </w:r>
    </w:p>
    <w:p>
      <w:pPr>
        <w:numPr>
          <w:ilvl w:val="0"/>
          <w:numId w:val="10"/>
        </w:numPr>
        <w:ind w:firstLine="425" w:firstLineChars="0"/>
        <w:rPr>
          <w:rFonts w:ascii="Times New Roman" w:hAnsi="Times New Roman"/>
          <w:color w:val="auto"/>
        </w:rPr>
      </w:pPr>
      <w:r>
        <w:rPr>
          <w:rFonts w:hint="eastAsia" w:ascii="Times New Roman" w:hAnsi="Times New Roman"/>
          <w:color w:val="auto"/>
        </w:rPr>
        <w:t>《</w:t>
      </w:r>
      <w:r>
        <w:rPr>
          <w:rFonts w:ascii="Times New Roman" w:hAnsi="Times New Roman"/>
          <w:color w:val="auto"/>
        </w:rPr>
        <w:t>声环境功能区划分技术规范</w:t>
      </w:r>
      <w:r>
        <w:rPr>
          <w:rFonts w:hint="eastAsia" w:ascii="Times New Roman" w:hAnsi="Times New Roman"/>
          <w:color w:val="auto"/>
        </w:rPr>
        <w:t>》（GB/T15190-2014），环境保护部、国家质量监督检验检疫总局，2014年12月2日发布，2015年1月1日实施；</w:t>
      </w:r>
    </w:p>
    <w:p>
      <w:pPr>
        <w:numPr>
          <w:ilvl w:val="0"/>
          <w:numId w:val="10"/>
        </w:numPr>
        <w:ind w:firstLine="425" w:firstLineChars="0"/>
        <w:rPr>
          <w:rFonts w:ascii="Times New Roman" w:hAnsi="Times New Roman"/>
          <w:color w:val="auto"/>
        </w:rPr>
      </w:pPr>
      <w:r>
        <w:rPr>
          <w:rFonts w:ascii="Times New Roman" w:hAnsi="Times New Roman"/>
          <w:color w:val="auto"/>
        </w:rPr>
        <w:t>《国务院关于加强环境保护重点工作的意见》，国发[2011]35号；</w:t>
      </w:r>
    </w:p>
    <w:p>
      <w:pPr>
        <w:numPr>
          <w:ilvl w:val="0"/>
          <w:numId w:val="10"/>
        </w:numPr>
        <w:ind w:firstLine="425" w:firstLineChars="0"/>
        <w:rPr>
          <w:rFonts w:ascii="Times New Roman" w:hAnsi="Times New Roman"/>
          <w:color w:val="auto"/>
        </w:rPr>
      </w:pPr>
      <w:r>
        <w:rPr>
          <w:rFonts w:ascii="Times New Roman" w:hAnsi="Times New Roman"/>
          <w:color w:val="auto"/>
        </w:rPr>
        <w:t>《挥发性有机物（VOCs）污染防治技术政策》；</w:t>
      </w:r>
    </w:p>
    <w:p>
      <w:pPr>
        <w:numPr>
          <w:ilvl w:val="0"/>
          <w:numId w:val="10"/>
        </w:numPr>
        <w:ind w:firstLine="425" w:firstLineChars="0"/>
        <w:rPr>
          <w:rFonts w:ascii="Times New Roman" w:hAnsi="Times New Roman"/>
          <w:color w:val="auto"/>
        </w:rPr>
      </w:pPr>
      <w:r>
        <w:rPr>
          <w:rFonts w:hint="eastAsia" w:ascii="Times New Roman" w:hAnsi="Times New Roman"/>
          <w:color w:val="auto"/>
        </w:rPr>
        <w:t>《浙江省重点行业</w:t>
      </w:r>
      <w:r>
        <w:rPr>
          <w:rFonts w:ascii="Times New Roman" w:hAnsi="Times New Roman"/>
          <w:color w:val="auto"/>
        </w:rPr>
        <w:t>VOCs污染排放源排放量计算方法</w:t>
      </w:r>
      <w:r>
        <w:rPr>
          <w:rFonts w:hint="eastAsia" w:ascii="Times New Roman" w:hAnsi="Times New Roman"/>
          <w:color w:val="auto"/>
        </w:rPr>
        <w:t>》；</w:t>
      </w:r>
    </w:p>
    <w:p>
      <w:pPr>
        <w:numPr>
          <w:ilvl w:val="0"/>
          <w:numId w:val="10"/>
        </w:numPr>
        <w:ind w:firstLine="425" w:firstLineChars="0"/>
        <w:rPr>
          <w:rFonts w:ascii="Times New Roman" w:hAnsi="Times New Roman"/>
          <w:color w:val="auto"/>
        </w:rPr>
      </w:pPr>
      <w:r>
        <w:rPr>
          <w:color w:val="auto"/>
        </w:rPr>
        <w:fldChar w:fldCharType="begin"/>
      </w:r>
      <w:r>
        <w:rPr>
          <w:color w:val="auto"/>
        </w:rPr>
        <w:instrText xml:space="preserve"> HYPERLINK "http://www.zjepb.gov.cn/root14/xxgk/zfwj/zhf/201311/t20131108_294090.html" \t "_blank" </w:instrText>
      </w:r>
      <w:r>
        <w:rPr>
          <w:color w:val="auto"/>
        </w:rPr>
        <w:fldChar w:fldCharType="separate"/>
      </w:r>
      <w:r>
        <w:rPr>
          <w:rFonts w:ascii="Times New Roman" w:hAnsi="Times New Roman"/>
          <w:color w:val="auto"/>
        </w:rPr>
        <w:t>关于印发《浙江省挥发性有机物污染整治方案》的通知</w:t>
      </w:r>
      <w:r>
        <w:rPr>
          <w:rFonts w:ascii="Times New Roman" w:hAnsi="Times New Roman"/>
          <w:color w:val="auto"/>
        </w:rPr>
        <w:fldChar w:fldCharType="end"/>
      </w:r>
      <w:r>
        <w:rPr>
          <w:rFonts w:ascii="Times New Roman" w:hAnsi="Times New Roman"/>
          <w:color w:val="auto"/>
        </w:rPr>
        <w:t>，浙环发(2013)54号，浙江省环境保护厅，2013年11月4日；</w:t>
      </w:r>
    </w:p>
    <w:p>
      <w:pPr>
        <w:numPr>
          <w:ilvl w:val="0"/>
          <w:numId w:val="10"/>
        </w:numPr>
        <w:ind w:firstLine="425" w:firstLineChars="0"/>
        <w:rPr>
          <w:rFonts w:ascii="Times New Roman" w:hAnsi="Times New Roman"/>
          <w:color w:val="auto"/>
        </w:rPr>
      </w:pPr>
      <w:r>
        <w:rPr>
          <w:rFonts w:hint="eastAsia" w:ascii="Times New Roman" w:hAnsi="Times New Roman"/>
          <w:color w:val="auto"/>
        </w:rPr>
        <w:t>《关于做好挥发性有机物总量控制工作的通知》（浙环发[2017]29号）；</w:t>
      </w:r>
    </w:p>
    <w:p>
      <w:pPr>
        <w:numPr>
          <w:ilvl w:val="0"/>
          <w:numId w:val="10"/>
        </w:numPr>
        <w:ind w:firstLine="425" w:firstLineChars="0"/>
        <w:rPr>
          <w:rFonts w:ascii="Times New Roman" w:hAnsi="Times New Roman"/>
          <w:color w:val="auto"/>
        </w:rPr>
      </w:pPr>
      <w:r>
        <w:rPr>
          <w:rFonts w:ascii="Times New Roman" w:hAnsi="Times New Roman"/>
          <w:color w:val="auto"/>
        </w:rPr>
        <w:t>《废塑料回收与再生利用污染控制技术规范试行)》(HJ/T364-2007)，2007年9月30日发布，2007年12月1日实施；</w:t>
      </w:r>
    </w:p>
    <w:p>
      <w:pPr>
        <w:numPr>
          <w:ilvl w:val="0"/>
          <w:numId w:val="10"/>
        </w:numPr>
        <w:ind w:firstLine="425" w:firstLineChars="0"/>
        <w:rPr>
          <w:rFonts w:ascii="Times New Roman" w:hAnsi="Times New Roman"/>
          <w:color w:val="auto"/>
        </w:rPr>
      </w:pPr>
      <w:r>
        <w:rPr>
          <w:rFonts w:ascii="Times New Roman" w:hAnsi="Times New Roman"/>
          <w:color w:val="auto"/>
        </w:rPr>
        <w:t>《关于发布&lt;废塑料加工利用污染防治管理规定&gt;的公告》，公告2012 年第55号，环境保护部、发展改革委、商务部，2012年8月24日颁布，2012年10月1日实施；</w:t>
      </w:r>
    </w:p>
    <w:p>
      <w:pPr>
        <w:numPr>
          <w:ilvl w:val="0"/>
          <w:numId w:val="10"/>
        </w:numPr>
        <w:ind w:firstLine="425" w:firstLineChars="0"/>
        <w:rPr>
          <w:rFonts w:ascii="Times New Roman" w:hAnsi="Times New Roman"/>
          <w:color w:val="auto"/>
        </w:rPr>
      </w:pPr>
      <w:r>
        <w:rPr>
          <w:rFonts w:ascii="Times New Roman" w:hAnsi="Times New Roman"/>
          <w:color w:val="auto"/>
        </w:rPr>
        <w:t>《浙江省环境保护厅关于印发浙江省金属表面处理（电镀除外）、有色金属、农副食品加工、砂洗、氮肥、废塑料行业污染整治提升技术规范的通知》，浙环发[2018]9号，浙江省环境保护厅，2018年4月4日</w:t>
      </w:r>
      <w:r>
        <w:rPr>
          <w:rFonts w:hint="eastAsia" w:ascii="Times New Roman" w:hAnsi="Times New Roman"/>
          <w:color w:val="auto"/>
        </w:rPr>
        <w:t>；</w:t>
      </w:r>
    </w:p>
    <w:p>
      <w:pPr>
        <w:numPr>
          <w:ilvl w:val="0"/>
          <w:numId w:val="10"/>
        </w:numPr>
        <w:ind w:firstLine="425" w:firstLineChars="0"/>
        <w:rPr>
          <w:rFonts w:ascii="Times New Roman" w:hAnsi="Times New Roman"/>
          <w:color w:val="auto"/>
        </w:rPr>
      </w:pPr>
      <w:r>
        <w:rPr>
          <w:rFonts w:ascii="Times New Roman" w:hAnsi="Times New Roman"/>
          <w:color w:val="auto"/>
        </w:rPr>
        <w:t>《废旧塑料综合利用行业规范条件》；</w:t>
      </w:r>
    </w:p>
    <w:p>
      <w:pPr>
        <w:numPr>
          <w:ilvl w:val="0"/>
          <w:numId w:val="10"/>
        </w:numPr>
        <w:ind w:firstLine="425" w:firstLineChars="0"/>
        <w:rPr>
          <w:rFonts w:ascii="Times New Roman" w:hAnsi="Times New Roman"/>
          <w:color w:val="auto"/>
        </w:rPr>
      </w:pPr>
      <w:r>
        <w:rPr>
          <w:rFonts w:hint="eastAsia" w:ascii="Times New Roman" w:hAnsi="Times New Roman"/>
          <w:color w:val="auto"/>
        </w:rPr>
        <w:t>《国家危险废物名录（2016版）》，2016.8.1；</w:t>
      </w:r>
    </w:p>
    <w:p>
      <w:pPr>
        <w:numPr>
          <w:ilvl w:val="0"/>
          <w:numId w:val="10"/>
        </w:numPr>
        <w:ind w:firstLine="480"/>
        <w:jc w:val="left"/>
        <w:rPr>
          <w:rFonts w:ascii="Times New Roman" w:hAnsi="Times New Roman"/>
          <w:color w:val="auto"/>
        </w:rPr>
      </w:pPr>
      <w:r>
        <w:rPr>
          <w:rFonts w:ascii="Times New Roman" w:hAnsi="Times New Roman"/>
          <w:color w:val="auto"/>
        </w:rPr>
        <w:t>《浙江省环境功能区划》，2016年7月</w:t>
      </w:r>
      <w:r>
        <w:rPr>
          <w:rFonts w:hint="eastAsia" w:ascii="Times New Roman" w:hAnsi="Times New Roman"/>
          <w:color w:val="auto"/>
        </w:rPr>
        <w:t>。</w:t>
      </w:r>
    </w:p>
    <w:p>
      <w:pPr>
        <w:pStyle w:val="4"/>
        <w:numPr>
          <w:ilvl w:val="3"/>
          <w:numId w:val="7"/>
        </w:numPr>
        <w:spacing w:beforeLines="0"/>
        <w:ind w:left="0" w:firstLine="0"/>
        <w:rPr>
          <w:rFonts w:ascii="Times New Roman" w:hAnsi="Times New Roman"/>
          <w:color w:val="auto"/>
          <w:sz w:val="24"/>
          <w:szCs w:val="24"/>
        </w:rPr>
      </w:pPr>
      <w:bookmarkStart w:id="15" w:name="_Toc278911565"/>
      <w:bookmarkStart w:id="16" w:name="_Toc278967625"/>
      <w:r>
        <w:rPr>
          <w:rFonts w:ascii="Times New Roman" w:hAnsi="Times New Roman"/>
          <w:color w:val="auto"/>
          <w:sz w:val="24"/>
          <w:szCs w:val="24"/>
        </w:rPr>
        <w:t>技术资料</w:t>
      </w:r>
      <w:bookmarkEnd w:id="15"/>
      <w:bookmarkEnd w:id="16"/>
      <w:r>
        <w:rPr>
          <w:rFonts w:ascii="Times New Roman" w:hAnsi="Times New Roman"/>
          <w:color w:val="auto"/>
          <w:sz w:val="24"/>
          <w:szCs w:val="24"/>
        </w:rPr>
        <w:t>及引用资料</w:t>
      </w:r>
    </w:p>
    <w:p>
      <w:pPr>
        <w:ind w:left="480" w:firstLine="0" w:firstLineChars="0"/>
        <w:jc w:val="left"/>
        <w:rPr>
          <w:rFonts w:ascii="Times New Roman" w:hAnsi="Times New Roman"/>
          <w:color w:val="auto"/>
        </w:rPr>
      </w:pPr>
      <w:r>
        <w:rPr>
          <w:rFonts w:hint="eastAsia" w:ascii="Times New Roman" w:hAnsi="Times New Roman"/>
          <w:color w:val="auto"/>
        </w:rPr>
        <w:t>（1）营业执照；</w:t>
      </w:r>
    </w:p>
    <w:p>
      <w:pPr>
        <w:ind w:left="480" w:firstLine="0" w:firstLineChars="0"/>
        <w:jc w:val="left"/>
        <w:rPr>
          <w:rFonts w:ascii="Times New Roman" w:hAnsi="Times New Roman"/>
          <w:color w:val="auto"/>
        </w:rPr>
      </w:pPr>
      <w:r>
        <w:rPr>
          <w:rFonts w:hint="eastAsia" w:ascii="Times New Roman" w:hAnsi="Times New Roman"/>
          <w:color w:val="auto"/>
        </w:rPr>
        <w:t>（2）土地证；</w:t>
      </w:r>
    </w:p>
    <w:p>
      <w:pPr>
        <w:ind w:left="480" w:firstLine="0" w:firstLineChars="0"/>
        <w:jc w:val="left"/>
        <w:rPr>
          <w:rFonts w:ascii="Times New Roman" w:hAnsi="Times New Roman"/>
          <w:color w:val="auto"/>
        </w:rPr>
      </w:pPr>
      <w:r>
        <w:rPr>
          <w:rFonts w:hint="eastAsia" w:ascii="Times New Roman" w:hAnsi="Times New Roman"/>
          <w:color w:val="auto"/>
        </w:rPr>
        <w:t>（3）租赁合同；</w:t>
      </w:r>
    </w:p>
    <w:p>
      <w:pPr>
        <w:ind w:left="480" w:firstLine="0" w:firstLineChars="0"/>
        <w:jc w:val="left"/>
        <w:rPr>
          <w:rFonts w:ascii="Times New Roman" w:hAnsi="Times New Roman"/>
          <w:color w:val="auto"/>
        </w:rPr>
      </w:pPr>
      <w:r>
        <w:rPr>
          <w:rFonts w:hint="eastAsia" w:ascii="Times New Roman" w:hAnsi="Times New Roman"/>
          <w:color w:val="auto"/>
        </w:rPr>
        <w:t>（4）</w:t>
      </w:r>
      <w:r>
        <w:rPr>
          <w:rFonts w:hAnsi="Times New Roman"/>
          <w:color w:val="auto"/>
        </w:rPr>
        <w:t>工业厂房（小微园）出租登记情况表</w:t>
      </w:r>
      <w:r>
        <w:rPr>
          <w:rFonts w:hint="eastAsia" w:ascii="Times New Roman" w:hAnsi="Times New Roman"/>
          <w:color w:val="auto"/>
        </w:rPr>
        <w:t>；</w:t>
      </w:r>
    </w:p>
    <w:p>
      <w:pPr>
        <w:ind w:left="480" w:firstLine="0" w:firstLineChars="0"/>
        <w:jc w:val="left"/>
        <w:rPr>
          <w:rFonts w:ascii="Times New Roman" w:hAnsi="Times New Roman"/>
          <w:color w:val="auto"/>
        </w:rPr>
      </w:pPr>
      <w:r>
        <w:rPr>
          <w:rFonts w:hint="eastAsia" w:ascii="Times New Roman" w:hAnsi="Times New Roman"/>
          <w:color w:val="auto"/>
        </w:rPr>
        <w:t>（5）</w:t>
      </w:r>
      <w:r>
        <w:rPr>
          <w:rFonts w:ascii="Times New Roman" w:hAnsi="Times New Roman"/>
          <w:color w:val="auto"/>
        </w:rPr>
        <w:t>建设单位提供的其它有关技术资料</w:t>
      </w:r>
      <w:r>
        <w:rPr>
          <w:rFonts w:hint="eastAsia" w:ascii="Times New Roman" w:hAnsi="Times New Roman"/>
          <w:color w:val="auto"/>
        </w:rPr>
        <w:t>。</w:t>
      </w:r>
    </w:p>
    <w:p>
      <w:pPr>
        <w:pStyle w:val="592"/>
        <w:numPr>
          <w:ilvl w:val="0"/>
          <w:numId w:val="6"/>
        </w:numPr>
        <w:ind w:left="0" w:firstLine="0"/>
        <w:rPr>
          <w:color w:val="auto"/>
        </w:rPr>
      </w:pPr>
      <w:bookmarkStart w:id="17" w:name="_Toc37350045"/>
      <w:r>
        <w:rPr>
          <w:color w:val="auto"/>
        </w:rPr>
        <w:t>评价因子</w:t>
      </w:r>
      <w:r>
        <w:rPr>
          <w:rFonts w:hint="eastAsia"/>
          <w:color w:val="auto"/>
        </w:rPr>
        <w:t>与评价标准</w:t>
      </w:r>
      <w:bookmarkEnd w:id="17"/>
    </w:p>
    <w:p>
      <w:pPr>
        <w:pStyle w:val="4"/>
        <w:numPr>
          <w:ilvl w:val="0"/>
          <w:numId w:val="11"/>
        </w:numPr>
        <w:spacing w:beforeLines="0"/>
        <w:rPr>
          <w:rFonts w:ascii="Times New Roman" w:hAnsi="Times New Roman"/>
          <w:color w:val="auto"/>
          <w:sz w:val="24"/>
          <w:szCs w:val="24"/>
        </w:rPr>
      </w:pPr>
      <w:r>
        <w:rPr>
          <w:rFonts w:hint="eastAsia" w:ascii="Times New Roman" w:hAnsi="Times New Roman"/>
          <w:color w:val="auto"/>
          <w:sz w:val="24"/>
          <w:szCs w:val="24"/>
        </w:rPr>
        <w:t>评价因子</w:t>
      </w:r>
    </w:p>
    <w:p>
      <w:pPr>
        <w:ind w:firstLine="480"/>
        <w:rPr>
          <w:rFonts w:ascii="Times New Roman" w:hAnsi="Times New Roman"/>
          <w:color w:val="auto"/>
        </w:rPr>
      </w:pPr>
      <w:r>
        <w:rPr>
          <w:rFonts w:ascii="Times New Roman" w:hAnsi="Times New Roman"/>
          <w:color w:val="auto"/>
        </w:rPr>
        <w:t>根据本项目工程特征及排污特点，确定评价因子详见表2-1。</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本项目评价因子</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4200"/>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评价内容</w:t>
            </w:r>
          </w:p>
        </w:tc>
        <w:tc>
          <w:tcPr>
            <w:tcW w:w="420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现状评价因子</w:t>
            </w:r>
          </w:p>
        </w:tc>
        <w:tc>
          <w:tcPr>
            <w:tcW w:w="36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影响评价因子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pPr>
              <w:pStyle w:val="710"/>
              <w:keepNext w:val="0"/>
              <w:keepLines w:val="0"/>
              <w:suppressLineNumbers w:val="0"/>
              <w:adjustRightInd/>
              <w:snapToGrid/>
              <w:spacing w:before="0" w:beforeAutospacing="0" w:after="0" w:afterAutospacing="0"/>
              <w:ind w:left="0" w:right="0"/>
              <w:rPr>
                <w:rFonts w:ascii="Times New Roman" w:hAnsi="Times New Roman" w:eastAsia="宋体"/>
                <w:color w:val="auto"/>
                <w:kern w:val="2"/>
                <w:sz w:val="21"/>
                <w:szCs w:val="21"/>
              </w:rPr>
            </w:pPr>
            <w:r>
              <w:rPr>
                <w:rFonts w:ascii="Times New Roman" w:hAnsi="Times New Roman" w:eastAsia="宋体"/>
                <w:color w:val="auto"/>
                <w:kern w:val="2"/>
                <w:sz w:val="21"/>
                <w:szCs w:val="21"/>
              </w:rPr>
              <w:t>环境空气</w:t>
            </w:r>
          </w:p>
        </w:tc>
        <w:tc>
          <w:tcPr>
            <w:tcW w:w="420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SO</w:t>
            </w:r>
            <w:r>
              <w:rPr>
                <w:rFonts w:ascii="Times New Roman" w:hAnsi="Times New Roman"/>
                <w:color w:val="auto"/>
                <w:sz w:val="21"/>
                <w:vertAlign w:val="subscript"/>
              </w:rPr>
              <w:t>2</w:t>
            </w:r>
            <w:r>
              <w:rPr>
                <w:rFonts w:ascii="Times New Roman" w:hAnsi="Times New Roman"/>
                <w:color w:val="auto"/>
                <w:sz w:val="21"/>
              </w:rPr>
              <w:t>、NO</w:t>
            </w:r>
            <w:r>
              <w:rPr>
                <w:rFonts w:ascii="Times New Roman" w:hAnsi="Times New Roman"/>
                <w:color w:val="auto"/>
                <w:sz w:val="21"/>
                <w:vertAlign w:val="subscript"/>
              </w:rPr>
              <w:t>2</w:t>
            </w:r>
            <w:r>
              <w:rPr>
                <w:rFonts w:ascii="Times New Roman" w:hAnsi="Times New Roman"/>
                <w:color w:val="auto"/>
                <w:sz w:val="21"/>
              </w:rPr>
              <w:t>、PM</w:t>
            </w:r>
            <w:r>
              <w:rPr>
                <w:rFonts w:ascii="Times New Roman" w:hAnsi="Times New Roman"/>
                <w:color w:val="auto"/>
                <w:sz w:val="21"/>
                <w:vertAlign w:val="subscript"/>
              </w:rPr>
              <w:t>10</w:t>
            </w:r>
            <w:r>
              <w:rPr>
                <w:rFonts w:ascii="Times New Roman" w:hAnsi="Times New Roman"/>
                <w:color w:val="auto"/>
                <w:sz w:val="21"/>
              </w:rPr>
              <w:t>、</w:t>
            </w:r>
            <w:r>
              <w:rPr>
                <w:rFonts w:hint="eastAsia" w:ascii="Times New Roman" w:hAnsi="Times New Roman"/>
                <w:color w:val="auto"/>
                <w:sz w:val="21"/>
              </w:rPr>
              <w:t>CO</w:t>
            </w:r>
            <w:r>
              <w:rPr>
                <w:rFonts w:ascii="Times New Roman" w:hAnsi="Times New Roman"/>
                <w:color w:val="auto"/>
                <w:sz w:val="21"/>
              </w:rPr>
              <w:t>、</w:t>
            </w:r>
            <w:r>
              <w:rPr>
                <w:rFonts w:hint="eastAsia" w:ascii="Times New Roman" w:hAnsi="Times New Roman"/>
                <w:color w:val="auto"/>
                <w:sz w:val="21"/>
              </w:rPr>
              <w:t>O</w:t>
            </w:r>
            <w:r>
              <w:rPr>
                <w:rFonts w:hint="eastAsia" w:ascii="Times New Roman" w:hAnsi="Times New Roman"/>
                <w:color w:val="auto"/>
                <w:sz w:val="21"/>
                <w:vertAlign w:val="subscript"/>
              </w:rPr>
              <w:t>3</w:t>
            </w:r>
            <w:r>
              <w:rPr>
                <w:rFonts w:ascii="Times New Roman" w:hAnsi="Times New Roman"/>
                <w:color w:val="auto"/>
                <w:sz w:val="21"/>
              </w:rPr>
              <w:t>、PM</w:t>
            </w:r>
            <w:r>
              <w:rPr>
                <w:rFonts w:hint="eastAsia" w:ascii="Times New Roman" w:hAnsi="Times New Roman"/>
                <w:color w:val="auto"/>
                <w:sz w:val="21"/>
                <w:vertAlign w:val="subscript"/>
              </w:rPr>
              <w:t>2.5</w:t>
            </w:r>
            <w:r>
              <w:rPr>
                <w:rFonts w:ascii="Times New Roman" w:hAnsi="Times New Roman"/>
                <w:color w:val="auto"/>
                <w:sz w:val="21"/>
              </w:rPr>
              <w:t>、非甲烷总烃</w:t>
            </w:r>
            <w:r>
              <w:rPr>
                <w:rFonts w:hint="eastAsia" w:ascii="Times New Roman" w:hAnsi="Times New Roman"/>
                <w:color w:val="auto"/>
                <w:sz w:val="21"/>
              </w:rPr>
              <w:t>、苯乙烯</w:t>
            </w:r>
          </w:p>
        </w:tc>
        <w:tc>
          <w:tcPr>
            <w:tcW w:w="36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r>
              <w:rPr>
                <w:rFonts w:hint="eastAsia" w:ascii="Times New Roman" w:hAnsi="Times New Roman"/>
                <w:color w:val="auto"/>
                <w:sz w:val="21"/>
              </w:rPr>
              <w:t>、苯乙烯、</w:t>
            </w:r>
            <w:r>
              <w:rPr>
                <w:rFonts w:ascii="Times New Roman" w:hAnsi="Times New Roman"/>
                <w:color w:val="auto"/>
                <w:sz w:val="21"/>
              </w:rPr>
              <w:t>1</w:t>
            </w:r>
            <w:r>
              <w:rPr>
                <w:rFonts w:hint="eastAsia" w:ascii="Times New Roman" w:hAnsi="Times New Roman"/>
                <w:color w:val="auto"/>
                <w:sz w:val="21"/>
              </w:rPr>
              <w:t>，</w:t>
            </w:r>
            <w:r>
              <w:rPr>
                <w:rFonts w:ascii="Times New Roman" w:hAnsi="Times New Roman"/>
                <w:color w:val="auto"/>
                <w:sz w:val="21"/>
              </w:rPr>
              <w:t>3 丁二烯、丙烯腈、甲基丙烯酸甲酯</w:t>
            </w:r>
            <w:r>
              <w:rPr>
                <w:rFonts w:hint="eastAsia" w:ascii="Times New Roman" w:hAnsi="Times New Roman"/>
                <w:color w:val="auto"/>
                <w:sz w:val="21"/>
              </w:rPr>
              <w:t>、</w:t>
            </w:r>
            <w:r>
              <w:rPr>
                <w:rFonts w:ascii="Times New Roman" w:hAnsi="Times New Roman"/>
                <w:color w:val="auto"/>
                <w:sz w:val="21"/>
              </w:rPr>
              <w:t>氨、</w:t>
            </w:r>
            <w:r>
              <w:rPr>
                <w:rFonts w:hint="eastAsia" w:ascii="Times New Roman" w:hAnsi="Times New Roman"/>
                <w:color w:val="auto"/>
                <w:sz w:val="21"/>
              </w:rPr>
              <w:t>臭气、颗粒物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地表水</w:t>
            </w:r>
          </w:p>
        </w:tc>
        <w:tc>
          <w:tcPr>
            <w:tcW w:w="420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pH、DO、总磷、COD、氨氮、石油类、高锰酸盐指数</w:t>
            </w:r>
            <w:r>
              <w:rPr>
                <w:rFonts w:ascii="Times New Roman" w:hAnsi="Times New Roman"/>
                <w:color w:val="auto"/>
              </w:rPr>
              <w:t>、BOD</w:t>
            </w:r>
            <w:r>
              <w:rPr>
                <w:rFonts w:ascii="Times New Roman" w:hAnsi="Times New Roman"/>
                <w:color w:val="auto"/>
                <w:vertAlign w:val="subscript"/>
              </w:rPr>
              <w:t>5</w:t>
            </w:r>
          </w:p>
        </w:tc>
        <w:tc>
          <w:tcPr>
            <w:tcW w:w="3660" w:type="dxa"/>
            <w:vAlign w:val="center"/>
          </w:tcPr>
          <w:p>
            <w:pPr>
              <w:pStyle w:val="710"/>
              <w:keepNext w:val="0"/>
              <w:keepLines w:val="0"/>
              <w:suppressLineNumbers w:val="0"/>
              <w:adjustRightInd/>
              <w:snapToGrid/>
              <w:spacing w:before="0" w:beforeAutospacing="0" w:after="0" w:afterAutospacing="0"/>
              <w:ind w:left="0" w:right="0"/>
              <w:rPr>
                <w:rFonts w:ascii="Times New Roman" w:hAnsi="Times New Roman" w:eastAsia="宋体"/>
                <w:color w:val="auto"/>
                <w:kern w:val="2"/>
                <w:sz w:val="21"/>
                <w:szCs w:val="21"/>
              </w:rPr>
            </w:pPr>
            <w:r>
              <w:rPr>
                <w:rFonts w:ascii="Times New Roman" w:hAnsi="Times New Roman" w:eastAsia="宋体"/>
                <w:color w:val="auto"/>
                <w:sz w:val="21"/>
                <w:szCs w:val="21"/>
              </w:rPr>
              <w:t>COD、</w:t>
            </w:r>
            <w:r>
              <w:rPr>
                <w:rFonts w:ascii="Times New Roman" w:hAnsi="Times New Roman" w:eastAsia="宋体"/>
                <w:color w:val="auto"/>
                <w:kern w:val="0"/>
                <w:sz w:val="21"/>
                <w:szCs w:val="21"/>
              </w:rPr>
              <w:t>NH</w:t>
            </w:r>
            <w:r>
              <w:rPr>
                <w:rFonts w:ascii="Times New Roman" w:hAnsi="Times New Roman" w:eastAsia="宋体"/>
                <w:color w:val="auto"/>
                <w:kern w:val="0"/>
                <w:sz w:val="21"/>
                <w:szCs w:val="21"/>
                <w:vertAlign w:val="subscript"/>
              </w:rPr>
              <w:t>3</w:t>
            </w:r>
            <w:r>
              <w:rPr>
                <w:rFonts w:ascii="Times New Roman" w:hAnsi="Times New Roman" w:eastAsia="宋体"/>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00" w:type="dxa"/>
            <w:vAlign w:val="center"/>
          </w:tcPr>
          <w:p>
            <w:pPr>
              <w:pStyle w:val="710"/>
              <w:keepNext w:val="0"/>
              <w:keepLines w:val="0"/>
              <w:suppressLineNumbers w:val="0"/>
              <w:adjustRightInd/>
              <w:snapToGrid/>
              <w:spacing w:before="0" w:beforeAutospacing="0" w:after="0" w:afterAutospacing="0"/>
              <w:ind w:left="0" w:right="0"/>
              <w:rPr>
                <w:rFonts w:ascii="Times New Roman" w:hAnsi="Times New Roman" w:eastAsia="宋体"/>
                <w:color w:val="auto"/>
                <w:sz w:val="21"/>
                <w:szCs w:val="21"/>
              </w:rPr>
            </w:pPr>
            <w:r>
              <w:rPr>
                <w:rFonts w:ascii="Times New Roman" w:hAnsi="Times New Roman" w:eastAsia="宋体"/>
                <w:color w:val="auto"/>
                <w:sz w:val="21"/>
                <w:szCs w:val="21"/>
              </w:rPr>
              <w:t>地下水</w:t>
            </w:r>
          </w:p>
        </w:tc>
        <w:tc>
          <w:tcPr>
            <w:tcW w:w="7860" w:type="dxa"/>
            <w:gridSpan w:val="2"/>
            <w:vAlign w:val="center"/>
          </w:tcPr>
          <w:p>
            <w:pPr>
              <w:pStyle w:val="710"/>
              <w:keepNext w:val="0"/>
              <w:keepLines w:val="0"/>
              <w:suppressLineNumbers w:val="0"/>
              <w:adjustRightInd/>
              <w:snapToGrid/>
              <w:spacing w:before="0" w:beforeAutospacing="0" w:after="0" w:afterAutospacing="0"/>
              <w:ind w:left="0" w:right="0"/>
              <w:rPr>
                <w:rFonts w:ascii="Times New Roman" w:hAnsi="Times New Roman" w:eastAsia="宋体"/>
                <w:color w:val="auto"/>
                <w:sz w:val="21"/>
                <w:szCs w:val="21"/>
              </w:rPr>
            </w:pPr>
            <w:r>
              <w:rPr>
                <w:rFonts w:ascii="Times New Roman" w:hAnsi="Times New Roman" w:eastAsia="宋体"/>
                <w:color w:val="auto"/>
                <w:sz w:val="21"/>
                <w:szCs w:val="21"/>
              </w:rPr>
              <w:t>K</w:t>
            </w:r>
            <w:r>
              <w:rPr>
                <w:rFonts w:ascii="Times New Roman" w:hAnsi="Times New Roman" w:eastAsia="宋体"/>
                <w:color w:val="auto"/>
                <w:sz w:val="21"/>
                <w:szCs w:val="21"/>
                <w:vertAlign w:val="superscript"/>
              </w:rPr>
              <w:t>+</w:t>
            </w:r>
            <w:r>
              <w:rPr>
                <w:rFonts w:ascii="Times New Roman" w:hAnsi="Times New Roman" w:eastAsia="宋体"/>
                <w:color w:val="auto"/>
                <w:sz w:val="21"/>
                <w:szCs w:val="21"/>
              </w:rPr>
              <w:t>、Na</w:t>
            </w:r>
            <w:r>
              <w:rPr>
                <w:rFonts w:ascii="Times New Roman" w:hAnsi="Times New Roman" w:eastAsia="宋体"/>
                <w:color w:val="auto"/>
                <w:sz w:val="21"/>
                <w:szCs w:val="21"/>
                <w:vertAlign w:val="superscript"/>
              </w:rPr>
              <w:t>+</w:t>
            </w:r>
            <w:r>
              <w:rPr>
                <w:rFonts w:ascii="Times New Roman" w:hAnsi="Times New Roman" w:eastAsia="宋体"/>
                <w:color w:val="auto"/>
                <w:sz w:val="21"/>
                <w:szCs w:val="21"/>
              </w:rPr>
              <w:t>、Ca</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、Mg</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、CO</w:t>
            </w:r>
            <w:r>
              <w:rPr>
                <w:rFonts w:ascii="Times New Roman" w:hAnsi="Times New Roman" w:eastAsia="宋体"/>
                <w:color w:val="auto"/>
                <w:sz w:val="21"/>
                <w:szCs w:val="21"/>
                <w:vertAlign w:val="subscript"/>
              </w:rPr>
              <w:t>3</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、HCO</w:t>
            </w:r>
            <w:r>
              <w:rPr>
                <w:rFonts w:ascii="Times New Roman" w:hAnsi="Times New Roman" w:eastAsia="宋体"/>
                <w:color w:val="auto"/>
                <w:sz w:val="21"/>
                <w:szCs w:val="21"/>
                <w:vertAlign w:val="subscript"/>
              </w:rPr>
              <w:t>3</w:t>
            </w:r>
            <w:r>
              <w:rPr>
                <w:rFonts w:ascii="Times New Roman" w:hAnsi="Times New Roman" w:eastAsia="宋体"/>
                <w:color w:val="auto"/>
                <w:sz w:val="21"/>
                <w:szCs w:val="21"/>
                <w:vertAlign w:val="superscript"/>
              </w:rPr>
              <w:t>-</w:t>
            </w:r>
            <w:r>
              <w:rPr>
                <w:rFonts w:ascii="Times New Roman" w:hAnsi="Times New Roman" w:eastAsia="宋体"/>
                <w:color w:val="auto"/>
                <w:sz w:val="21"/>
                <w:szCs w:val="21"/>
              </w:rPr>
              <w:t>、Cl</w:t>
            </w:r>
            <w:r>
              <w:rPr>
                <w:rFonts w:ascii="Times New Roman" w:hAnsi="Times New Roman" w:eastAsia="宋体"/>
                <w:color w:val="auto"/>
                <w:sz w:val="21"/>
                <w:szCs w:val="21"/>
                <w:vertAlign w:val="superscript"/>
              </w:rPr>
              <w:t>-</w:t>
            </w:r>
            <w:r>
              <w:rPr>
                <w:rFonts w:ascii="Times New Roman" w:hAnsi="Times New Roman" w:eastAsia="宋体"/>
                <w:color w:val="auto"/>
                <w:sz w:val="21"/>
                <w:szCs w:val="21"/>
              </w:rPr>
              <w:t>、SO</w:t>
            </w:r>
            <w:r>
              <w:rPr>
                <w:rFonts w:ascii="Times New Roman" w:hAnsi="Times New Roman" w:eastAsia="宋体"/>
                <w:color w:val="auto"/>
                <w:sz w:val="21"/>
                <w:szCs w:val="21"/>
                <w:vertAlign w:val="subscript"/>
              </w:rPr>
              <w:t>4</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、pH、氨氮、硝酸盐、亚硝酸盐、挥发性酚类、氰化物、砷、汞、铬（六价）、总硬度、铅、氟、镉、铁、锰、溶解性总固体、高锰酸盐指数、硫酸盐、氯化物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Align w:val="center"/>
          </w:tcPr>
          <w:p>
            <w:pPr>
              <w:pStyle w:val="710"/>
              <w:keepNext w:val="0"/>
              <w:keepLines w:val="0"/>
              <w:suppressLineNumbers w:val="0"/>
              <w:adjustRightInd/>
              <w:snapToGrid/>
              <w:spacing w:before="0" w:beforeAutospacing="0" w:after="0" w:afterAutospacing="0"/>
              <w:ind w:left="0" w:right="0"/>
              <w:rPr>
                <w:rFonts w:ascii="Times New Roman" w:hAnsi="Times New Roman" w:eastAsia="宋体"/>
                <w:color w:val="auto"/>
                <w:sz w:val="21"/>
                <w:szCs w:val="21"/>
              </w:rPr>
            </w:pPr>
            <w:r>
              <w:rPr>
                <w:rFonts w:ascii="Times New Roman" w:hAnsi="Times New Roman" w:eastAsia="宋体"/>
                <w:color w:val="auto"/>
                <w:sz w:val="21"/>
                <w:szCs w:val="21"/>
              </w:rPr>
              <w:t>噪声</w:t>
            </w:r>
          </w:p>
        </w:tc>
        <w:tc>
          <w:tcPr>
            <w:tcW w:w="7860" w:type="dxa"/>
            <w:gridSpan w:val="2"/>
            <w:vAlign w:val="center"/>
          </w:tcPr>
          <w:p>
            <w:pPr>
              <w:pStyle w:val="710"/>
              <w:keepNext w:val="0"/>
              <w:keepLines w:val="0"/>
              <w:suppressLineNumbers w:val="0"/>
              <w:adjustRightInd/>
              <w:snapToGrid/>
              <w:spacing w:before="0" w:beforeAutospacing="0" w:after="0" w:afterAutospacing="0"/>
              <w:ind w:left="0" w:right="0"/>
              <w:rPr>
                <w:rFonts w:ascii="Times New Roman" w:hAnsi="Times New Roman" w:eastAsia="宋体"/>
                <w:color w:val="auto"/>
                <w:sz w:val="21"/>
                <w:szCs w:val="21"/>
              </w:rPr>
            </w:pPr>
            <w:r>
              <w:rPr>
                <w:rFonts w:ascii="Times New Roman" w:hAnsi="Times New Roman" w:eastAsia="宋体"/>
                <w:color w:val="auto"/>
                <w:sz w:val="21"/>
                <w:szCs w:val="21"/>
              </w:rPr>
              <w:t>等效连续A声级</w:t>
            </w:r>
          </w:p>
        </w:tc>
      </w:tr>
    </w:tbl>
    <w:p>
      <w:pPr>
        <w:pStyle w:val="4"/>
        <w:numPr>
          <w:ilvl w:val="0"/>
          <w:numId w:val="11"/>
        </w:numPr>
        <w:spacing w:beforeLines="0"/>
        <w:rPr>
          <w:rFonts w:ascii="Times New Roman" w:hAnsi="Times New Roman"/>
          <w:color w:val="auto"/>
          <w:sz w:val="24"/>
          <w:szCs w:val="24"/>
        </w:rPr>
      </w:pPr>
      <w:r>
        <w:rPr>
          <w:rFonts w:ascii="Times New Roman" w:hAnsi="Times New Roman"/>
          <w:color w:val="auto"/>
          <w:sz w:val="24"/>
          <w:szCs w:val="24"/>
        </w:rPr>
        <w:t>评价标准</w:t>
      </w:r>
    </w:p>
    <w:p>
      <w:pPr>
        <w:ind w:firstLine="482"/>
        <w:rPr>
          <w:rFonts w:ascii="Times New Roman" w:hAnsi="Times New Roman"/>
          <w:b/>
          <w:color w:val="auto"/>
        </w:rPr>
      </w:pPr>
      <w:r>
        <w:rPr>
          <w:rFonts w:ascii="Times New Roman" w:hAnsi="Times New Roman"/>
          <w:b/>
          <w:color w:val="auto"/>
        </w:rPr>
        <w:t>1、环境空气质量标准</w:t>
      </w:r>
    </w:p>
    <w:p>
      <w:pPr>
        <w:ind w:firstLine="480"/>
        <w:rPr>
          <w:rFonts w:ascii="Times New Roman" w:hAnsi="Times New Roman"/>
          <w:color w:val="auto"/>
        </w:rPr>
      </w:pPr>
      <w:r>
        <w:rPr>
          <w:rFonts w:hint="eastAsia" w:ascii="Times New Roman" w:hAnsi="Times New Roman"/>
          <w:color w:val="auto"/>
        </w:rPr>
        <w:t>根据《苍南县环境空气质量功能区划分图》可知，</w:t>
      </w:r>
      <w:r>
        <w:rPr>
          <w:rFonts w:ascii="Times New Roman" w:hAnsi="Times New Roman"/>
          <w:color w:val="auto"/>
        </w:rPr>
        <w:t>本项目</w:t>
      </w:r>
      <w:r>
        <w:rPr>
          <w:rFonts w:hint="eastAsia" w:ascii="Times New Roman" w:hAnsi="Times New Roman"/>
          <w:color w:val="auto"/>
        </w:rPr>
        <w:t>所在地</w:t>
      </w:r>
      <w:r>
        <w:rPr>
          <w:rFonts w:ascii="Times New Roman" w:hAnsi="Times New Roman"/>
          <w:color w:val="auto"/>
        </w:rPr>
        <w:t>所属区域为二类环境空气功能区，</w:t>
      </w:r>
      <w:r>
        <w:rPr>
          <w:rFonts w:hint="eastAsia" w:ascii="Times New Roman" w:hAnsi="Times New Roman"/>
          <w:color w:val="auto"/>
        </w:rPr>
        <w:t>基本</w:t>
      </w:r>
      <w:r>
        <w:rPr>
          <w:rFonts w:ascii="Times New Roman" w:hAnsi="Times New Roman"/>
          <w:color w:val="auto"/>
        </w:rPr>
        <w:t>污染</w:t>
      </w:r>
      <w:r>
        <w:rPr>
          <w:rFonts w:hint="eastAsia" w:ascii="Times New Roman" w:hAnsi="Times New Roman"/>
          <w:color w:val="auto"/>
        </w:rPr>
        <w:t>物</w:t>
      </w:r>
      <w:r>
        <w:rPr>
          <w:rFonts w:ascii="Times New Roman" w:hAnsi="Times New Roman"/>
          <w:color w:val="auto"/>
        </w:rPr>
        <w:t>执行《环境空气质量标准》（GB3095-</w:t>
      </w:r>
      <w:r>
        <w:rPr>
          <w:rFonts w:hint="eastAsia" w:ascii="Times New Roman" w:hAnsi="Times New Roman"/>
          <w:color w:val="auto"/>
        </w:rPr>
        <w:t>2012</w:t>
      </w:r>
      <w:r>
        <w:rPr>
          <w:rFonts w:ascii="Times New Roman" w:hAnsi="Times New Roman"/>
          <w:color w:val="auto"/>
        </w:rPr>
        <w:t>）二级标准</w:t>
      </w:r>
      <w:r>
        <w:rPr>
          <w:rFonts w:hint="eastAsia" w:ascii="Times New Roman" w:hAnsi="Times New Roman"/>
          <w:color w:val="auto"/>
          <w:szCs w:val="24"/>
        </w:rPr>
        <w:t>。苯</w:t>
      </w:r>
      <w:r>
        <w:rPr>
          <w:rFonts w:hint="eastAsia" w:ascii="Times New Roman" w:hAnsi="Times New Roman"/>
          <w:color w:val="auto"/>
        </w:rPr>
        <w:t>乙烯、</w:t>
      </w:r>
      <w:r>
        <w:rPr>
          <w:rFonts w:ascii="Times New Roman" w:hAnsi="Times New Roman"/>
          <w:color w:val="auto"/>
        </w:rPr>
        <w:t>丙烯腈</w:t>
      </w:r>
      <w:r>
        <w:rPr>
          <w:rFonts w:hint="eastAsia" w:ascii="Times New Roman" w:hAnsi="Times New Roman"/>
          <w:color w:val="auto"/>
        </w:rPr>
        <w:t>、氨、TVOC</w:t>
      </w:r>
      <w:r>
        <w:rPr>
          <w:rFonts w:ascii="Times New Roman" w:hAnsi="Times New Roman"/>
          <w:color w:val="auto"/>
        </w:rPr>
        <w:t>执行《环境影响评价技术导则  大气环境》（HJ 2.2-2018）</w:t>
      </w:r>
      <w:r>
        <w:rPr>
          <w:rFonts w:hint="eastAsia" w:ascii="Times New Roman" w:hAnsi="Times New Roman"/>
          <w:color w:val="auto"/>
        </w:rPr>
        <w:t>附录D中的浓度限值。</w:t>
      </w:r>
      <w:r>
        <w:rPr>
          <w:rFonts w:ascii="Times New Roman" w:hAnsi="Times New Roman"/>
          <w:color w:val="auto"/>
        </w:rPr>
        <w:t>1</w:t>
      </w:r>
      <w:r>
        <w:rPr>
          <w:rFonts w:hint="eastAsia" w:ascii="Times New Roman" w:hAnsi="Times New Roman"/>
          <w:color w:val="auto"/>
        </w:rPr>
        <w:t>，</w:t>
      </w:r>
      <w:r>
        <w:rPr>
          <w:rFonts w:ascii="Times New Roman" w:hAnsi="Times New Roman"/>
          <w:color w:val="auto"/>
        </w:rPr>
        <w:t>3 丁二烯</w:t>
      </w:r>
      <w:r>
        <w:rPr>
          <w:rFonts w:hint="eastAsia" w:ascii="Times New Roman" w:hAnsi="Times New Roman"/>
          <w:color w:val="auto"/>
        </w:rPr>
        <w:t>参照原《前苏联居民区大气中有害物质的最大允许浓度》</w:t>
      </w:r>
      <w:r>
        <w:rPr>
          <w:rFonts w:ascii="Times New Roman" w:hAnsi="Times New Roman"/>
          <w:color w:val="auto"/>
        </w:rPr>
        <w:t xml:space="preserve"> (CH245-71)</w:t>
      </w:r>
      <w:r>
        <w:rPr>
          <w:rFonts w:hint="eastAsia" w:ascii="Times New Roman" w:hAnsi="Times New Roman"/>
          <w:color w:val="auto"/>
        </w:rPr>
        <w:t>执行。</w:t>
      </w:r>
      <w:r>
        <w:rPr>
          <w:rFonts w:ascii="Times New Roman" w:hAnsi="Times New Roman"/>
          <w:color w:val="auto"/>
        </w:rPr>
        <w:t>有关标准要求具体各指标值见表2-</w:t>
      </w:r>
      <w:r>
        <w:rPr>
          <w:rFonts w:hint="eastAsia" w:ascii="Times New Roman" w:hAnsi="Times New Roman"/>
          <w:color w:val="auto"/>
        </w:rPr>
        <w:t>2和2-3</w:t>
      </w:r>
      <w:r>
        <w:rPr>
          <w:rFonts w:ascii="Times New Roman" w:hAnsi="Times New Roman"/>
          <w:color w:val="auto"/>
        </w:rPr>
        <w:t>。</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《环境空气质量标准》(GB3095-2012)单位：μg/m</w:t>
      </w:r>
      <w:r>
        <w:rPr>
          <w:rFonts w:ascii="Times New Roman" w:hAnsi="Times New Roman"/>
          <w:b/>
          <w:color w:val="auto"/>
          <w:sz w:val="21"/>
          <w:vertAlign w:val="superscript"/>
        </w:rPr>
        <w:t>3</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011"/>
        <w:gridCol w:w="928"/>
        <w:gridCol w:w="1450"/>
        <w:gridCol w:w="2327"/>
        <w:gridCol w:w="1575"/>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558" w:type="pct"/>
            <w:vMerge w:val="restart"/>
            <w:vAlign w:val="center"/>
          </w:tcPr>
          <w:p>
            <w:pPr>
              <w:pStyle w:val="747"/>
              <w:keepNext w:val="0"/>
              <w:keepLines w:val="0"/>
              <w:suppressLineNumbers w:val="0"/>
              <w:adjustRightInd/>
              <w:spacing w:before="0" w:beforeAutospacing="0" w:afterAutospacing="0" w:line="240" w:lineRule="auto"/>
              <w:ind w:left="0" w:right="0"/>
              <w:textAlignment w:val="auto"/>
              <w:rPr>
                <w:color w:val="auto"/>
                <w:kern w:val="2"/>
                <w:sz w:val="21"/>
                <w:szCs w:val="21"/>
              </w:rPr>
            </w:pPr>
            <w:r>
              <w:rPr>
                <w:color w:val="auto"/>
                <w:kern w:val="2"/>
                <w:sz w:val="21"/>
                <w:szCs w:val="21"/>
              </w:rPr>
              <w:t>污染物</w:t>
            </w:r>
          </w:p>
        </w:tc>
        <w:tc>
          <w:tcPr>
            <w:tcW w:w="51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单位</w:t>
            </w:r>
          </w:p>
        </w:tc>
        <w:tc>
          <w:tcPr>
            <w:tcW w:w="3511" w:type="pct"/>
            <w:gridSpan w:val="4"/>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vertAlign w:val="superscript"/>
              </w:rPr>
            </w:pPr>
            <w:r>
              <w:rPr>
                <w:rFonts w:ascii="Times New Roman" w:hAnsi="Times New Roman"/>
                <w:color w:val="auto"/>
                <w:sz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vertAlign w:val="superscript"/>
              </w:rPr>
            </w:pPr>
          </w:p>
        </w:tc>
        <w:tc>
          <w:tcPr>
            <w:tcW w:w="55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vertAlign w:val="superscript"/>
              </w:rPr>
            </w:pPr>
          </w:p>
        </w:tc>
        <w:tc>
          <w:tcPr>
            <w:tcW w:w="51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1小时平均</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日最大 8小时平均</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24小时平均</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SO</w:t>
            </w:r>
            <w:r>
              <w:rPr>
                <w:rFonts w:ascii="Times New Roman" w:hAnsi="Times New Roman"/>
                <w:color w:val="auto"/>
                <w:sz w:val="21"/>
                <w:vertAlign w:val="subscript"/>
              </w:rPr>
              <w:t>2</w:t>
            </w:r>
          </w:p>
        </w:tc>
        <w:tc>
          <w:tcPr>
            <w:tcW w:w="51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μg/m</w:t>
            </w:r>
            <w:r>
              <w:rPr>
                <w:rFonts w:ascii="Times New Roman" w:hAnsi="Times New Roman"/>
                <w:color w:val="auto"/>
                <w:sz w:val="21"/>
                <w:vertAlign w:val="superscript"/>
              </w:rPr>
              <w:t>3</w:t>
            </w:r>
          </w:p>
        </w:tc>
        <w:tc>
          <w:tcPr>
            <w:tcW w:w="8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500</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150</w:t>
            </w:r>
          </w:p>
        </w:tc>
        <w:tc>
          <w:tcPr>
            <w:tcW w:w="558" w:type="pct"/>
            <w:vAlign w:val="center"/>
          </w:tcPr>
          <w:p>
            <w:pPr>
              <w:pStyle w:val="747"/>
              <w:keepNext w:val="0"/>
              <w:keepLines w:val="0"/>
              <w:suppressLineNumbers w:val="0"/>
              <w:adjustRightInd/>
              <w:spacing w:before="0" w:beforeAutospacing="0" w:afterAutospacing="0" w:line="240" w:lineRule="auto"/>
              <w:ind w:left="0" w:right="0"/>
              <w:textAlignment w:val="auto"/>
              <w:rPr>
                <w:color w:val="auto"/>
                <w:kern w:val="2"/>
                <w:sz w:val="21"/>
                <w:szCs w:val="21"/>
              </w:rPr>
            </w:pPr>
            <w:r>
              <w:rPr>
                <w:color w:val="auto"/>
                <w:kern w:val="2"/>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vertAlign w:val="subscript"/>
              </w:rPr>
            </w:pPr>
            <w:r>
              <w:rPr>
                <w:rFonts w:ascii="Times New Roman" w:hAnsi="Times New Roman"/>
                <w:color w:val="auto"/>
                <w:sz w:val="21"/>
              </w:rPr>
              <w:t>NO</w:t>
            </w:r>
            <w:r>
              <w:rPr>
                <w:rFonts w:ascii="Times New Roman" w:hAnsi="Times New Roman"/>
                <w:color w:val="auto"/>
                <w:sz w:val="21"/>
                <w:vertAlign w:val="subscript"/>
              </w:rPr>
              <w:t>2</w:t>
            </w:r>
          </w:p>
        </w:tc>
        <w:tc>
          <w:tcPr>
            <w:tcW w:w="512" w:type="pct"/>
            <w:vMerge w:val="continue"/>
            <w:vAlign w:val="center"/>
          </w:tcPr>
          <w:p>
            <w:pPr>
              <w:pStyle w:val="747"/>
              <w:keepNext w:val="0"/>
              <w:keepLines w:val="0"/>
              <w:suppressLineNumbers w:val="0"/>
              <w:adjustRightInd/>
              <w:spacing w:before="0" w:beforeAutospacing="0" w:afterAutospacing="0" w:line="240" w:lineRule="auto"/>
              <w:ind w:left="0" w:right="0"/>
              <w:textAlignment w:val="auto"/>
              <w:rPr>
                <w:color w:val="auto"/>
                <w:kern w:val="2"/>
                <w:sz w:val="21"/>
                <w:szCs w:val="21"/>
              </w:rPr>
            </w:pPr>
          </w:p>
        </w:tc>
        <w:tc>
          <w:tcPr>
            <w:tcW w:w="800" w:type="pct"/>
            <w:vAlign w:val="center"/>
          </w:tcPr>
          <w:p>
            <w:pPr>
              <w:pStyle w:val="747"/>
              <w:keepNext w:val="0"/>
              <w:keepLines w:val="0"/>
              <w:suppressLineNumbers w:val="0"/>
              <w:adjustRightInd/>
              <w:spacing w:before="0" w:beforeAutospacing="0" w:afterAutospacing="0" w:line="240" w:lineRule="auto"/>
              <w:ind w:left="0" w:right="0"/>
              <w:textAlignment w:val="auto"/>
              <w:rPr>
                <w:color w:val="auto"/>
                <w:kern w:val="2"/>
                <w:sz w:val="21"/>
                <w:szCs w:val="21"/>
              </w:rPr>
            </w:pPr>
            <w:r>
              <w:rPr>
                <w:color w:val="auto"/>
                <w:kern w:val="2"/>
                <w:sz w:val="21"/>
                <w:szCs w:val="21"/>
              </w:rPr>
              <w:t>200</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80</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TSP</w:t>
            </w:r>
          </w:p>
        </w:tc>
        <w:tc>
          <w:tcPr>
            <w:tcW w:w="51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300</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PM</w:t>
            </w:r>
            <w:r>
              <w:rPr>
                <w:rFonts w:ascii="Times New Roman" w:hAnsi="Times New Roman"/>
                <w:color w:val="auto"/>
                <w:sz w:val="21"/>
                <w:vertAlign w:val="subscript"/>
              </w:rPr>
              <w:t>10</w:t>
            </w:r>
          </w:p>
        </w:tc>
        <w:tc>
          <w:tcPr>
            <w:tcW w:w="51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150</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PM</w:t>
            </w:r>
            <w:r>
              <w:rPr>
                <w:rFonts w:ascii="Times New Roman" w:hAnsi="Times New Roman"/>
                <w:color w:val="auto"/>
                <w:sz w:val="21"/>
                <w:vertAlign w:val="subscript"/>
              </w:rPr>
              <w:t>2.5</w:t>
            </w:r>
          </w:p>
        </w:tc>
        <w:tc>
          <w:tcPr>
            <w:tcW w:w="51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75</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臭氧</w:t>
            </w:r>
          </w:p>
        </w:tc>
        <w:tc>
          <w:tcPr>
            <w:tcW w:w="51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200</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160</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7</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w:t>
            </w:r>
          </w:p>
        </w:tc>
        <w:tc>
          <w:tcPr>
            <w:tcW w:w="5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mg/m</w:t>
            </w:r>
            <w:r>
              <w:rPr>
                <w:rFonts w:ascii="Times New Roman" w:hAnsi="Times New Roman"/>
                <w:color w:val="auto"/>
                <w:sz w:val="21"/>
                <w:vertAlign w:val="superscript"/>
              </w:rPr>
              <w:t>3</w:t>
            </w:r>
          </w:p>
        </w:tc>
        <w:tc>
          <w:tcPr>
            <w:tcW w:w="8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10</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8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w:t>
            </w:r>
          </w:p>
        </w:tc>
        <w:tc>
          <w:tcPr>
            <w:tcW w:w="5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bl>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特征污染因子环境质量标准</w:t>
      </w:r>
      <w:r>
        <w:rPr>
          <w:rFonts w:hint="eastAsia" w:ascii="Times New Roman" w:hAnsi="Times New Roman"/>
          <w:b/>
          <w:color w:val="auto"/>
          <w:sz w:val="21"/>
        </w:rPr>
        <w:t>（单位：mg/m</w:t>
      </w:r>
      <w:r>
        <w:rPr>
          <w:rFonts w:hint="eastAsia" w:ascii="Times New Roman" w:hAnsi="Times New Roman"/>
          <w:b/>
          <w:color w:val="auto"/>
          <w:sz w:val="21"/>
          <w:vertAlign w:val="superscript"/>
        </w:rPr>
        <w:t>3</w:t>
      </w:r>
      <w:r>
        <w:rPr>
          <w:rFonts w:hint="eastAsia" w:ascii="Times New Roman" w:hAnsi="Times New Roman"/>
          <w:b/>
          <w:color w:val="auto"/>
          <w:sz w:val="21"/>
        </w:rPr>
        <w:t>）</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196"/>
        <w:gridCol w:w="1196"/>
        <w:gridCol w:w="1846"/>
        <w:gridCol w:w="3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污染物</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一次值</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1h平均</w:t>
            </w:r>
          </w:p>
        </w:tc>
        <w:tc>
          <w:tcPr>
            <w:tcW w:w="1019"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8h平均</w:t>
            </w:r>
          </w:p>
        </w:tc>
        <w:tc>
          <w:tcPr>
            <w:tcW w:w="1811"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olor w:val="auto"/>
                <w:sz w:val="21"/>
                <w:szCs w:val="21"/>
              </w:rPr>
              <w:t>苯乙烯</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0.01</w:t>
            </w:r>
          </w:p>
        </w:tc>
        <w:tc>
          <w:tcPr>
            <w:tcW w:w="1019"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811" w:type="pct"/>
            <w:vMerge w:val="restar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《环境影响评价技术导则  大气环境》（HJ 2.2-2018）</w:t>
            </w:r>
            <w:r>
              <w:rPr>
                <w:rFonts w:hint="eastAsia" w:ascii="Times New Roman" w:hAnsi="Times New Roman" w:cs="Times New Roman"/>
                <w:color w:val="auto"/>
                <w:sz w:val="21"/>
                <w:szCs w:val="21"/>
              </w:rPr>
              <w:t>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6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w:t>
            </w:r>
          </w:p>
        </w:tc>
        <w:tc>
          <w:tcPr>
            <w:tcW w:w="1019"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811" w:type="pct"/>
            <w:vMerge w:val="continue"/>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6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1019"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811" w:type="pct"/>
            <w:vMerge w:val="continue"/>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6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1019"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0.6</w:t>
            </w:r>
          </w:p>
        </w:tc>
        <w:tc>
          <w:tcPr>
            <w:tcW w:w="1811" w:type="pct"/>
            <w:vMerge w:val="continue"/>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1,3 丁二烯</w:t>
            </w:r>
          </w:p>
        </w:tc>
        <w:tc>
          <w:tcPr>
            <w:tcW w:w="660" w:type="pct"/>
            <w:vAlign w:val="center"/>
          </w:tcPr>
          <w:p>
            <w:pPr>
              <w:pStyle w:val="328"/>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6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10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81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原《前苏联居民区大气中有害</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物质的最大允许浓度》</w:t>
            </w:r>
            <w:r>
              <w:rPr>
                <w:rFonts w:ascii="Times New Roman" w:hAnsi="Times New Roman"/>
                <w:color w:val="auto"/>
                <w:sz w:val="21"/>
              </w:rPr>
              <w:t xml:space="preserve"> (CH245-71)</w:t>
            </w:r>
          </w:p>
        </w:tc>
      </w:tr>
    </w:tbl>
    <w:p>
      <w:pPr>
        <w:pStyle w:val="328"/>
        <w:spacing w:line="240" w:lineRule="auto"/>
        <w:ind w:firstLine="0" w:firstLineChars="0"/>
        <w:rPr>
          <w:rFonts w:ascii="Times New Roman" w:hAnsi="Times New Roman" w:cs="Times New Roman"/>
          <w:color w:val="auto"/>
          <w:sz w:val="21"/>
          <w:szCs w:val="21"/>
        </w:rPr>
      </w:pPr>
      <w:r>
        <w:rPr>
          <w:rFonts w:hint="eastAsia" w:ascii="Times New Roman" w:hAnsi="Times New Roman" w:cs="Times New Roman"/>
          <w:color w:val="auto"/>
          <w:sz w:val="21"/>
          <w:szCs w:val="21"/>
        </w:rPr>
        <w:t>注：</w:t>
      </w:r>
      <w:r>
        <w:rPr>
          <w:rFonts w:ascii="Times New Roman" w:hAnsi="Times New Roman" w:cs="Times New Roman"/>
          <w:color w:val="auto"/>
          <w:sz w:val="21"/>
          <w:szCs w:val="21"/>
        </w:rPr>
        <w:t>《环境影响评价技术导则  大气环境》（HJ 2.2-2018）</w:t>
      </w:r>
      <w:r>
        <w:rPr>
          <w:rFonts w:hint="eastAsia" w:ascii="Times New Roman" w:hAnsi="Times New Roman" w:cs="Times New Roman"/>
          <w:color w:val="auto"/>
          <w:sz w:val="21"/>
          <w:szCs w:val="21"/>
        </w:rPr>
        <w:t>附录D 中TVOC仅有8h平均质量浓度限值，按2倍折算为1h平均质量浓度限值。</w:t>
      </w:r>
    </w:p>
    <w:p>
      <w:pPr>
        <w:ind w:firstLine="472" w:firstLineChars="196"/>
        <w:rPr>
          <w:rFonts w:ascii="Times New Roman" w:hAnsi="Times New Roman"/>
          <w:b/>
          <w:color w:val="auto"/>
        </w:rPr>
      </w:pPr>
      <w:r>
        <w:rPr>
          <w:rFonts w:ascii="Times New Roman" w:hAnsi="Times New Roman"/>
          <w:b/>
          <w:color w:val="auto"/>
        </w:rPr>
        <w:t>2、地表水环境质量标准</w:t>
      </w:r>
    </w:p>
    <w:p>
      <w:pPr>
        <w:ind w:firstLine="472"/>
        <w:rPr>
          <w:rFonts w:ascii="Times New Roman" w:hAnsi="Times New Roman"/>
          <w:color w:val="auto"/>
          <w:szCs w:val="24"/>
        </w:rPr>
      </w:pPr>
      <w:r>
        <w:rPr>
          <w:rFonts w:ascii="Times New Roman" w:hAnsi="Times New Roman"/>
          <w:color w:val="auto"/>
          <w:spacing w:val="-2"/>
        </w:rPr>
        <w:t>根据《浙江省水功能区水环境功能区划分方案（</w:t>
      </w:r>
      <w:r>
        <w:rPr>
          <w:rFonts w:hint="eastAsia" w:ascii="Times New Roman" w:hAnsi="Times New Roman"/>
          <w:color w:val="auto"/>
          <w:spacing w:val="-2"/>
        </w:rPr>
        <w:t>2015</w:t>
      </w:r>
      <w:r>
        <w:rPr>
          <w:rFonts w:ascii="Times New Roman" w:hAnsi="Times New Roman"/>
          <w:color w:val="auto"/>
          <w:spacing w:val="-2"/>
        </w:rPr>
        <w:t>）》，本项目附近地表水属于</w:t>
      </w:r>
      <w:r>
        <w:rPr>
          <w:rFonts w:hint="eastAsia" w:ascii="Times New Roman" w:hAnsi="Times New Roman"/>
          <w:color w:val="auto"/>
          <w:spacing w:val="-2"/>
        </w:rPr>
        <w:t>鳌江</w:t>
      </w:r>
      <w:r>
        <w:rPr>
          <w:rFonts w:ascii="Times New Roman" w:hAnsi="Times New Roman"/>
          <w:color w:val="auto"/>
          <w:spacing w:val="-2"/>
        </w:rPr>
        <w:t>，编号为</w:t>
      </w:r>
      <w:r>
        <w:rPr>
          <w:rFonts w:hint="eastAsia" w:ascii="Times New Roman" w:hAnsi="Times New Roman"/>
          <w:color w:val="auto"/>
          <w:spacing w:val="-2"/>
        </w:rPr>
        <w:t>鳌江17，水功能区为江南河网苍南工业、农业用 水区，水环境功能为工业、农业用水区，</w:t>
      </w:r>
      <w:r>
        <w:rPr>
          <w:rFonts w:hint="eastAsia" w:ascii="Times New Roman" w:hAnsi="Times New Roman"/>
          <w:color w:val="auto"/>
        </w:rPr>
        <w:t>属鳌江水系浙闽皖流域，起止断面为龙港镇至金乡镇，</w:t>
      </w:r>
      <w:r>
        <w:rPr>
          <w:rFonts w:ascii="Times New Roman" w:hAnsi="Times New Roman"/>
          <w:color w:val="auto"/>
          <w:spacing w:val="-2"/>
        </w:rPr>
        <w:t>目标水质为</w:t>
      </w:r>
      <w:r>
        <w:rPr>
          <w:rFonts w:hint="eastAsia" w:ascii="Times New Roman" w:hAnsi="Times New Roman" w:cs="宋体"/>
          <w:color w:val="auto"/>
          <w:spacing w:val="-2"/>
        </w:rPr>
        <w:t>Ⅳ</w:t>
      </w:r>
      <w:r>
        <w:rPr>
          <w:rFonts w:ascii="Times New Roman" w:hAnsi="Times New Roman"/>
          <w:color w:val="auto"/>
          <w:spacing w:val="-2"/>
        </w:rPr>
        <w:t>类，</w:t>
      </w:r>
      <w:r>
        <w:rPr>
          <w:rFonts w:hint="eastAsia" w:ascii="Times New Roman" w:hAnsi="Times New Roman"/>
          <w:color w:val="auto"/>
          <w:spacing w:val="-2"/>
        </w:rPr>
        <w:t>其</w:t>
      </w:r>
      <w:r>
        <w:rPr>
          <w:rFonts w:ascii="Times New Roman" w:hAnsi="Times New Roman"/>
          <w:color w:val="auto"/>
          <w:spacing w:val="-2"/>
        </w:rPr>
        <w:t>水质执行《地表水环境质量标准》（GB3838-2002）</w:t>
      </w:r>
      <w:r>
        <w:rPr>
          <w:rFonts w:hint="eastAsia" w:ascii="Times New Roman" w:hAnsi="Times New Roman" w:cs="宋体"/>
          <w:color w:val="auto"/>
          <w:spacing w:val="-2"/>
        </w:rPr>
        <w:t>Ⅳ</w:t>
      </w:r>
      <w:r>
        <w:rPr>
          <w:rFonts w:ascii="Times New Roman" w:hAnsi="Times New Roman"/>
          <w:color w:val="auto"/>
          <w:spacing w:val="-2"/>
        </w:rPr>
        <w:t>类标准</w:t>
      </w:r>
      <w:r>
        <w:rPr>
          <w:rFonts w:ascii="Times New Roman" w:hAnsi="Times New Roman"/>
          <w:color w:val="auto"/>
          <w:szCs w:val="24"/>
        </w:rPr>
        <w:t>，具体标准值见表2-4。</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《地表水环境质量标准》（GB3838-2002）</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1874"/>
        <w:gridCol w:w="2810"/>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29"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水质参数</w:t>
            </w:r>
          </w:p>
        </w:tc>
        <w:tc>
          <w:tcPr>
            <w:tcW w:w="1874"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评价标准</w:t>
            </w:r>
          </w:p>
        </w:tc>
        <w:tc>
          <w:tcPr>
            <w:tcW w:w="2810"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水质参数</w:t>
            </w:r>
          </w:p>
        </w:tc>
        <w:tc>
          <w:tcPr>
            <w:tcW w:w="1747"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29"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pH值</w:t>
            </w:r>
          </w:p>
        </w:tc>
        <w:tc>
          <w:tcPr>
            <w:tcW w:w="1874"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6～9</w:t>
            </w:r>
          </w:p>
        </w:tc>
        <w:tc>
          <w:tcPr>
            <w:tcW w:w="2810"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氨氮≤</w:t>
            </w:r>
          </w:p>
        </w:tc>
        <w:tc>
          <w:tcPr>
            <w:tcW w:w="1747"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29"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溶解氧≥</w:t>
            </w:r>
          </w:p>
        </w:tc>
        <w:tc>
          <w:tcPr>
            <w:tcW w:w="1874"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3</w:t>
            </w:r>
          </w:p>
        </w:tc>
        <w:tc>
          <w:tcPr>
            <w:tcW w:w="2810"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总磷(以P计)≤</w:t>
            </w:r>
          </w:p>
        </w:tc>
        <w:tc>
          <w:tcPr>
            <w:tcW w:w="1747"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29"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高锰酸盐指数≤</w:t>
            </w:r>
          </w:p>
        </w:tc>
        <w:tc>
          <w:tcPr>
            <w:tcW w:w="1874"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10</w:t>
            </w:r>
          </w:p>
        </w:tc>
        <w:tc>
          <w:tcPr>
            <w:tcW w:w="2810"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石油类≤</w:t>
            </w:r>
          </w:p>
        </w:tc>
        <w:tc>
          <w:tcPr>
            <w:tcW w:w="1747"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29"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化学需氧量</w:t>
            </w:r>
            <w:r>
              <w:rPr>
                <w:rFonts w:ascii="Times New Roman" w:hAnsi="Times New Roman"/>
                <w:color w:val="auto"/>
                <w:sz w:val="21"/>
              </w:rPr>
              <w:t>≤</w:t>
            </w:r>
          </w:p>
        </w:tc>
        <w:tc>
          <w:tcPr>
            <w:tcW w:w="1874"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30</w:t>
            </w:r>
          </w:p>
        </w:tc>
        <w:tc>
          <w:tcPr>
            <w:tcW w:w="2810"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BOD</w:t>
            </w:r>
            <w:r>
              <w:rPr>
                <w:rFonts w:ascii="Times New Roman" w:hAnsi="Times New Roman"/>
                <w:color w:val="auto"/>
                <w:sz w:val="21"/>
                <w:vertAlign w:val="subscript"/>
              </w:rPr>
              <w:t>5</w:t>
            </w:r>
            <w:r>
              <w:rPr>
                <w:rFonts w:ascii="Times New Roman" w:hAnsi="Times New Roman"/>
                <w:color w:val="auto"/>
                <w:sz w:val="21"/>
              </w:rPr>
              <w:t>≤</w:t>
            </w:r>
          </w:p>
        </w:tc>
        <w:tc>
          <w:tcPr>
            <w:tcW w:w="1747"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6</w:t>
            </w:r>
          </w:p>
        </w:tc>
      </w:tr>
    </w:tbl>
    <w:p>
      <w:pPr>
        <w:ind w:firstLine="482"/>
        <w:rPr>
          <w:rFonts w:ascii="Times New Roman" w:hAnsi="Times New Roman"/>
          <w:b/>
          <w:color w:val="auto"/>
        </w:rPr>
      </w:pPr>
      <w:r>
        <w:rPr>
          <w:rFonts w:ascii="Times New Roman" w:hAnsi="Times New Roman"/>
          <w:b/>
          <w:color w:val="auto"/>
        </w:rPr>
        <w:t>3、地下水环境质量标准</w:t>
      </w:r>
    </w:p>
    <w:p>
      <w:pPr>
        <w:ind w:firstLine="480"/>
        <w:rPr>
          <w:rFonts w:ascii="Times New Roman" w:hAnsi="Times New Roman"/>
          <w:color w:val="auto"/>
          <w:szCs w:val="24"/>
        </w:rPr>
      </w:pPr>
      <w:r>
        <w:rPr>
          <w:rFonts w:ascii="Times New Roman" w:hAnsi="Times New Roman"/>
          <w:color w:val="auto"/>
        </w:rPr>
        <w:t>地下水环境质量执行《地下水质量标准》（GB/T14848-</w:t>
      </w:r>
      <w:r>
        <w:rPr>
          <w:rFonts w:hint="eastAsia" w:ascii="Times New Roman" w:hAnsi="Times New Roman"/>
          <w:color w:val="auto"/>
        </w:rPr>
        <w:t>2017</w:t>
      </w:r>
      <w:r>
        <w:rPr>
          <w:rFonts w:ascii="Times New Roman" w:hAnsi="Times New Roman"/>
          <w:color w:val="auto"/>
        </w:rPr>
        <w:t>）</w:t>
      </w:r>
      <w:r>
        <w:rPr>
          <w:rFonts w:hint="eastAsia" w:ascii="Times New Roman" w:hAnsi="Times New Roman"/>
          <w:color w:val="auto"/>
        </w:rPr>
        <w:t>Ⅳ</w:t>
      </w:r>
      <w:r>
        <w:rPr>
          <w:rFonts w:ascii="Times New Roman" w:hAnsi="Times New Roman"/>
          <w:color w:val="auto"/>
        </w:rPr>
        <w:t>类标准，具体标准值见表</w:t>
      </w:r>
      <w:r>
        <w:rPr>
          <w:rFonts w:ascii="Times New Roman" w:hAnsi="Times New Roman"/>
          <w:color w:val="auto"/>
          <w:szCs w:val="24"/>
        </w:rPr>
        <w:t>2-5。</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地下水质量常规指标及限值</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2636"/>
        <w:gridCol w:w="1218"/>
        <w:gridCol w:w="1038"/>
        <w:gridCol w:w="922"/>
        <w:gridCol w:w="1542"/>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标准值</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Ⅰ</w:t>
            </w:r>
            <w:r>
              <w:rPr>
                <w:rFonts w:ascii="Times New Roman" w:hAnsi="Times New Roman"/>
                <w:color w:val="auto"/>
                <w:sz w:val="21"/>
              </w:rPr>
              <w:t>类</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Ⅱ</w:t>
            </w:r>
            <w:r>
              <w:rPr>
                <w:rFonts w:ascii="Times New Roman" w:hAnsi="Times New Roman"/>
                <w:color w:val="auto"/>
                <w:sz w:val="21"/>
              </w:rPr>
              <w:t>类</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r>
              <w:rPr>
                <w:rFonts w:ascii="Times New Roman" w:hAnsi="Times New Roman"/>
                <w:color w:val="auto"/>
                <w:sz w:val="21"/>
              </w:rPr>
              <w:t>类</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hint="eastAsia" w:ascii="Times New Roman" w:hAnsi="Times New Roman" w:cs="宋体"/>
                <w:b/>
                <w:color w:val="auto"/>
                <w:sz w:val="21"/>
              </w:rPr>
              <w:t>Ⅳ</w:t>
            </w:r>
            <w:r>
              <w:rPr>
                <w:rFonts w:ascii="Times New Roman" w:hAnsi="Times New Roman"/>
                <w:b/>
                <w:color w:val="auto"/>
                <w:sz w:val="21"/>
              </w:rPr>
              <w:t>类</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Ⅴ</w:t>
            </w:r>
            <w:r>
              <w:rPr>
                <w:rFonts w:ascii="Times New Roman" w:hAnsi="Times New Roman"/>
                <w:color w:val="auto"/>
                <w:sz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色度</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≤25</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浑浊度</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≤10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嗅和味</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无</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肉眼可见物</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无</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pH</w:t>
            </w:r>
          </w:p>
        </w:tc>
        <w:tc>
          <w:tcPr>
            <w:tcW w:w="1754" w:type="pct"/>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6.5-8.5</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5.5~6.5，8.5~9</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&lt;5.5，&gt;9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≤0.02</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w:t>
            </w:r>
            <w:r>
              <w:rPr>
                <w:rFonts w:hint="eastAsia" w:ascii="Times New Roman" w:hAnsi="Times New Roman"/>
                <w:color w:val="auto"/>
                <w:sz w:val="21"/>
              </w:rPr>
              <w:t>10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w:t>
            </w:r>
            <w:r>
              <w:rPr>
                <w:rFonts w:hint="eastAsia" w:ascii="Times New Roman" w:hAnsi="Times New Roman"/>
                <w:color w:val="auto"/>
                <w:sz w:val="21"/>
              </w:rPr>
              <w:t>50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1</w:t>
            </w:r>
            <w:r>
              <w:rPr>
                <w:rFonts w:ascii="Times New Roman" w:hAnsi="Times New Roman"/>
                <w:b/>
                <w:color w:val="auto"/>
                <w:sz w:val="21"/>
              </w:rPr>
              <w:t>.5</w:t>
            </w:r>
            <w:r>
              <w:rPr>
                <w:rFonts w:hint="eastAsia" w:ascii="Times New Roman" w:hAnsi="Times New Roman"/>
                <w:b/>
                <w:color w:val="auto"/>
                <w:sz w:val="21"/>
              </w:rPr>
              <w:t>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7</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总硬度(以CaCO</w:t>
            </w:r>
            <w:r>
              <w:rPr>
                <w:rFonts w:ascii="Times New Roman" w:hAnsi="Times New Roman"/>
                <w:color w:val="auto"/>
                <w:sz w:val="21"/>
                <w:vertAlign w:val="subscript"/>
              </w:rPr>
              <w:t>3</w:t>
            </w:r>
            <w:r>
              <w:rPr>
                <w:rFonts w:ascii="Times New Roman" w:hAnsi="Times New Roman"/>
                <w:color w:val="auto"/>
                <w:sz w:val="21"/>
              </w:rPr>
              <w:t>计)(mg/L)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≤300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≤450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6</w:t>
            </w:r>
            <w:r>
              <w:rPr>
                <w:rFonts w:ascii="Times New Roman" w:hAnsi="Times New Roman"/>
                <w:b/>
                <w:color w:val="auto"/>
                <w:sz w:val="21"/>
              </w:rPr>
              <w:t>50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6</w:t>
            </w:r>
            <w:r>
              <w:rPr>
                <w:rFonts w:ascii="Times New Roman" w:hAnsi="Times New Roman"/>
                <w:color w:val="auto"/>
                <w:sz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8</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亚硝酸盐（mg/L）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w:t>
            </w:r>
            <w:r>
              <w:rPr>
                <w:rFonts w:hint="eastAsia" w:ascii="Times New Roman" w:hAnsi="Times New Roman"/>
                <w:color w:val="auto"/>
                <w:sz w:val="21"/>
              </w:rPr>
              <w:t>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1.00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4.80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9</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铁（mg/L）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≤0.3</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2.0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10</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硫酸盐（mg/L）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≤250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≤350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11</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氯化物（mg/L）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≤250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≤350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12</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铬（六价，mg/L）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≤0.005</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≤0.05</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≤0.1</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锌（mg/L）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≤0.05</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≤0.5</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≤5.0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氰化物(mg/L)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≤0.05</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≤0.1</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镍(Ni)(mg/L)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≤0.00</w:t>
            </w:r>
            <w:r>
              <w:rPr>
                <w:rFonts w:hint="eastAsia" w:ascii="Times New Roman" w:hAnsi="Times New Roman"/>
                <w:color w:val="auto"/>
                <w:sz w:val="21"/>
              </w:rPr>
              <w:t>2</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≤0.00</w:t>
            </w:r>
            <w:r>
              <w:rPr>
                <w:rFonts w:hint="eastAsia" w:ascii="Times New Roman" w:hAnsi="Times New Roman"/>
                <w:color w:val="auto"/>
                <w:sz w:val="21"/>
              </w:rPr>
              <w:t>2</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w:t>
            </w:r>
            <w:r>
              <w:rPr>
                <w:rFonts w:hint="eastAsia" w:ascii="Times New Roman" w:hAnsi="Times New Roman"/>
                <w:color w:val="auto"/>
                <w:sz w:val="21"/>
              </w:rPr>
              <w:t>2</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≤0.1</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16</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铜(Cu)(mg/L)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≤0.05</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≤1.5</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pacing w:val="-20"/>
                <w:sz w:val="21"/>
                <w:szCs w:val="18"/>
              </w:rPr>
              <w:t>汞（</w:t>
            </w:r>
            <w:r>
              <w:rPr>
                <w:rFonts w:ascii="Times New Roman" w:hAnsi="Times New Roman"/>
                <w:color w:val="auto"/>
                <w:spacing w:val="-20"/>
                <w:sz w:val="21"/>
                <w:szCs w:val="18"/>
              </w:rPr>
              <w:t>ug/L</w:t>
            </w:r>
            <w:r>
              <w:rPr>
                <w:rFonts w:hint="eastAsia" w:ascii="Times New Roman" w:hAnsi="Times New Roman"/>
                <w:color w:val="auto"/>
                <w:spacing w:val="-20"/>
                <w:sz w:val="21"/>
                <w:szCs w:val="18"/>
              </w:rPr>
              <w:t>）</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0.0001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0.01</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0.002</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18</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pacing w:val="-20"/>
                <w:sz w:val="21"/>
                <w:szCs w:val="18"/>
              </w:rPr>
            </w:pPr>
            <w:r>
              <w:rPr>
                <w:rFonts w:hint="eastAsia" w:ascii="Times New Roman" w:hAnsi="Times New Roman"/>
                <w:color w:val="auto"/>
                <w:spacing w:val="-20"/>
                <w:sz w:val="21"/>
                <w:szCs w:val="18"/>
              </w:rPr>
              <w:t>砷</w:t>
            </w:r>
            <w:r>
              <w:rPr>
                <w:rFonts w:ascii="Times New Roman" w:hAnsi="Times New Roman"/>
                <w:color w:val="auto"/>
                <w:spacing w:val="-20"/>
                <w:sz w:val="21"/>
                <w:szCs w:val="18"/>
              </w:rPr>
              <w:t>(ug/L)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0.01</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0.05</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19</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pacing w:val="-20"/>
                <w:sz w:val="21"/>
                <w:szCs w:val="18"/>
              </w:rPr>
            </w:pPr>
            <w:r>
              <w:rPr>
                <w:rFonts w:hint="eastAsia" w:ascii="Times New Roman" w:hAnsi="Times New Roman"/>
                <w:color w:val="auto"/>
                <w:spacing w:val="-20"/>
                <w:sz w:val="21"/>
                <w:szCs w:val="18"/>
              </w:rPr>
              <w:t>铅</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0.005</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0.005</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0.01</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0.10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pacing w:val="-20"/>
                <w:sz w:val="21"/>
                <w:szCs w:val="18"/>
              </w:rPr>
            </w:pPr>
            <w:r>
              <w:rPr>
                <w:rFonts w:hint="eastAsia" w:ascii="Times New Roman" w:hAnsi="Times New Roman"/>
                <w:color w:val="auto"/>
                <w:sz w:val="21"/>
                <w:szCs w:val="18"/>
              </w:rPr>
              <w:t>镉</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0.005</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0.01</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21</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18"/>
              </w:rPr>
            </w:pPr>
            <w:r>
              <w:rPr>
                <w:rFonts w:hint="eastAsia" w:ascii="Times New Roman" w:hAnsi="Times New Roman"/>
                <w:color w:val="auto"/>
                <w:spacing w:val="-20"/>
                <w:sz w:val="21"/>
                <w:szCs w:val="18"/>
              </w:rPr>
              <w:t>锰</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0.05</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0.05</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0.10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1.50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22</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pacing w:val="-20"/>
                <w:sz w:val="21"/>
                <w:szCs w:val="18"/>
              </w:rPr>
            </w:pPr>
            <w:r>
              <w:rPr>
                <w:rFonts w:hint="eastAsia" w:ascii="Times New Roman" w:hAnsi="Times New Roman"/>
                <w:color w:val="auto"/>
                <w:spacing w:val="-20"/>
                <w:sz w:val="21"/>
                <w:szCs w:val="18"/>
              </w:rPr>
              <w:t>阴离子表面活性剂</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不得检出</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0.3</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0.3</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23</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pacing w:val="-20"/>
                <w:sz w:val="21"/>
                <w:szCs w:val="18"/>
              </w:rPr>
            </w:pPr>
            <w:r>
              <w:rPr>
                <w:rFonts w:hint="eastAsia" w:ascii="Times New Roman" w:hAnsi="Times New Roman"/>
                <w:color w:val="auto"/>
                <w:sz w:val="21"/>
                <w:szCs w:val="18"/>
              </w:rPr>
              <w:t>溶解性固体</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300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500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1000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2000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18"/>
              </w:rPr>
            </w:pPr>
            <w:r>
              <w:rPr>
                <w:rFonts w:hint="eastAsia" w:ascii="Times New Roman" w:hAnsi="Times New Roman"/>
                <w:color w:val="auto"/>
                <w:sz w:val="21"/>
                <w:szCs w:val="18"/>
              </w:rPr>
              <w:t>菌落总数</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100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100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100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1000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25</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18"/>
              </w:rPr>
            </w:pPr>
            <w:r>
              <w:rPr>
                <w:rFonts w:hint="eastAsia" w:ascii="Times New Roman" w:hAnsi="Times New Roman"/>
                <w:color w:val="auto"/>
                <w:sz w:val="21"/>
                <w:szCs w:val="18"/>
              </w:rPr>
              <w:t>氟化物</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2.0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26</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18"/>
              </w:rPr>
            </w:pPr>
            <w:r>
              <w:rPr>
                <w:rFonts w:hint="eastAsia" w:ascii="Times New Roman" w:hAnsi="Times New Roman"/>
                <w:color w:val="auto"/>
                <w:sz w:val="21"/>
                <w:szCs w:val="18"/>
              </w:rPr>
              <w:t>总大肠菌群</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3.0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3.0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3.0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100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硝酸盐（mg/L）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2.0</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5.0</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20.0</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30.0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28</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挥发酚</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0.001</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0.002</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0.01</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29</w:t>
            </w:r>
          </w:p>
        </w:tc>
        <w:tc>
          <w:tcPr>
            <w:tcW w:w="14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耗氧量</w:t>
            </w:r>
            <w:r>
              <w:rPr>
                <w:rFonts w:ascii="Times New Roman" w:hAnsi="Times New Roman"/>
                <w:color w:val="auto"/>
                <w:sz w:val="21"/>
              </w:rPr>
              <w:t>（mg/L）</w:t>
            </w:r>
          </w:p>
        </w:tc>
        <w:tc>
          <w:tcPr>
            <w:tcW w:w="67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1</w:t>
            </w:r>
          </w:p>
        </w:tc>
        <w:tc>
          <w:tcPr>
            <w:tcW w:w="57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2</w:t>
            </w:r>
          </w:p>
        </w:tc>
        <w:tc>
          <w:tcPr>
            <w:tcW w:w="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r>
              <w:rPr>
                <w:rFonts w:hint="eastAsia" w:ascii="Times New Roman" w:hAnsi="Times New Roman"/>
                <w:color w:val="auto"/>
                <w:sz w:val="21"/>
              </w:rPr>
              <w:t>3</w:t>
            </w:r>
          </w:p>
        </w:tc>
        <w:tc>
          <w:tcPr>
            <w:tcW w:w="8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ascii="Times New Roman" w:hAnsi="Times New Roman"/>
                <w:color w:val="auto"/>
                <w:sz w:val="21"/>
              </w:rPr>
              <w:t>≤</w:t>
            </w:r>
            <w:r>
              <w:rPr>
                <w:rFonts w:hint="eastAsia" w:ascii="Times New Roman" w:hAnsi="Times New Roman"/>
                <w:b/>
                <w:color w:val="auto"/>
                <w:sz w:val="21"/>
              </w:rPr>
              <w:t>10</w:t>
            </w:r>
          </w:p>
        </w:tc>
        <w:tc>
          <w:tcPr>
            <w:tcW w:w="65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&gt;</w:t>
            </w:r>
            <w:r>
              <w:rPr>
                <w:rFonts w:hint="eastAsia" w:ascii="Times New Roman" w:hAnsi="Times New Roman"/>
                <w:color w:val="auto"/>
                <w:sz w:val="21"/>
              </w:rPr>
              <w:t>10</w:t>
            </w:r>
          </w:p>
        </w:tc>
      </w:tr>
    </w:tbl>
    <w:p>
      <w:pPr>
        <w:ind w:firstLine="482"/>
        <w:rPr>
          <w:rFonts w:ascii="Times New Roman" w:hAnsi="Times New Roman"/>
          <w:b/>
          <w:color w:val="auto"/>
        </w:rPr>
      </w:pPr>
      <w:r>
        <w:rPr>
          <w:rFonts w:ascii="Times New Roman" w:hAnsi="Times New Roman"/>
          <w:b/>
          <w:color w:val="auto"/>
        </w:rPr>
        <w:t>4、声环境质量标准</w:t>
      </w:r>
    </w:p>
    <w:p>
      <w:pPr>
        <w:ind w:firstLine="480"/>
        <w:rPr>
          <w:rFonts w:ascii="Times New Roman" w:hAnsi="Times New Roman"/>
          <w:color w:val="auto"/>
        </w:rPr>
      </w:pPr>
      <w:r>
        <w:rPr>
          <w:rFonts w:ascii="Times New Roman" w:hAnsi="Times New Roman"/>
          <w:color w:val="auto"/>
        </w:rPr>
        <w:t>本项目位于温州市龙港</w:t>
      </w:r>
      <w:r>
        <w:rPr>
          <w:rFonts w:hint="eastAsia" w:ascii="Times New Roman" w:hAnsi="Times New Roman"/>
          <w:color w:val="auto"/>
        </w:rPr>
        <w:t>临港产业基地启动区东塘路385-441号内4号楼</w:t>
      </w:r>
      <w:r>
        <w:rPr>
          <w:rFonts w:ascii="Times New Roman" w:hAnsi="Times New Roman"/>
          <w:color w:val="auto"/>
        </w:rPr>
        <w:t>厂房，根据项目所处声环境功能区域，参考《声环境质量标准》(GB3096-2008)、《声环境功能区划分技术规范》(GB/T15190-2014)，确定项目所在地声环境为</w:t>
      </w:r>
      <w:r>
        <w:rPr>
          <w:rFonts w:hint="eastAsia" w:ascii="Times New Roman" w:hAnsi="Times New Roman"/>
          <w:color w:val="auto"/>
        </w:rPr>
        <w:t>3</w:t>
      </w:r>
      <w:r>
        <w:rPr>
          <w:rFonts w:ascii="Times New Roman" w:hAnsi="Times New Roman"/>
          <w:color w:val="auto"/>
        </w:rPr>
        <w:t>类声环境功能区，声环境执行《声环境质量标准》（GB3096-2008）中的</w:t>
      </w:r>
      <w:r>
        <w:rPr>
          <w:rFonts w:hint="eastAsia" w:ascii="Times New Roman" w:hAnsi="Times New Roman"/>
          <w:color w:val="auto"/>
        </w:rPr>
        <w:t>3</w:t>
      </w:r>
      <w:r>
        <w:rPr>
          <w:rFonts w:ascii="Times New Roman" w:hAnsi="Times New Roman"/>
          <w:color w:val="auto"/>
        </w:rPr>
        <w:t>类标准。具体标准见表2-6。</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《声环境质量标准》（GB3096-2008）</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6"/>
        <w:gridCol w:w="2083"/>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类别</w:t>
            </w:r>
          </w:p>
        </w:tc>
        <w:tc>
          <w:tcPr>
            <w:tcW w:w="208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昼间dB(A)</w:t>
            </w:r>
          </w:p>
        </w:tc>
        <w:tc>
          <w:tcPr>
            <w:tcW w:w="208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r>
              <w:rPr>
                <w:rFonts w:ascii="Times New Roman" w:hAnsi="Times New Roman"/>
                <w:color w:val="auto"/>
                <w:sz w:val="21"/>
              </w:rPr>
              <w:t>类标准</w:t>
            </w:r>
          </w:p>
        </w:tc>
        <w:tc>
          <w:tcPr>
            <w:tcW w:w="208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65</w:t>
            </w:r>
          </w:p>
        </w:tc>
        <w:tc>
          <w:tcPr>
            <w:tcW w:w="208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55</w:t>
            </w:r>
          </w:p>
        </w:tc>
      </w:tr>
    </w:tbl>
    <w:p>
      <w:pPr>
        <w:ind w:firstLine="482"/>
        <w:rPr>
          <w:rFonts w:ascii="Times New Roman" w:hAnsi="Times New Roman"/>
          <w:b/>
          <w:color w:val="auto"/>
        </w:rPr>
      </w:pPr>
      <w:r>
        <w:rPr>
          <w:rFonts w:hint="eastAsia" w:ascii="Times New Roman" w:hAnsi="Times New Roman"/>
          <w:b/>
          <w:color w:val="auto"/>
          <w:szCs w:val="24"/>
        </w:rPr>
        <w:t>5</w:t>
      </w:r>
      <w:r>
        <w:rPr>
          <w:rFonts w:ascii="Times New Roman" w:hAnsi="Times New Roman"/>
          <w:b/>
          <w:color w:val="auto"/>
        </w:rPr>
        <w:t>、大气污染物排放标准</w:t>
      </w:r>
    </w:p>
    <w:p>
      <w:pPr>
        <w:ind w:firstLine="480"/>
        <w:rPr>
          <w:rFonts w:ascii="Times New Roman" w:hAnsi="Times New Roman"/>
          <w:color w:val="auto"/>
        </w:rPr>
      </w:pPr>
      <w:r>
        <w:rPr>
          <w:rFonts w:hint="eastAsia" w:ascii="Times New Roman" w:hAnsi="Times New Roman"/>
          <w:color w:val="auto"/>
        </w:rPr>
        <w:t>项目废气有组织排放执行</w:t>
      </w:r>
      <w:bookmarkStart w:id="18" w:name="_Hlk3450098"/>
      <w:r>
        <w:rPr>
          <w:rFonts w:hint="eastAsia" w:ascii="Times New Roman" w:hAnsi="Times New Roman"/>
          <w:color w:val="auto"/>
        </w:rPr>
        <w:t>《合成树脂工业污染物排放标准》（GB31572-2015）</w:t>
      </w:r>
      <w:bookmarkEnd w:id="18"/>
      <w:r>
        <w:rPr>
          <w:rFonts w:hint="eastAsia" w:ascii="Times New Roman" w:hAnsi="Times New Roman"/>
          <w:color w:val="auto"/>
        </w:rPr>
        <w:t>中的大气污染物特别排放限值，无组织排放执行《合成树脂工业污染物排放标准》（GB31572-2015）中的企业边界大气污染物浓度限值，排放标准值见表2-7。</w:t>
      </w:r>
      <w:bookmarkStart w:id="19" w:name="_Hlk3450283"/>
      <w:r>
        <w:rPr>
          <w:rFonts w:ascii="Times New Roman" w:hAnsi="Times New Roman"/>
          <w:color w:val="auto"/>
        </w:rPr>
        <w:t>臭气浓度执行《恶臭污染物排放标准》（GB14554-93）中的</w:t>
      </w:r>
      <w:r>
        <w:rPr>
          <w:rFonts w:hint="eastAsia" w:ascii="Times New Roman" w:hAnsi="Times New Roman"/>
          <w:color w:val="auto"/>
        </w:rPr>
        <w:t>相关</w:t>
      </w:r>
      <w:r>
        <w:rPr>
          <w:rFonts w:ascii="Times New Roman" w:hAnsi="Times New Roman"/>
          <w:color w:val="auto"/>
        </w:rPr>
        <w:t>标准</w:t>
      </w:r>
      <w:bookmarkEnd w:id="19"/>
      <w:r>
        <w:rPr>
          <w:rFonts w:hint="eastAsia" w:ascii="Times New Roman" w:hAnsi="Times New Roman"/>
          <w:color w:val="auto"/>
        </w:rPr>
        <w:t>，具体</w:t>
      </w:r>
      <w:r>
        <w:rPr>
          <w:rFonts w:ascii="Times New Roman" w:hAnsi="Times New Roman"/>
          <w:color w:val="auto"/>
        </w:rPr>
        <w:t>见表2-</w:t>
      </w:r>
      <w:r>
        <w:rPr>
          <w:rFonts w:hint="eastAsia" w:ascii="Times New Roman" w:hAnsi="Times New Roman"/>
          <w:color w:val="auto"/>
        </w:rPr>
        <w:t>8；</w:t>
      </w:r>
      <w:r>
        <w:rPr>
          <w:rFonts w:ascii="Times New Roman" w:hAnsi="Times New Roman"/>
          <w:color w:val="auto"/>
        </w:rPr>
        <w:t>厂区内挥发性有机物无组织排放执行《挥发性有机物无组织排放控制标准》（GB37822-2019）表A.1特别排放限值</w:t>
      </w:r>
      <w:r>
        <w:rPr>
          <w:rFonts w:hint="eastAsia" w:ascii="Times New Roman" w:hAnsi="Times New Roman"/>
          <w:color w:val="auto"/>
        </w:rPr>
        <w:t>，具体</w:t>
      </w:r>
      <w:r>
        <w:rPr>
          <w:rFonts w:ascii="Times New Roman" w:hAnsi="Times New Roman"/>
          <w:color w:val="auto"/>
        </w:rPr>
        <w:t>见表2-</w:t>
      </w:r>
      <w:r>
        <w:rPr>
          <w:rFonts w:hint="eastAsia" w:ascii="Times New Roman" w:hAnsi="Times New Roman"/>
          <w:color w:val="auto"/>
        </w:rPr>
        <w:t>9。</w:t>
      </w:r>
    </w:p>
    <w:p>
      <w:pPr>
        <w:numPr>
          <w:ilvl w:val="0"/>
          <w:numId w:val="12"/>
        </w:numPr>
        <w:spacing w:line="240" w:lineRule="auto"/>
        <w:ind w:firstLineChars="0"/>
        <w:jc w:val="center"/>
        <w:rPr>
          <w:rFonts w:ascii="Times New Roman" w:hAnsi="Times New Roman"/>
          <w:b/>
          <w:color w:val="auto"/>
          <w:sz w:val="21"/>
        </w:rPr>
      </w:pPr>
      <w:r>
        <w:rPr>
          <w:rStyle w:val="329"/>
          <w:rFonts w:ascii="Times New Roman" w:hAnsi="Times New Roman" w:eastAsia="宋体"/>
          <w:b/>
          <w:color w:val="auto"/>
          <w:sz w:val="21"/>
        </w:rPr>
        <w:t>《</w:t>
      </w:r>
      <w:r>
        <w:rPr>
          <w:rStyle w:val="329"/>
          <w:rFonts w:hint="eastAsia" w:ascii="Times New Roman" w:hAnsi="Times New Roman" w:eastAsia="宋体"/>
          <w:b/>
          <w:color w:val="auto"/>
          <w:sz w:val="21"/>
        </w:rPr>
        <w:t>合成树脂工业污染物排放标准</w:t>
      </w:r>
      <w:r>
        <w:rPr>
          <w:rStyle w:val="329"/>
          <w:rFonts w:ascii="Times New Roman" w:hAnsi="Times New Roman" w:eastAsia="宋体"/>
          <w:b/>
          <w:color w:val="auto"/>
          <w:sz w:val="21"/>
        </w:rPr>
        <w:t>》</w:t>
      </w:r>
      <w:r>
        <w:rPr>
          <w:rFonts w:hint="eastAsia" w:ascii="Times New Roman" w:hAnsi="Times New Roman"/>
          <w:b/>
          <w:color w:val="auto"/>
          <w:sz w:val="21"/>
        </w:rPr>
        <w:t>（GB31572-2015）</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5"/>
        <w:gridCol w:w="1559"/>
        <w:gridCol w:w="2268"/>
        <w:gridCol w:w="1417"/>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14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污染物项目</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特别排放限值</w:t>
            </w:r>
          </w:p>
        </w:tc>
        <w:tc>
          <w:tcPr>
            <w:tcW w:w="226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适用的合成树脂类型</w:t>
            </w:r>
          </w:p>
        </w:tc>
        <w:tc>
          <w:tcPr>
            <w:tcW w:w="141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污染物排放监控位置</w:t>
            </w: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企业边界污染物浓度限值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14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60</w:t>
            </w:r>
          </w:p>
        </w:tc>
        <w:tc>
          <w:tcPr>
            <w:tcW w:w="226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所有合成树脂</w:t>
            </w:r>
          </w:p>
        </w:tc>
        <w:tc>
          <w:tcPr>
            <w:tcW w:w="141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车间或生产设施排气筒</w:t>
            </w: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4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226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41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14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226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聚苯乙烯树脂</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ABS树脂</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不饱和聚酯树脂</w:t>
            </w:r>
          </w:p>
        </w:tc>
        <w:tc>
          <w:tcPr>
            <w:tcW w:w="141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14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55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0.5</w:t>
            </w:r>
          </w:p>
        </w:tc>
        <w:tc>
          <w:tcPr>
            <w:tcW w:w="226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ABS树脂</w:t>
            </w:r>
          </w:p>
        </w:tc>
        <w:tc>
          <w:tcPr>
            <w:tcW w:w="141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14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55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226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ABS树脂</w:t>
            </w:r>
          </w:p>
        </w:tc>
        <w:tc>
          <w:tcPr>
            <w:tcW w:w="141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14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226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氨基树脂</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聚酰胺树脂</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聚酰亚胺树脂</w:t>
            </w:r>
          </w:p>
        </w:tc>
        <w:tc>
          <w:tcPr>
            <w:tcW w:w="141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78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14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甲基丙烯酸甲酯</w:t>
            </w:r>
            <w:r>
              <w:rPr>
                <w:rFonts w:hint="eastAsia" w:ascii="Times New Roman" w:hAnsi="Times New Roman"/>
                <w:color w:val="auto"/>
                <w:sz w:val="21"/>
                <w:vertAlign w:val="superscript"/>
              </w:rPr>
              <w:t>（1）</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50</w:t>
            </w:r>
          </w:p>
        </w:tc>
        <w:tc>
          <w:tcPr>
            <w:tcW w:w="226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丙烯酸树脂</w:t>
            </w:r>
          </w:p>
        </w:tc>
        <w:tc>
          <w:tcPr>
            <w:tcW w:w="141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2235"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单位产品非甲烷总烃排放量（kg/t产品）</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w:t>
            </w:r>
            <w:r>
              <w:rPr>
                <w:rFonts w:hint="eastAsia" w:ascii="Times New Roman" w:hAnsi="Times New Roman"/>
                <w:color w:val="auto"/>
                <w:sz w:val="21"/>
              </w:rPr>
              <w:t>3</w:t>
            </w:r>
          </w:p>
        </w:tc>
        <w:tc>
          <w:tcPr>
            <w:tcW w:w="226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所有合成树脂</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（有机硅树脂除外）</w:t>
            </w:r>
          </w:p>
        </w:tc>
        <w:tc>
          <w:tcPr>
            <w:tcW w:w="141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8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bl>
    <w:p>
      <w:pPr>
        <w:adjustRightInd w:val="0"/>
        <w:snapToGrid w:val="0"/>
        <w:spacing w:line="240" w:lineRule="auto"/>
        <w:ind w:firstLine="0" w:firstLineChars="0"/>
        <w:jc w:val="left"/>
        <w:rPr>
          <w:rFonts w:ascii="Times New Roman" w:hAnsi="Times New Roman"/>
          <w:b/>
          <w:color w:val="auto"/>
          <w:sz w:val="21"/>
        </w:rPr>
      </w:pPr>
      <w:r>
        <w:rPr>
          <w:rFonts w:hint="eastAsia" w:ascii="Times New Roman" w:hAnsi="Times New Roman"/>
          <w:b/>
          <w:color w:val="auto"/>
          <w:sz w:val="21"/>
          <w:vertAlign w:val="superscript"/>
        </w:rPr>
        <w:t>（1）</w:t>
      </w:r>
      <w:r>
        <w:rPr>
          <w:rFonts w:hint="eastAsia" w:ascii="Times New Roman" w:hAnsi="Times New Roman"/>
          <w:b/>
          <w:color w:val="auto"/>
          <w:sz w:val="21"/>
        </w:rPr>
        <w:t>注：待国家污染物监测方法标准发布后实施。</w:t>
      </w:r>
    </w:p>
    <w:p>
      <w:pPr>
        <w:numPr>
          <w:ilvl w:val="0"/>
          <w:numId w:val="12"/>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《恶臭污染物排放标准》（GB14554-93）</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567"/>
        <w:gridCol w:w="1836"/>
        <w:gridCol w:w="2087"/>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pStyle w:val="140"/>
              <w:keepNext w:val="0"/>
              <w:keepLines w:val="0"/>
              <w:suppressLineNumbers w:val="0"/>
              <w:spacing w:before="0" w:beforeAutospacing="0" w:after="0" w:afterAutospacing="0" w:line="240" w:lineRule="auto"/>
              <w:ind w:left="0" w:right="0"/>
              <w:rPr>
                <w:rFonts w:ascii="Times New Roman" w:hAnsi="Times New Roman"/>
                <w:color w:val="auto"/>
                <w:sz w:val="21"/>
              </w:rPr>
            </w:pPr>
            <w:r>
              <w:rPr>
                <w:rFonts w:ascii="Times New Roman" w:hAnsi="Times New Roman"/>
                <w:color w:val="auto"/>
                <w:sz w:val="21"/>
              </w:rPr>
              <w:t>序号</w:t>
            </w:r>
          </w:p>
        </w:tc>
        <w:tc>
          <w:tcPr>
            <w:tcW w:w="1567" w:type="dxa"/>
            <w:vAlign w:val="center"/>
          </w:tcPr>
          <w:p>
            <w:pPr>
              <w:pStyle w:val="140"/>
              <w:keepNext w:val="0"/>
              <w:keepLines w:val="0"/>
              <w:suppressLineNumbers w:val="0"/>
              <w:spacing w:before="0" w:beforeAutospacing="0" w:after="0" w:afterAutospacing="0" w:line="240" w:lineRule="auto"/>
              <w:ind w:left="0" w:right="0"/>
              <w:rPr>
                <w:rFonts w:ascii="Times New Roman" w:hAnsi="Times New Roman"/>
                <w:color w:val="auto"/>
                <w:sz w:val="21"/>
              </w:rPr>
            </w:pPr>
            <w:r>
              <w:rPr>
                <w:rFonts w:ascii="Times New Roman" w:hAnsi="Times New Roman"/>
                <w:color w:val="auto"/>
                <w:sz w:val="21"/>
              </w:rPr>
              <w:t>污染物项目</w:t>
            </w:r>
          </w:p>
        </w:tc>
        <w:tc>
          <w:tcPr>
            <w:tcW w:w="1836" w:type="dxa"/>
            <w:vAlign w:val="center"/>
          </w:tcPr>
          <w:p>
            <w:pPr>
              <w:pStyle w:val="140"/>
              <w:keepNext w:val="0"/>
              <w:keepLines w:val="0"/>
              <w:suppressLineNumbers w:val="0"/>
              <w:spacing w:before="0" w:beforeAutospacing="0" w:after="0" w:afterAutospacing="0" w:line="240" w:lineRule="auto"/>
              <w:ind w:left="0" w:right="0"/>
              <w:rPr>
                <w:rFonts w:ascii="Times New Roman" w:hAnsi="Times New Roman"/>
                <w:color w:val="auto"/>
                <w:sz w:val="21"/>
              </w:rPr>
            </w:pPr>
            <w:r>
              <w:rPr>
                <w:rFonts w:ascii="Times New Roman" w:hAnsi="Times New Roman"/>
                <w:color w:val="auto"/>
                <w:sz w:val="21"/>
              </w:rPr>
              <w:t>排气筒高度m</w:t>
            </w:r>
          </w:p>
        </w:tc>
        <w:tc>
          <w:tcPr>
            <w:tcW w:w="2087" w:type="dxa"/>
            <w:vAlign w:val="center"/>
          </w:tcPr>
          <w:p>
            <w:pPr>
              <w:pStyle w:val="140"/>
              <w:keepNext w:val="0"/>
              <w:keepLines w:val="0"/>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标准值</w:t>
            </w:r>
          </w:p>
        </w:tc>
        <w:tc>
          <w:tcPr>
            <w:tcW w:w="2781" w:type="dxa"/>
            <w:vAlign w:val="center"/>
          </w:tcPr>
          <w:p>
            <w:pPr>
              <w:pStyle w:val="140"/>
              <w:keepNext w:val="0"/>
              <w:keepLines w:val="0"/>
              <w:suppressLineNumbers w:val="0"/>
              <w:spacing w:before="0" w:beforeAutospacing="0" w:after="0" w:afterAutospacing="0" w:line="240" w:lineRule="auto"/>
              <w:ind w:left="0" w:right="0"/>
              <w:jc w:val="center"/>
              <w:rPr>
                <w:rFonts w:ascii="Times New Roman" w:hAnsi="Times New Roman"/>
                <w:color w:val="auto"/>
                <w:sz w:val="21"/>
              </w:rPr>
            </w:pPr>
            <w:r>
              <w:rPr>
                <w:rFonts w:ascii="Times New Roman" w:hAnsi="Times New Roman"/>
                <w:color w:val="auto"/>
                <w:sz w:val="21"/>
              </w:rPr>
              <w:t>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89" w:type="dxa"/>
            <w:vAlign w:val="center"/>
          </w:tcPr>
          <w:p>
            <w:pPr>
              <w:pStyle w:val="140"/>
              <w:keepNext w:val="0"/>
              <w:keepLines w:val="0"/>
              <w:suppressLineNumbers w:val="0"/>
              <w:spacing w:before="0" w:beforeAutospacing="0" w:after="0" w:afterAutospacing="0" w:line="240" w:lineRule="auto"/>
              <w:ind w:left="0" w:right="0"/>
              <w:jc w:val="center"/>
              <w:rPr>
                <w:rFonts w:ascii="Times New Roman" w:hAnsi="Times New Roman"/>
                <w:color w:val="auto"/>
                <w:sz w:val="21"/>
              </w:rPr>
            </w:pPr>
            <w:r>
              <w:rPr>
                <w:rFonts w:ascii="Times New Roman" w:hAnsi="Times New Roman"/>
                <w:color w:val="auto"/>
                <w:sz w:val="21"/>
              </w:rPr>
              <w:t>1</w:t>
            </w:r>
          </w:p>
        </w:tc>
        <w:tc>
          <w:tcPr>
            <w:tcW w:w="1567" w:type="dxa"/>
            <w:vAlign w:val="center"/>
          </w:tcPr>
          <w:p>
            <w:pPr>
              <w:pStyle w:val="140"/>
              <w:keepNext w:val="0"/>
              <w:keepLines w:val="0"/>
              <w:suppressLineNumbers w:val="0"/>
              <w:spacing w:before="0" w:beforeAutospacing="0" w:after="0" w:afterAutospacing="0" w:line="240" w:lineRule="auto"/>
              <w:ind w:left="0" w:right="0"/>
              <w:jc w:val="center"/>
              <w:rPr>
                <w:rFonts w:ascii="Times New Roman" w:hAnsi="Times New Roman"/>
                <w:color w:val="auto"/>
                <w:sz w:val="21"/>
              </w:rPr>
            </w:pPr>
            <w:r>
              <w:rPr>
                <w:rFonts w:ascii="Times New Roman" w:hAnsi="Times New Roman"/>
                <w:color w:val="auto"/>
                <w:sz w:val="21"/>
              </w:rPr>
              <w:t>臭气浓度</w:t>
            </w:r>
          </w:p>
        </w:tc>
        <w:tc>
          <w:tcPr>
            <w:tcW w:w="1836" w:type="dxa"/>
            <w:vAlign w:val="center"/>
          </w:tcPr>
          <w:p>
            <w:pPr>
              <w:pStyle w:val="140"/>
              <w:keepNext w:val="0"/>
              <w:keepLines w:val="0"/>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20</w:t>
            </w:r>
          </w:p>
        </w:tc>
        <w:tc>
          <w:tcPr>
            <w:tcW w:w="2087" w:type="dxa"/>
            <w:vAlign w:val="center"/>
          </w:tcPr>
          <w:p>
            <w:pPr>
              <w:pStyle w:val="140"/>
              <w:keepNext w:val="0"/>
              <w:keepLines w:val="0"/>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4</w:t>
            </w:r>
            <w:r>
              <w:rPr>
                <w:rFonts w:ascii="Times New Roman" w:hAnsi="Times New Roman"/>
                <w:color w:val="auto"/>
                <w:sz w:val="21"/>
              </w:rPr>
              <w:t>000（无量纲）</w:t>
            </w:r>
          </w:p>
        </w:tc>
        <w:tc>
          <w:tcPr>
            <w:tcW w:w="2781" w:type="dxa"/>
            <w:vAlign w:val="center"/>
          </w:tcPr>
          <w:p>
            <w:pPr>
              <w:pStyle w:val="140"/>
              <w:keepNext w:val="0"/>
              <w:keepLines w:val="0"/>
              <w:suppressLineNumbers w:val="0"/>
              <w:spacing w:before="0" w:beforeAutospacing="0" w:after="0" w:afterAutospacing="0" w:line="240" w:lineRule="auto"/>
              <w:ind w:left="0" w:right="0"/>
              <w:jc w:val="center"/>
              <w:rPr>
                <w:rFonts w:ascii="Times New Roman" w:hAnsi="Times New Roman"/>
                <w:color w:val="auto"/>
                <w:sz w:val="21"/>
              </w:rPr>
            </w:pPr>
            <w:r>
              <w:rPr>
                <w:rFonts w:ascii="Times New Roman" w:hAnsi="Times New Roman"/>
                <w:color w:val="auto"/>
                <w:sz w:val="21"/>
              </w:rPr>
              <w:t>20（无量纲）</w:t>
            </w:r>
          </w:p>
        </w:tc>
      </w:tr>
    </w:tbl>
    <w:p>
      <w:pPr>
        <w:numPr>
          <w:ilvl w:val="0"/>
          <w:numId w:val="12"/>
        </w:numPr>
        <w:spacing w:line="240" w:lineRule="auto"/>
        <w:ind w:left="0" w:firstLine="0" w:firstLineChars="0"/>
        <w:jc w:val="right"/>
        <w:rPr>
          <w:rFonts w:ascii="Times New Roman" w:hAnsi="Times New Roman"/>
          <w:b/>
          <w:color w:val="auto"/>
          <w:sz w:val="21"/>
        </w:rPr>
      </w:pPr>
      <w:r>
        <w:rPr>
          <w:rFonts w:ascii="Times New Roman" w:hAnsi="Times New Roman"/>
          <w:b/>
          <w:color w:val="auto"/>
          <w:sz w:val="21"/>
        </w:rPr>
        <w:t>《挥发性有机物无组织排放控制标准》（GB37822-2019）</w:t>
      </w:r>
      <w:r>
        <w:rPr>
          <w:rFonts w:hint="eastAsia" w:ascii="Times New Roman" w:hAnsi="Times New Roman"/>
          <w:b/>
          <w:color w:val="auto"/>
          <w:sz w:val="21"/>
        </w:rPr>
        <w:t xml:space="preserve">    </w:t>
      </w:r>
      <w:r>
        <w:rPr>
          <w:rStyle w:val="329"/>
          <w:rFonts w:ascii="Times New Roman" w:hAnsi="Times New Roman" w:eastAsia="宋体"/>
          <w:b/>
          <w:color w:val="auto"/>
          <w:sz w:val="21"/>
          <w:szCs w:val="21"/>
        </w:rPr>
        <w:t>单位：mg/m</w:t>
      </w:r>
      <w:r>
        <w:rPr>
          <w:rStyle w:val="329"/>
          <w:rFonts w:ascii="Times New Roman" w:hAnsi="Times New Roman" w:eastAsia="宋体"/>
          <w:b/>
          <w:color w:val="auto"/>
          <w:sz w:val="21"/>
          <w:szCs w:val="21"/>
          <w:vertAlign w:val="superscript"/>
        </w:rPr>
        <w:t>3</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1814"/>
        <w:gridCol w:w="3104"/>
        <w:gridCol w:w="2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85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污染物项目</w:t>
            </w:r>
          </w:p>
        </w:tc>
        <w:tc>
          <w:tcPr>
            <w:tcW w:w="100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特别排放限值</w:t>
            </w:r>
          </w:p>
        </w:tc>
        <w:tc>
          <w:tcPr>
            <w:tcW w:w="171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限值含义</w:t>
            </w:r>
          </w:p>
        </w:tc>
        <w:tc>
          <w:tcPr>
            <w:tcW w:w="142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858"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NMHC</w:t>
            </w:r>
          </w:p>
        </w:tc>
        <w:tc>
          <w:tcPr>
            <w:tcW w:w="100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6</w:t>
            </w:r>
          </w:p>
        </w:tc>
        <w:tc>
          <w:tcPr>
            <w:tcW w:w="171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监控点处1h平均浓度值</w:t>
            </w:r>
          </w:p>
        </w:tc>
        <w:tc>
          <w:tcPr>
            <w:tcW w:w="1428"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858"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00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20</w:t>
            </w:r>
          </w:p>
        </w:tc>
        <w:tc>
          <w:tcPr>
            <w:tcW w:w="171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监控点处任意一次浓度值</w:t>
            </w:r>
          </w:p>
        </w:tc>
        <w:tc>
          <w:tcPr>
            <w:tcW w:w="1428"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bl>
    <w:p>
      <w:pPr>
        <w:ind w:firstLine="482"/>
        <w:rPr>
          <w:rFonts w:ascii="Times New Roman" w:hAnsi="Times New Roman"/>
          <w:b/>
          <w:color w:val="auto"/>
        </w:rPr>
      </w:pPr>
      <w:r>
        <w:rPr>
          <w:rFonts w:hint="eastAsia" w:ascii="Times New Roman" w:hAnsi="Times New Roman"/>
          <w:b/>
          <w:color w:val="auto"/>
        </w:rPr>
        <w:t>6</w:t>
      </w:r>
      <w:r>
        <w:rPr>
          <w:rFonts w:ascii="Times New Roman" w:hAnsi="Times New Roman"/>
          <w:b/>
          <w:color w:val="auto"/>
        </w:rPr>
        <w:t>、废水污染物排放标准</w:t>
      </w:r>
    </w:p>
    <w:p>
      <w:pPr>
        <w:ind w:firstLine="480"/>
        <w:rPr>
          <w:rFonts w:ascii="Times New Roman" w:hAnsi="Times New Roman"/>
          <w:color w:val="auto"/>
        </w:rPr>
      </w:pPr>
      <w:r>
        <w:rPr>
          <w:rFonts w:hint="eastAsia" w:ascii="Times New Roman" w:hAnsi="Times New Roman"/>
          <w:color w:val="auto"/>
        </w:rPr>
        <w:t>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Style w:val="782"/>
          <w:rFonts w:hint="default" w:ascii="Times New Roman" w:hAnsi="Times New Roman"/>
          <w:color w:val="auto"/>
        </w:rPr>
        <w:t>纳入市政污水管网，最终进入苍南县临港产业基地启动区污水处理厂处理达标后排放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污水处理厂提标工程尚未验收完成，故其近期出水执行《城镇污水处理厂污染物排放标准》（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）二级排放标准，远期待验收完成执行《城镇污水处理厂污染物排放标准》（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）一级A标准。</w:t>
      </w:r>
      <w:r>
        <w:rPr>
          <w:rFonts w:ascii="Times New Roman" w:hAnsi="Times New Roman"/>
          <w:color w:val="auto"/>
        </w:rPr>
        <w:t>具体标准摘录详见表2-</w:t>
      </w:r>
      <w:r>
        <w:rPr>
          <w:rFonts w:hint="eastAsia" w:ascii="Times New Roman" w:hAnsi="Times New Roman"/>
          <w:color w:val="auto"/>
        </w:rPr>
        <w:t>10~2-11</w:t>
      </w:r>
      <w:r>
        <w:rPr>
          <w:rFonts w:ascii="Times New Roman" w:hAnsi="Times New Roman"/>
          <w:color w:val="auto"/>
        </w:rPr>
        <w:t>。</w:t>
      </w:r>
    </w:p>
    <w:p>
      <w:pPr>
        <w:numPr>
          <w:ilvl w:val="0"/>
          <w:numId w:val="12"/>
        </w:numPr>
        <w:spacing w:line="240" w:lineRule="auto"/>
        <w:ind w:firstLineChars="0"/>
        <w:jc w:val="right"/>
        <w:rPr>
          <w:rFonts w:ascii="Times New Roman" w:hAnsi="Times New Roman"/>
          <w:b/>
          <w:color w:val="auto"/>
          <w:sz w:val="21"/>
        </w:rPr>
      </w:pPr>
      <w:r>
        <w:rPr>
          <w:rFonts w:ascii="Times New Roman" w:hAnsi="Times New Roman"/>
          <w:b/>
          <w:snapToGrid w:val="0"/>
          <w:color w:val="auto"/>
          <w:kern w:val="0"/>
          <w:sz w:val="21"/>
        </w:rPr>
        <w:t>《污水综合排放标准》（GB8978-1996）</w:t>
      </w:r>
      <w:r>
        <w:rPr>
          <w:rFonts w:hint="eastAsia" w:ascii="Times New Roman" w:hAnsi="Times New Roman"/>
          <w:b/>
          <w:snapToGrid w:val="0"/>
          <w:color w:val="auto"/>
          <w:kern w:val="0"/>
          <w:sz w:val="21"/>
        </w:rPr>
        <w:t xml:space="preserve">     </w:t>
      </w:r>
      <w:r>
        <w:rPr>
          <w:rFonts w:ascii="Times New Roman" w:hAnsi="Times New Roman"/>
          <w:b/>
          <w:color w:val="auto"/>
          <w:sz w:val="18"/>
          <w:szCs w:val="18"/>
        </w:rPr>
        <w:t>单位：mg/L（pH值除外）</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886"/>
        <w:gridCol w:w="960"/>
        <w:gridCol w:w="1158"/>
        <w:gridCol w:w="872"/>
        <w:gridCol w:w="1080"/>
        <w:gridCol w:w="1359"/>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项目</w:t>
            </w:r>
          </w:p>
        </w:tc>
        <w:tc>
          <w:tcPr>
            <w:tcW w:w="88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pH</w:t>
            </w:r>
          </w:p>
        </w:tc>
        <w:tc>
          <w:tcPr>
            <w:tcW w:w="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r>
              <w:rPr>
                <w:rFonts w:ascii="Times New Roman" w:hAnsi="Times New Roman"/>
                <w:color w:val="auto"/>
                <w:sz w:val="21"/>
                <w:vertAlign w:val="subscript"/>
              </w:rPr>
              <w:t>Cr</w:t>
            </w:r>
          </w:p>
        </w:tc>
        <w:tc>
          <w:tcPr>
            <w:tcW w:w="115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BOD</w:t>
            </w:r>
            <w:r>
              <w:rPr>
                <w:rFonts w:ascii="Times New Roman" w:hAnsi="Times New Roman"/>
                <w:color w:val="auto"/>
                <w:sz w:val="21"/>
                <w:vertAlign w:val="subscript"/>
              </w:rPr>
              <w:t>5</w:t>
            </w:r>
          </w:p>
        </w:tc>
        <w:tc>
          <w:tcPr>
            <w:tcW w:w="87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SS</w:t>
            </w:r>
          </w:p>
        </w:tc>
        <w:tc>
          <w:tcPr>
            <w:tcW w:w="108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NH</w:t>
            </w:r>
            <w:r>
              <w:rPr>
                <w:rFonts w:ascii="Times New Roman" w:hAnsi="Times New Roman"/>
                <w:color w:val="auto"/>
                <w:sz w:val="21"/>
                <w:vertAlign w:val="subscript"/>
              </w:rPr>
              <w:t>3</w:t>
            </w:r>
            <w:r>
              <w:rPr>
                <w:rFonts w:ascii="Times New Roman" w:hAnsi="Times New Roman"/>
                <w:color w:val="auto"/>
                <w:sz w:val="21"/>
              </w:rPr>
              <w:t>-N</w:t>
            </w:r>
          </w:p>
        </w:tc>
        <w:tc>
          <w:tcPr>
            <w:tcW w:w="135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动植物油类</w:t>
            </w:r>
          </w:p>
        </w:tc>
        <w:tc>
          <w:tcPr>
            <w:tcW w:w="135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w:t>
            </w:r>
            <w:r>
              <w:rPr>
                <w:rFonts w:ascii="Times New Roman" w:hAnsi="Times New Roman"/>
                <w:color w:val="auto"/>
                <w:sz w:val="21"/>
              </w:rPr>
              <w:t>级标准</w:t>
            </w:r>
          </w:p>
        </w:tc>
        <w:tc>
          <w:tcPr>
            <w:tcW w:w="88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6～9</w:t>
            </w:r>
          </w:p>
        </w:tc>
        <w:tc>
          <w:tcPr>
            <w:tcW w:w="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500</w:t>
            </w:r>
          </w:p>
        </w:tc>
        <w:tc>
          <w:tcPr>
            <w:tcW w:w="115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300</w:t>
            </w:r>
          </w:p>
        </w:tc>
        <w:tc>
          <w:tcPr>
            <w:tcW w:w="87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400</w:t>
            </w:r>
          </w:p>
        </w:tc>
        <w:tc>
          <w:tcPr>
            <w:tcW w:w="108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w:t>
            </w:r>
            <w:r>
              <w:rPr>
                <w:rFonts w:ascii="Times New Roman" w:hAnsi="Times New Roman"/>
                <w:color w:val="auto"/>
                <w:sz w:val="21"/>
              </w:rPr>
              <w:t>*</w:t>
            </w:r>
          </w:p>
        </w:tc>
        <w:tc>
          <w:tcPr>
            <w:tcW w:w="135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100</w:t>
            </w:r>
          </w:p>
        </w:tc>
        <w:tc>
          <w:tcPr>
            <w:tcW w:w="135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8*</w:t>
            </w:r>
          </w:p>
        </w:tc>
      </w:tr>
    </w:tbl>
    <w:p>
      <w:pPr>
        <w:adjustRightInd w:val="0"/>
        <w:snapToGrid w:val="0"/>
        <w:ind w:firstLine="0" w:firstLineChars="0"/>
        <w:rPr>
          <w:rFonts w:ascii="Times New Roman" w:hAnsi="Times New Roman"/>
          <w:color w:val="auto"/>
          <w:sz w:val="18"/>
          <w:szCs w:val="18"/>
        </w:rPr>
      </w:pPr>
      <w:r>
        <w:rPr>
          <w:rFonts w:ascii="Times New Roman" w:hAnsi="Times New Roman"/>
          <w:color w:val="auto"/>
          <w:sz w:val="18"/>
          <w:szCs w:val="18"/>
        </w:rPr>
        <w:t>注</w:t>
      </w:r>
      <w:r>
        <w:rPr>
          <w:rFonts w:ascii="Times New Roman" w:hAnsi="Times New Roman"/>
          <w:color w:val="auto"/>
          <w:sz w:val="18"/>
          <w:szCs w:val="18"/>
          <w:vertAlign w:val="superscript"/>
        </w:rPr>
        <w:t>*</w:t>
      </w:r>
      <w:r>
        <w:rPr>
          <w:rFonts w:ascii="Times New Roman" w:hAnsi="Times New Roman"/>
          <w:color w:val="auto"/>
          <w:sz w:val="18"/>
          <w:szCs w:val="18"/>
        </w:rPr>
        <w:t>：</w:t>
      </w:r>
      <w:r>
        <w:rPr>
          <w:rFonts w:hint="eastAsia" w:ascii="Times New Roman" w:hAnsi="Times New Roman"/>
          <w:color w:val="auto"/>
          <w:sz w:val="18"/>
          <w:szCs w:val="18"/>
        </w:rPr>
        <w:t>氨氮、总磷排放执行《工业企业废水氮、磷</w:t>
      </w:r>
      <w:r>
        <w:rPr>
          <w:rFonts w:ascii="Times New Roman" w:hAnsi="Times New Roman"/>
          <w:color w:val="auto"/>
          <w:sz w:val="18"/>
          <w:szCs w:val="18"/>
        </w:rPr>
        <w:t>污染物间接排放限值</w:t>
      </w:r>
      <w:r>
        <w:rPr>
          <w:rFonts w:hint="eastAsia" w:ascii="Times New Roman" w:hAnsi="Times New Roman"/>
          <w:color w:val="auto"/>
          <w:sz w:val="18"/>
          <w:szCs w:val="18"/>
        </w:rPr>
        <w:t>》</w:t>
      </w:r>
      <w:r>
        <w:rPr>
          <w:rFonts w:ascii="Times New Roman" w:hAnsi="Times New Roman"/>
          <w:color w:val="auto"/>
          <w:sz w:val="18"/>
          <w:szCs w:val="18"/>
        </w:rPr>
        <w:t>（DB33/887-2013）。</w:t>
      </w:r>
    </w:p>
    <w:p>
      <w:pPr>
        <w:ind w:firstLine="422"/>
        <w:jc w:val="center"/>
        <w:rPr>
          <w:rFonts w:ascii="Times New Roman" w:hAnsi="Times New Roman"/>
          <w:b/>
          <w:color w:val="auto"/>
          <w:sz w:val="21"/>
        </w:rPr>
      </w:pPr>
      <w:r>
        <w:rPr>
          <w:rFonts w:hint="eastAsia" w:ascii="Times New Roman" w:hAnsi="Times New Roman"/>
          <w:b/>
          <w:snapToGrid w:val="0"/>
          <w:color w:val="auto"/>
          <w:kern w:val="0"/>
          <w:sz w:val="21"/>
        </w:rPr>
        <w:t xml:space="preserve">表2-12  </w:t>
      </w:r>
      <w:r>
        <w:rPr>
          <w:rFonts w:ascii="Times New Roman" w:hAnsi="Times New Roman"/>
          <w:b/>
          <w:snapToGrid w:val="0"/>
          <w:color w:val="auto"/>
          <w:kern w:val="0"/>
          <w:sz w:val="21"/>
        </w:rPr>
        <w:t>城镇污水处理厂污染物排放标准(摘录)</w:t>
      </w:r>
      <w:r>
        <w:rPr>
          <w:rFonts w:hint="eastAsia" w:ascii="Times New Roman" w:hAnsi="Times New Roman"/>
          <w:b/>
          <w:snapToGrid w:val="0"/>
          <w:color w:val="auto"/>
          <w:kern w:val="0"/>
          <w:sz w:val="21"/>
        </w:rPr>
        <w:t xml:space="preserve"> </w:t>
      </w:r>
      <w:r>
        <w:rPr>
          <w:rFonts w:hint="eastAsia" w:ascii="Times New Roman" w:hAnsi="Times New Roman"/>
          <w:b/>
          <w:color w:val="auto"/>
          <w:sz w:val="21"/>
        </w:rPr>
        <w:t xml:space="preserve">     </w:t>
      </w:r>
      <w:r>
        <w:rPr>
          <w:rFonts w:ascii="Times New Roman" w:hAnsi="Times New Roman"/>
          <w:b/>
          <w:color w:val="auto"/>
          <w:sz w:val="18"/>
          <w:szCs w:val="18"/>
        </w:rPr>
        <w:t>单位：mg/L(pH除外)</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944"/>
        <w:gridCol w:w="978"/>
        <w:gridCol w:w="1078"/>
        <w:gridCol w:w="636"/>
        <w:gridCol w:w="1259"/>
        <w:gridCol w:w="953"/>
        <w:gridCol w:w="645"/>
        <w:gridCol w:w="16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5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类别</w:t>
            </w:r>
          </w:p>
        </w:tc>
        <w:tc>
          <w:tcPr>
            <w:tcW w:w="52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pH值</w:t>
            </w:r>
          </w:p>
        </w:tc>
        <w:tc>
          <w:tcPr>
            <w:tcW w:w="5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p>
        </w:tc>
        <w:tc>
          <w:tcPr>
            <w:tcW w:w="59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BOD</w:t>
            </w:r>
            <w:r>
              <w:rPr>
                <w:rFonts w:ascii="Times New Roman" w:hAnsi="Times New Roman"/>
                <w:color w:val="auto"/>
                <w:sz w:val="21"/>
                <w:vertAlign w:val="subscript"/>
              </w:rPr>
              <w:t>5</w:t>
            </w:r>
          </w:p>
        </w:tc>
        <w:tc>
          <w:tcPr>
            <w:tcW w:w="35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SS</w:t>
            </w:r>
          </w:p>
        </w:tc>
        <w:tc>
          <w:tcPr>
            <w:tcW w:w="69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动植物油</w:t>
            </w:r>
          </w:p>
        </w:tc>
        <w:tc>
          <w:tcPr>
            <w:tcW w:w="52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石油类</w:t>
            </w:r>
          </w:p>
        </w:tc>
        <w:tc>
          <w:tcPr>
            <w:tcW w:w="35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总磷</w:t>
            </w:r>
          </w:p>
        </w:tc>
        <w:tc>
          <w:tcPr>
            <w:tcW w:w="89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5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w:t>
            </w:r>
            <w:r>
              <w:rPr>
                <w:rFonts w:ascii="Times New Roman" w:hAnsi="Times New Roman"/>
                <w:color w:val="auto"/>
                <w:sz w:val="21"/>
              </w:rPr>
              <w:t>级</w:t>
            </w:r>
          </w:p>
        </w:tc>
        <w:tc>
          <w:tcPr>
            <w:tcW w:w="52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6～9</w:t>
            </w:r>
          </w:p>
        </w:tc>
        <w:tc>
          <w:tcPr>
            <w:tcW w:w="5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100</w:t>
            </w:r>
          </w:p>
        </w:tc>
        <w:tc>
          <w:tcPr>
            <w:tcW w:w="59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w:t>
            </w:r>
          </w:p>
        </w:tc>
        <w:tc>
          <w:tcPr>
            <w:tcW w:w="35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w:t>
            </w:r>
          </w:p>
        </w:tc>
        <w:tc>
          <w:tcPr>
            <w:tcW w:w="69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52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35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89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r>
              <w:rPr>
                <w:rFonts w:ascii="Times New Roman" w:hAnsi="Times New Roman"/>
                <w:color w:val="auto"/>
                <w:sz w:val="21"/>
              </w:rPr>
              <w:t>5（</w:t>
            </w:r>
            <w:r>
              <w:rPr>
                <w:rFonts w:hint="eastAsia" w:ascii="Times New Roman" w:hAnsi="Times New Roman"/>
                <w:color w:val="auto"/>
                <w:sz w:val="21"/>
              </w:rPr>
              <w:t>30</w:t>
            </w: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5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一级A标准</w:t>
            </w:r>
          </w:p>
        </w:tc>
        <w:tc>
          <w:tcPr>
            <w:tcW w:w="52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6～9</w:t>
            </w:r>
          </w:p>
        </w:tc>
        <w:tc>
          <w:tcPr>
            <w:tcW w:w="54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50</w:t>
            </w:r>
          </w:p>
        </w:tc>
        <w:tc>
          <w:tcPr>
            <w:tcW w:w="5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10</w:t>
            </w:r>
          </w:p>
        </w:tc>
        <w:tc>
          <w:tcPr>
            <w:tcW w:w="35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10</w:t>
            </w:r>
          </w:p>
        </w:tc>
        <w:tc>
          <w:tcPr>
            <w:tcW w:w="69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52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35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89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5*（8）</w:t>
            </w:r>
          </w:p>
        </w:tc>
      </w:tr>
    </w:tbl>
    <w:p>
      <w:pPr>
        <w:ind w:firstLine="0" w:firstLineChars="0"/>
        <w:rPr>
          <w:rFonts w:ascii="Times New Roman" w:hAnsi="Times New Roman"/>
          <w:color w:val="auto"/>
          <w:sz w:val="18"/>
          <w:szCs w:val="18"/>
        </w:rPr>
      </w:pPr>
      <w:r>
        <w:rPr>
          <w:rFonts w:hint="eastAsia" w:ascii="Times New Roman" w:hAnsi="Times New Roman"/>
          <w:color w:val="auto"/>
          <w:sz w:val="18"/>
          <w:szCs w:val="18"/>
        </w:rPr>
        <w:t>注*：</w:t>
      </w:r>
      <w:r>
        <w:rPr>
          <w:rFonts w:ascii="Times New Roman" w:hAnsi="Times New Roman"/>
          <w:color w:val="auto"/>
          <w:sz w:val="18"/>
          <w:szCs w:val="18"/>
        </w:rPr>
        <w:t>括号外数值为水温&gt;12</w:t>
      </w:r>
      <w:r>
        <w:rPr>
          <w:rFonts w:hint="eastAsia" w:ascii="Times New Roman" w:hAnsi="Times New Roman"/>
          <w:color w:val="auto"/>
          <w:sz w:val="18"/>
          <w:szCs w:val="18"/>
        </w:rPr>
        <w:t>℃</w:t>
      </w:r>
      <w:r>
        <w:rPr>
          <w:rFonts w:ascii="Times New Roman" w:hAnsi="Times New Roman"/>
          <w:color w:val="auto"/>
          <w:sz w:val="18"/>
          <w:szCs w:val="18"/>
        </w:rPr>
        <w:t>时的控制指标，括号内数值为水温≤12</w:t>
      </w:r>
      <w:r>
        <w:rPr>
          <w:rFonts w:hint="eastAsia" w:ascii="Times New Roman" w:hAnsi="Times New Roman"/>
          <w:color w:val="auto"/>
          <w:sz w:val="18"/>
          <w:szCs w:val="18"/>
        </w:rPr>
        <w:t>℃</w:t>
      </w:r>
      <w:r>
        <w:rPr>
          <w:rFonts w:ascii="Times New Roman" w:hAnsi="Times New Roman"/>
          <w:color w:val="auto"/>
          <w:sz w:val="18"/>
          <w:szCs w:val="18"/>
        </w:rPr>
        <w:t>时的控制指标。</w:t>
      </w:r>
    </w:p>
    <w:p>
      <w:pPr>
        <w:ind w:firstLine="482"/>
        <w:rPr>
          <w:rFonts w:ascii="Times New Roman" w:hAnsi="Times New Roman"/>
          <w:b/>
          <w:color w:val="auto"/>
        </w:rPr>
      </w:pPr>
      <w:r>
        <w:rPr>
          <w:rFonts w:hint="eastAsia" w:ascii="Times New Roman" w:hAnsi="Times New Roman"/>
          <w:b/>
          <w:color w:val="auto"/>
        </w:rPr>
        <w:t>7</w:t>
      </w:r>
      <w:r>
        <w:rPr>
          <w:rFonts w:ascii="Times New Roman" w:hAnsi="Times New Roman"/>
          <w:b/>
          <w:color w:val="auto"/>
        </w:rPr>
        <w:t>、噪声排放标准</w:t>
      </w:r>
    </w:p>
    <w:p>
      <w:pPr>
        <w:ind w:firstLine="480"/>
        <w:rPr>
          <w:rFonts w:ascii="Times New Roman" w:hAnsi="Times New Roman"/>
          <w:color w:val="auto"/>
        </w:rPr>
      </w:pPr>
      <w:r>
        <w:rPr>
          <w:rFonts w:ascii="Times New Roman" w:hAnsi="Times New Roman"/>
          <w:color w:val="auto"/>
        </w:rPr>
        <w:t>本项目四周厂界噪声执行《工业企业厂界环境噪声排放标准》（GB12348-2008）中的3类标准，具体见表2-1</w:t>
      </w:r>
      <w:r>
        <w:rPr>
          <w:rFonts w:hint="eastAsia" w:ascii="Times New Roman" w:hAnsi="Times New Roman"/>
          <w:color w:val="auto"/>
        </w:rPr>
        <w:t>2</w:t>
      </w:r>
      <w:r>
        <w:rPr>
          <w:rFonts w:ascii="Times New Roman" w:hAnsi="Times New Roman"/>
          <w:color w:val="auto"/>
        </w:rPr>
        <w:t>。</w:t>
      </w:r>
    </w:p>
    <w:p>
      <w:pPr>
        <w:numPr>
          <w:ilvl w:val="0"/>
          <w:numId w:val="12"/>
        </w:numPr>
        <w:spacing w:line="240" w:lineRule="auto"/>
        <w:ind w:firstLineChars="0"/>
        <w:jc w:val="right"/>
        <w:rPr>
          <w:rFonts w:ascii="Times New Roman" w:hAnsi="Times New Roman"/>
          <w:b/>
          <w:color w:val="auto"/>
          <w:sz w:val="21"/>
        </w:rPr>
      </w:pPr>
      <w:r>
        <w:rPr>
          <w:rFonts w:ascii="Times New Roman" w:hAnsi="Times New Roman"/>
          <w:b/>
          <w:color w:val="auto"/>
          <w:sz w:val="21"/>
        </w:rPr>
        <w:t>《工业企业厂界环境噪声排放标准》（GB12348-2008）</w:t>
      </w:r>
      <w:r>
        <w:rPr>
          <w:rFonts w:hint="eastAsia" w:ascii="Times New Roman" w:hAnsi="Times New Roman"/>
          <w:b/>
          <w:color w:val="auto"/>
          <w:sz w:val="21"/>
        </w:rPr>
        <w:t xml:space="preserve">   </w:t>
      </w:r>
      <w:r>
        <w:rPr>
          <w:rFonts w:ascii="Times New Roman" w:hAnsi="Times New Roman"/>
          <w:b/>
          <w:snapToGrid w:val="0"/>
          <w:color w:val="auto"/>
          <w:kern w:val="0"/>
          <w:sz w:val="18"/>
          <w:szCs w:val="18"/>
        </w:rPr>
        <w:t>单位：dB（A）</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9"/>
        <w:gridCol w:w="2714"/>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8"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边界外声环境功能区</w:t>
            </w:r>
            <w:r>
              <w:rPr>
                <w:rFonts w:ascii="Times New Roman" w:hAnsi="Times New Roman"/>
                <w:color w:val="auto"/>
                <w:sz w:val="21"/>
              </w:rPr>
              <w:t>类别</w:t>
            </w:r>
          </w:p>
        </w:tc>
        <w:tc>
          <w:tcPr>
            <w:tcW w:w="278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49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昼间</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21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3类</w:t>
            </w:r>
          </w:p>
        </w:tc>
        <w:tc>
          <w:tcPr>
            <w:tcW w:w="149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w:t>
            </w:r>
            <w:r>
              <w:rPr>
                <w:rFonts w:hint="eastAsia" w:ascii="Times New Roman" w:hAnsi="Times New Roman"/>
                <w:color w:val="auto"/>
                <w:sz w:val="21"/>
              </w:rPr>
              <w:t>5</w:t>
            </w:r>
          </w:p>
        </w:tc>
        <w:tc>
          <w:tcPr>
            <w:tcW w:w="12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w:t>
            </w:r>
          </w:p>
        </w:tc>
      </w:tr>
    </w:tbl>
    <w:p>
      <w:pPr>
        <w:ind w:firstLine="482"/>
        <w:rPr>
          <w:rFonts w:ascii="Times New Roman" w:hAnsi="Times New Roman"/>
          <w:b/>
          <w:color w:val="auto"/>
        </w:rPr>
      </w:pPr>
      <w:r>
        <w:rPr>
          <w:rFonts w:hint="eastAsia" w:ascii="Times New Roman" w:hAnsi="Times New Roman"/>
          <w:b/>
          <w:color w:val="auto"/>
        </w:rPr>
        <w:t>8</w:t>
      </w:r>
      <w:r>
        <w:rPr>
          <w:rFonts w:ascii="Times New Roman" w:hAnsi="Times New Roman"/>
          <w:b/>
          <w:color w:val="auto"/>
        </w:rPr>
        <w:t>、固体废物</w:t>
      </w:r>
    </w:p>
    <w:p>
      <w:pPr>
        <w:ind w:firstLine="480"/>
        <w:rPr>
          <w:rFonts w:ascii="Times New Roman" w:hAnsi="Times New Roman"/>
          <w:color w:val="auto"/>
        </w:rPr>
      </w:pPr>
      <w:r>
        <w:rPr>
          <w:rFonts w:ascii="Times New Roman" w:hAnsi="Times New Roman"/>
          <w:color w:val="auto"/>
        </w:rPr>
        <w:t>危险废物贮存执行《危险废物贮存污染控制标准》(GB18597-2001)及修改单中相关规定；一般工业废物处置执行《一般工业固体废物贮存、处置场污染控制标准》(GB18599-2001)及修改单中相关规定。</w:t>
      </w:r>
    </w:p>
    <w:p>
      <w:pPr>
        <w:pStyle w:val="592"/>
        <w:numPr>
          <w:ilvl w:val="0"/>
          <w:numId w:val="6"/>
        </w:numPr>
        <w:ind w:left="0" w:firstLine="0"/>
        <w:rPr>
          <w:color w:val="auto"/>
        </w:rPr>
      </w:pPr>
      <w:bookmarkStart w:id="20" w:name="_Toc37350046"/>
      <w:r>
        <w:rPr>
          <w:color w:val="auto"/>
        </w:rPr>
        <w:t>评价工作等级和评价</w:t>
      </w:r>
      <w:r>
        <w:rPr>
          <w:rFonts w:hint="eastAsia"/>
          <w:color w:val="auto"/>
        </w:rPr>
        <w:t>范围</w:t>
      </w:r>
      <w:bookmarkEnd w:id="20"/>
    </w:p>
    <w:p>
      <w:pPr>
        <w:pStyle w:val="4"/>
        <w:numPr>
          <w:ilvl w:val="0"/>
          <w:numId w:val="13"/>
        </w:numPr>
        <w:spacing w:beforeLines="0"/>
        <w:rPr>
          <w:rFonts w:ascii="Times New Roman" w:hAnsi="Times New Roman"/>
          <w:color w:val="auto"/>
          <w:sz w:val="24"/>
          <w:szCs w:val="24"/>
        </w:rPr>
      </w:pPr>
      <w:bookmarkStart w:id="21" w:name="_Toc278967627"/>
      <w:bookmarkStart w:id="22" w:name="_Toc278911567"/>
      <w:r>
        <w:rPr>
          <w:rFonts w:ascii="Times New Roman" w:hAnsi="Times New Roman"/>
          <w:color w:val="auto"/>
          <w:sz w:val="24"/>
          <w:szCs w:val="24"/>
        </w:rPr>
        <w:t>评价等级</w:t>
      </w:r>
      <w:bookmarkEnd w:id="21"/>
      <w:bookmarkEnd w:id="22"/>
    </w:p>
    <w:p>
      <w:pPr>
        <w:ind w:firstLine="480"/>
        <w:rPr>
          <w:rFonts w:ascii="Times New Roman" w:hAnsi="Times New Roman"/>
          <w:color w:val="auto"/>
        </w:rPr>
      </w:pPr>
      <w:r>
        <w:rPr>
          <w:rFonts w:ascii="Times New Roman" w:hAnsi="Times New Roman"/>
          <w:color w:val="auto"/>
        </w:rPr>
        <w:t>根据该项目污染物排放特征、项目所在地区的地形特点和环境功能区划功能，按照《环境影响评价技术导则》所规定的方法，确定本次环境评价工作等级。</w:t>
      </w:r>
    </w:p>
    <w:p>
      <w:pPr>
        <w:ind w:firstLine="482"/>
        <w:rPr>
          <w:rFonts w:ascii="Times New Roman" w:hAnsi="Times New Roman"/>
          <w:b/>
          <w:color w:val="auto"/>
        </w:rPr>
      </w:pPr>
      <w:r>
        <w:rPr>
          <w:rFonts w:ascii="Times New Roman" w:hAnsi="Times New Roman"/>
          <w:b/>
          <w:color w:val="auto"/>
        </w:rPr>
        <w:t>1、大气环境评价工作等级</w:t>
      </w:r>
    </w:p>
    <w:p>
      <w:pPr>
        <w:ind w:firstLine="480"/>
        <w:rPr>
          <w:rFonts w:ascii="Times New Roman" w:hAnsi="Times New Roman"/>
          <w:color w:val="auto"/>
        </w:rPr>
      </w:pPr>
      <w:r>
        <w:rPr>
          <w:rFonts w:ascii="Times New Roman" w:hAnsi="Times New Roman"/>
          <w:color w:val="auto"/>
        </w:rPr>
        <w:t>根据项目的初步工程分析结果，分别计算每一种污染物的最大地面浓度占标率</w:t>
      </w:r>
      <w:r>
        <w:rPr>
          <w:rFonts w:ascii="Times New Roman" w:hAnsi="Times New Roman"/>
          <w:i/>
          <w:color w:val="auto"/>
        </w:rPr>
        <w:t>P</w:t>
      </w:r>
      <w:r>
        <w:rPr>
          <w:rFonts w:ascii="Times New Roman" w:hAnsi="Times New Roman"/>
          <w:color w:val="auto"/>
          <w:vertAlign w:val="subscript"/>
        </w:rPr>
        <w:t>i</w:t>
      </w:r>
      <w:r>
        <w:rPr>
          <w:rFonts w:ascii="Times New Roman" w:hAnsi="Times New Roman"/>
          <w:color w:val="auto"/>
        </w:rPr>
        <w:t>（第i个污染物），及第i个污染物的地面浓度达标准限值10%时所对应的最远距离D</w:t>
      </w:r>
      <w:r>
        <w:rPr>
          <w:rFonts w:ascii="Times New Roman" w:hAnsi="Times New Roman"/>
          <w:color w:val="auto"/>
          <w:vertAlign w:val="subscript"/>
        </w:rPr>
        <w:t>10%</w:t>
      </w:r>
      <w:r>
        <w:rPr>
          <w:rFonts w:ascii="Times New Roman" w:hAnsi="Times New Roman"/>
          <w:color w:val="auto"/>
        </w:rPr>
        <w:t>。其中</w:t>
      </w:r>
      <w:r>
        <w:rPr>
          <w:rFonts w:ascii="Times New Roman" w:hAnsi="Times New Roman"/>
          <w:i/>
          <w:color w:val="auto"/>
        </w:rPr>
        <w:t>P</w:t>
      </w:r>
      <w:r>
        <w:rPr>
          <w:rFonts w:ascii="Times New Roman" w:hAnsi="Times New Roman"/>
          <w:color w:val="auto"/>
          <w:vertAlign w:val="subscript"/>
        </w:rPr>
        <w:t>i</w:t>
      </w:r>
      <w:r>
        <w:rPr>
          <w:rFonts w:ascii="Times New Roman" w:hAnsi="Times New Roman"/>
          <w:color w:val="auto"/>
        </w:rPr>
        <w:t>定义为：</w:t>
      </w:r>
    </w:p>
    <w:p>
      <w:pPr>
        <w:ind w:firstLine="480"/>
        <w:jc w:val="center"/>
        <w:rPr>
          <w:rFonts w:ascii="Times New Roman" w:hAnsi="Times New Roman"/>
          <w:color w:val="auto"/>
        </w:rPr>
      </w:pPr>
      <w:r>
        <w:rPr>
          <w:rFonts w:ascii="Times New Roman" w:hAnsi="Times New Roman"/>
          <w:color w:val="auto"/>
          <w:position w:val="-24"/>
        </w:rPr>
        <w:object>
          <v:shape id="_x0000_i1025" o:spt="75" type="#_x0000_t75" style="height:30.75pt;width:84.75pt;" o:ole="t" filled="f" o:preferrelative="t" stroked="f" coordsize="21600,21600">
            <v:path/>
            <v:fill on="f" focussize="0,0"/>
            <v:stroke on="f" joinstyle="miter"/>
            <v:imagedata r:id="rId29" o:title=""/>
            <o:lock v:ext="edit" aspectratio="t"/>
            <w10:wrap type="none"/>
            <w10:anchorlock/>
          </v:shape>
          <o:OLEObject Type="Embed" ProgID="Equations" ShapeID="_x0000_i1025" DrawAspect="Content" ObjectID="_1468075725" r:id="rId28">
            <o:LockedField>false</o:LockedField>
          </o:OLEObject>
        </w:object>
      </w:r>
    </w:p>
    <w:p>
      <w:pPr>
        <w:snapToGrid w:val="0"/>
        <w:ind w:firstLine="480"/>
        <w:rPr>
          <w:rFonts w:ascii="Times New Roman" w:hAnsi="Times New Roman"/>
          <w:color w:val="auto"/>
        </w:rPr>
      </w:pPr>
      <w:r>
        <w:rPr>
          <w:rFonts w:ascii="Times New Roman" w:hAnsi="Times New Roman"/>
          <w:color w:val="auto"/>
        </w:rPr>
        <w:t>式中：</w:t>
      </w:r>
      <w:r>
        <w:rPr>
          <w:rFonts w:ascii="Times New Roman" w:hAnsi="Times New Roman"/>
          <w:i/>
          <w:color w:val="auto"/>
        </w:rPr>
        <w:t>P</w:t>
      </w:r>
      <w:r>
        <w:rPr>
          <w:rFonts w:ascii="Times New Roman" w:hAnsi="Times New Roman"/>
          <w:color w:val="auto"/>
          <w:vertAlign w:val="subscript"/>
        </w:rPr>
        <w:t>i</w:t>
      </w:r>
      <w:r>
        <w:rPr>
          <w:rFonts w:ascii="Times New Roman" w:hAnsi="Times New Roman"/>
          <w:color w:val="auto"/>
        </w:rPr>
        <w:t>—第i个污染物的最大地面浓度占标率，%；</w:t>
      </w:r>
    </w:p>
    <w:p>
      <w:pPr>
        <w:snapToGrid w:val="0"/>
        <w:ind w:firstLine="1200" w:firstLineChars="500"/>
        <w:rPr>
          <w:rFonts w:ascii="Times New Roman" w:hAnsi="Times New Roman"/>
          <w:color w:val="auto"/>
        </w:rPr>
      </w:pPr>
      <w:r>
        <w:rPr>
          <w:rFonts w:ascii="Times New Roman" w:hAnsi="Times New Roman"/>
          <w:i/>
          <w:color w:val="auto"/>
        </w:rPr>
        <w:t>C</w:t>
      </w:r>
      <w:r>
        <w:rPr>
          <w:rFonts w:ascii="Times New Roman" w:hAnsi="Times New Roman"/>
          <w:color w:val="auto"/>
          <w:vertAlign w:val="subscript"/>
        </w:rPr>
        <w:t>i</w:t>
      </w:r>
      <w:r>
        <w:rPr>
          <w:rFonts w:ascii="Times New Roman" w:hAnsi="Times New Roman"/>
          <w:color w:val="auto"/>
        </w:rPr>
        <w:t>—采用估算模式计算出的第i个污染物的最大地面浓度，mg/m</w:t>
      </w:r>
      <w:r>
        <w:rPr>
          <w:rFonts w:ascii="Times New Roman" w:hAnsi="Times New Roman"/>
          <w:color w:val="auto"/>
          <w:vertAlign w:val="superscript"/>
        </w:rPr>
        <w:t>3</w:t>
      </w:r>
      <w:r>
        <w:rPr>
          <w:rFonts w:ascii="Times New Roman" w:hAnsi="Times New Roman"/>
          <w:color w:val="auto"/>
        </w:rPr>
        <w:t>；</w:t>
      </w:r>
    </w:p>
    <w:p>
      <w:pPr>
        <w:snapToGrid w:val="0"/>
        <w:ind w:firstLine="1200" w:firstLineChars="500"/>
        <w:rPr>
          <w:rFonts w:ascii="Times New Roman" w:hAnsi="Times New Roman"/>
          <w:color w:val="auto"/>
        </w:rPr>
      </w:pPr>
      <w:r>
        <w:rPr>
          <w:rFonts w:ascii="Times New Roman" w:hAnsi="Times New Roman"/>
          <w:i/>
          <w:color w:val="auto"/>
        </w:rPr>
        <w:t>C</w:t>
      </w:r>
      <w:r>
        <w:rPr>
          <w:rFonts w:ascii="Times New Roman" w:hAnsi="Times New Roman"/>
          <w:color w:val="auto"/>
          <w:vertAlign w:val="subscript"/>
        </w:rPr>
        <w:t>oi</w:t>
      </w:r>
      <w:r>
        <w:rPr>
          <w:rFonts w:ascii="Times New Roman" w:hAnsi="Times New Roman"/>
          <w:color w:val="auto"/>
        </w:rPr>
        <w:t>—第i个污染物的环境空气质量标准，mg/m</w:t>
      </w:r>
      <w:r>
        <w:rPr>
          <w:rFonts w:ascii="Times New Roman" w:hAnsi="Times New Roman"/>
          <w:color w:val="auto"/>
          <w:vertAlign w:val="superscript"/>
        </w:rPr>
        <w:t>3</w:t>
      </w:r>
      <w:r>
        <w:rPr>
          <w:rFonts w:ascii="Times New Roman" w:hAnsi="Times New Roman"/>
          <w:color w:val="auto"/>
        </w:rPr>
        <w:t>。</w:t>
      </w:r>
    </w:p>
    <w:p>
      <w:pPr>
        <w:snapToGrid w:val="0"/>
        <w:ind w:firstLine="1200" w:firstLineChars="500"/>
        <w:rPr>
          <w:rFonts w:ascii="Times New Roman" w:hAnsi="Times New Roman"/>
          <w:color w:val="auto"/>
        </w:rPr>
      </w:pPr>
      <w:r>
        <w:rPr>
          <w:rFonts w:ascii="Times New Roman" w:hAnsi="Times New Roman"/>
          <w:i/>
          <w:color w:val="auto"/>
        </w:rPr>
        <w:t>C</w:t>
      </w:r>
      <w:r>
        <w:rPr>
          <w:rFonts w:ascii="Times New Roman" w:hAnsi="Times New Roman"/>
          <w:color w:val="auto"/>
          <w:vertAlign w:val="subscript"/>
        </w:rPr>
        <w:t>oi</w:t>
      </w:r>
      <w:r>
        <w:rPr>
          <w:rFonts w:ascii="Times New Roman" w:hAnsi="Times New Roman"/>
          <w:color w:val="auto"/>
        </w:rPr>
        <w:t>一般选用GB3095中1小时平均取样时间的二级标准的浓度限值。</w:t>
      </w:r>
    </w:p>
    <w:p>
      <w:pPr>
        <w:snapToGrid w:val="0"/>
        <w:ind w:firstLine="480"/>
        <w:rPr>
          <w:rFonts w:ascii="Times New Roman" w:hAnsi="Times New Roman"/>
          <w:color w:val="auto"/>
        </w:rPr>
      </w:pPr>
      <w:r>
        <w:rPr>
          <w:rFonts w:ascii="Times New Roman" w:hAnsi="Times New Roman"/>
          <w:color w:val="auto"/>
        </w:rPr>
        <w:t>根据导则规定，项目污染物数大于1，取P值中最大的P</w:t>
      </w:r>
      <w:r>
        <w:rPr>
          <w:rFonts w:ascii="Times New Roman" w:hAnsi="Times New Roman"/>
          <w:color w:val="auto"/>
          <w:vertAlign w:val="subscript"/>
        </w:rPr>
        <w:t>max</w:t>
      </w:r>
      <w:r>
        <w:rPr>
          <w:rFonts w:ascii="Times New Roman" w:hAnsi="Times New Roman"/>
          <w:color w:val="auto"/>
        </w:rPr>
        <w:t>作为等级划分依据，大气环境影响评价工作级别划分依据见表2-1</w:t>
      </w:r>
      <w:r>
        <w:rPr>
          <w:rFonts w:hint="eastAsia" w:ascii="Times New Roman" w:hAnsi="Times New Roman"/>
          <w:color w:val="auto"/>
        </w:rPr>
        <w:t>2</w:t>
      </w:r>
      <w:r>
        <w:rPr>
          <w:rFonts w:ascii="Times New Roman" w:hAnsi="Times New Roman"/>
          <w:color w:val="auto"/>
        </w:rPr>
        <w:t>。</w:t>
      </w:r>
    </w:p>
    <w:p>
      <w:pPr>
        <w:numPr>
          <w:ilvl w:val="0"/>
          <w:numId w:val="12"/>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大气环境影响评价工作级别判据</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6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5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评价工作等级</w:t>
            </w:r>
          </w:p>
        </w:tc>
        <w:tc>
          <w:tcPr>
            <w:tcW w:w="67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hd w:val="pct10" w:color="auto" w:fill="FFFFFF"/>
              </w:rPr>
            </w:pPr>
            <w:r>
              <w:rPr>
                <w:rFonts w:ascii="Times New Roman" w:hAnsi="Times New Roman"/>
                <w:color w:val="auto"/>
                <w:sz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5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一级</w:t>
            </w:r>
          </w:p>
        </w:tc>
        <w:tc>
          <w:tcPr>
            <w:tcW w:w="67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hd w:val="pct10" w:color="auto" w:fill="FFFFFF"/>
              </w:rPr>
            </w:pPr>
            <w:r>
              <w:rPr>
                <w:rFonts w:ascii="Times New Roman" w:hAnsi="Times New Roman"/>
                <w:color w:val="auto"/>
                <w:sz w:val="21"/>
              </w:rPr>
              <w:t>Pmax≥</w:t>
            </w:r>
            <w:r>
              <w:rPr>
                <w:rFonts w:hint="eastAsia" w:ascii="Times New Roman" w:hAnsi="Times New Roman"/>
                <w:color w:val="auto"/>
                <w:sz w:val="21"/>
              </w:rPr>
              <w:t>1</w:t>
            </w:r>
            <w:r>
              <w:rPr>
                <w:rFonts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5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二级</w:t>
            </w:r>
          </w:p>
        </w:tc>
        <w:tc>
          <w:tcPr>
            <w:tcW w:w="67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hd w:val="pct10" w:color="auto" w:fill="FFFFFF"/>
              </w:rPr>
            </w:pPr>
            <w:r>
              <w:rPr>
                <w:rFonts w:hint="eastAsia" w:ascii="Times New Roman" w:hAnsi="Times New Roman"/>
                <w:color w:val="auto"/>
                <w:sz w:val="21"/>
              </w:rPr>
              <w:t>1</w:t>
            </w:r>
            <w:r>
              <w:rPr>
                <w:rFonts w:ascii="Times New Roman" w:hAnsi="Times New Roman"/>
                <w:color w:val="auto"/>
                <w:sz w:val="21"/>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5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三级</w:t>
            </w:r>
          </w:p>
        </w:tc>
        <w:tc>
          <w:tcPr>
            <w:tcW w:w="67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Pmax＜</w:t>
            </w:r>
            <w:r>
              <w:rPr>
                <w:rFonts w:hint="eastAsia" w:ascii="Times New Roman" w:hAnsi="Times New Roman"/>
                <w:color w:val="auto"/>
                <w:sz w:val="21"/>
              </w:rPr>
              <w:t>1</w:t>
            </w:r>
            <w:r>
              <w:rPr>
                <w:rFonts w:ascii="Times New Roman" w:hAnsi="Times New Roman"/>
                <w:color w:val="auto"/>
                <w:sz w:val="21"/>
              </w:rPr>
              <w:t xml:space="preserve">% </w:t>
            </w:r>
          </w:p>
        </w:tc>
      </w:tr>
    </w:tbl>
    <w:p>
      <w:pPr>
        <w:snapToGrid w:val="0"/>
        <w:ind w:firstLine="480"/>
        <w:rPr>
          <w:rFonts w:ascii="Times New Roman" w:hAnsi="Times New Roman"/>
          <w:color w:val="auto"/>
        </w:rPr>
      </w:pPr>
      <w:r>
        <w:rPr>
          <w:rFonts w:ascii="Times New Roman" w:hAnsi="Times New Roman"/>
          <w:color w:val="auto"/>
        </w:rPr>
        <w:t>根据《环境影响评价技术导则大气环境》(HJ2.2-20</w:t>
      </w:r>
      <w:r>
        <w:rPr>
          <w:rFonts w:hint="eastAsia" w:ascii="Times New Roman" w:hAnsi="Times New Roman"/>
          <w:color w:val="auto"/>
        </w:rPr>
        <w:t>1</w:t>
      </w:r>
      <w:r>
        <w:rPr>
          <w:rFonts w:ascii="Times New Roman" w:hAnsi="Times New Roman"/>
          <w:color w:val="auto"/>
        </w:rPr>
        <w:t>8)推荐模式中的估算模式对废气污染物进行计算最大地面浓度，并计算相应的浓度占标率，计算结果详见表2-1</w:t>
      </w:r>
      <w:r>
        <w:rPr>
          <w:rFonts w:hint="eastAsia" w:ascii="Times New Roman" w:hAnsi="Times New Roman"/>
          <w:color w:val="auto"/>
        </w:rPr>
        <w:t>3</w:t>
      </w:r>
      <w:r>
        <w:rPr>
          <w:rFonts w:ascii="Times New Roman" w:hAnsi="Times New Roman"/>
          <w:color w:val="auto"/>
        </w:rPr>
        <w:t>。</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 xml:space="preserve">  项目主要污染因子的最大地面浓度及占标率Pi</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323"/>
        <w:gridCol w:w="1604"/>
        <w:gridCol w:w="1111"/>
        <w:gridCol w:w="1272"/>
        <w:gridCol w:w="1616"/>
        <w:gridCol w:w="799"/>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3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形式</w:t>
            </w:r>
          </w:p>
        </w:tc>
        <w:tc>
          <w:tcPr>
            <w:tcW w:w="7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排气筒</w:t>
            </w:r>
            <w:r>
              <w:rPr>
                <w:rFonts w:ascii="Times New Roman" w:hAnsi="Times New Roman"/>
                <w:color w:val="auto"/>
                <w:sz w:val="21"/>
              </w:rPr>
              <w:t>编号</w:t>
            </w: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w:t>
            </w:r>
          </w:p>
        </w:tc>
        <w:tc>
          <w:tcPr>
            <w:tcW w:w="6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最大落地距离（m）</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最大落地浓度（mg/m</w:t>
            </w:r>
            <w:r>
              <w:rPr>
                <w:rFonts w:ascii="Times New Roman" w:hAnsi="Times New Roman"/>
                <w:color w:val="auto"/>
                <w:sz w:val="21"/>
                <w:vertAlign w:val="superscript"/>
              </w:rPr>
              <w:t>3</w:t>
            </w:r>
            <w:r>
              <w:rPr>
                <w:rFonts w:ascii="Times New Roman" w:hAnsi="Times New Roman"/>
                <w:color w:val="auto"/>
                <w:sz w:val="21"/>
              </w:rPr>
              <w:t>）</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最大地面浓度占标率（Pmax）</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D10%</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kern w:val="0"/>
                <w:sz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349"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有组织</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w:t>
            </w:r>
          </w:p>
        </w:tc>
        <w:tc>
          <w:tcPr>
            <w:tcW w:w="73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1#排气筒</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61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350</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0.004697</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0.39</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4.11E-5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0.41</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3.229 E-5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3.229 E-5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5.871 E-5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r>
              <w:rPr>
                <w:rFonts w:ascii="Times New Roman" w:hAnsi="Times New Roman"/>
                <w:color w:val="auto"/>
                <w:sz w:val="21"/>
              </w:rPr>
              <w:t>#排气筒</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6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122</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0.000565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349"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无组织</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w:t>
            </w:r>
          </w:p>
        </w:tc>
        <w:tc>
          <w:tcPr>
            <w:tcW w:w="73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造粒车间</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61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62</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0.03655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3.05</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0.000575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5.75</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0.0002464</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0.49</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0.0002464</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0.0004518</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0.23</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破碎车间</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6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0.05703</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6.34</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二级</w:t>
            </w:r>
          </w:p>
        </w:tc>
      </w:tr>
    </w:tbl>
    <w:p>
      <w:pPr>
        <w:adjustRightInd w:val="0"/>
        <w:snapToGrid w:val="0"/>
        <w:ind w:firstLine="480"/>
        <w:rPr>
          <w:rStyle w:val="782"/>
          <w:rFonts w:hint="default" w:ascii="Times New Roman" w:hAnsi="Times New Roman"/>
          <w:color w:val="auto"/>
        </w:rPr>
      </w:pPr>
      <w:r>
        <w:rPr>
          <w:rStyle w:val="782"/>
          <w:rFonts w:hint="default" w:ascii="Times New Roman" w:hAnsi="Times New Roman"/>
          <w:color w:val="auto"/>
        </w:rPr>
        <w:t>在正常工况下，项目排放废气污染物的最大地面浓度占标率Pi中最大值为6.34%，属于1%≤Pmax&lt;10％，依据《环境影响评价技术导则—大气环境》(HJ2.2-2018)确定大气环境评价等级为二级。</w:t>
      </w:r>
    </w:p>
    <w:p>
      <w:pPr>
        <w:ind w:firstLine="482"/>
        <w:rPr>
          <w:rFonts w:ascii="Times New Roman" w:hAnsi="Times New Roman"/>
          <w:b/>
          <w:color w:val="auto"/>
        </w:rPr>
      </w:pPr>
      <w:r>
        <w:rPr>
          <w:rFonts w:ascii="Times New Roman" w:hAnsi="Times New Roman"/>
          <w:b/>
          <w:color w:val="auto"/>
        </w:rPr>
        <w:t>2、水环境评价工作等级</w:t>
      </w:r>
    </w:p>
    <w:p>
      <w:pPr>
        <w:adjustRightInd w:val="0"/>
        <w:snapToGrid w:val="0"/>
        <w:ind w:firstLine="480"/>
        <w:rPr>
          <w:rFonts w:ascii="Times New Roman" w:hAnsi="Times New Roman"/>
          <w:color w:val="auto"/>
        </w:rPr>
      </w:pPr>
      <w:r>
        <w:rPr>
          <w:rFonts w:hint="eastAsia" w:ascii="Times New Roman" w:hAnsi="Times New Roman"/>
          <w:color w:val="auto"/>
        </w:rPr>
        <w:t>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污水处理厂提标工程尚未验收完成，故其近期出水执行《城镇污水处理厂污染物排放标准》（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）二级排放标准，远期待验收完成执行《城镇污水处理厂污染物排放标准》（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）一级A标准。</w:t>
      </w:r>
    </w:p>
    <w:p>
      <w:pPr>
        <w:ind w:firstLine="480"/>
        <w:rPr>
          <w:rFonts w:ascii="Times New Roman" w:hAnsi="Times New Roman"/>
          <w:color w:val="auto"/>
        </w:rPr>
      </w:pPr>
      <w:r>
        <w:rPr>
          <w:rFonts w:hint="eastAsia" w:ascii="Times New Roman" w:hAnsi="Times New Roman"/>
          <w:color w:val="auto"/>
        </w:rPr>
        <w:t>根据</w:t>
      </w:r>
      <w:r>
        <w:rPr>
          <w:rFonts w:ascii="Times New Roman" w:hAnsi="Times New Roman"/>
          <w:color w:val="auto"/>
        </w:rPr>
        <w:t>《环境影响评价技术导则——地</w:t>
      </w:r>
      <w:r>
        <w:rPr>
          <w:rFonts w:hint="eastAsia" w:ascii="Times New Roman" w:hAnsi="Times New Roman"/>
          <w:color w:val="auto"/>
        </w:rPr>
        <w:t>表</w:t>
      </w:r>
      <w:r>
        <w:rPr>
          <w:rFonts w:ascii="Times New Roman" w:hAnsi="Times New Roman"/>
          <w:color w:val="auto"/>
        </w:rPr>
        <w:t>水环境》，HJ/T2.3-</w:t>
      </w:r>
      <w:r>
        <w:rPr>
          <w:rFonts w:hint="eastAsia" w:ascii="Times New Roman" w:hAnsi="Times New Roman"/>
          <w:color w:val="auto"/>
        </w:rPr>
        <w:t>2018中有关地表水评价分级判据，根据导则5.2中评价等级确定：间接排放建设项目评价等级为三级</w:t>
      </w:r>
      <w:r>
        <w:rPr>
          <w:rFonts w:ascii="Times New Roman" w:hAnsi="Times New Roman"/>
          <w:color w:val="auto"/>
        </w:rPr>
        <w:t>B</w:t>
      </w:r>
      <w:r>
        <w:rPr>
          <w:rFonts w:hint="eastAsia" w:ascii="Times New Roman" w:hAnsi="Times New Roman"/>
          <w:color w:val="auto"/>
        </w:rPr>
        <w:t>。</w:t>
      </w:r>
    </w:p>
    <w:p>
      <w:pPr>
        <w:ind w:firstLine="482"/>
        <w:rPr>
          <w:rFonts w:ascii="Times New Roman" w:hAnsi="Times New Roman"/>
          <w:b/>
          <w:color w:val="auto"/>
        </w:rPr>
      </w:pPr>
      <w:r>
        <w:rPr>
          <w:rFonts w:ascii="Times New Roman" w:hAnsi="Times New Roman"/>
          <w:b/>
          <w:color w:val="auto"/>
        </w:rPr>
        <w:t>3、声环境评价工作等级</w:t>
      </w:r>
    </w:p>
    <w:p>
      <w:pPr>
        <w:ind w:firstLine="480"/>
        <w:rPr>
          <w:rFonts w:ascii="Times New Roman" w:hAnsi="Times New Roman"/>
          <w:color w:val="auto"/>
          <w:szCs w:val="24"/>
        </w:rPr>
      </w:pPr>
      <w:r>
        <w:rPr>
          <w:rFonts w:ascii="Times New Roman" w:hAnsi="Times New Roman"/>
          <w:color w:val="auto"/>
        </w:rPr>
        <w:t>根据《声环境功能区划分技术规范》（GB/T15190-2014）、 《声环境质量标准》</w:t>
      </w:r>
      <w:r>
        <w:rPr>
          <w:rFonts w:hint="eastAsia" w:ascii="Times New Roman" w:hAnsi="Times New Roman"/>
          <w:color w:val="auto"/>
          <w:szCs w:val="24"/>
        </w:rPr>
        <w:br w:type="textWrapping"/>
      </w:r>
      <w:r>
        <w:rPr>
          <w:rFonts w:ascii="Times New Roman" w:hAnsi="Times New Roman"/>
          <w:color w:val="auto"/>
        </w:rPr>
        <w:t>（GB3096-2008） 及《环境影响评价技术导则 声环境》（HJ2.4-2009）， 项目区域属于《声环境质量标准》（GB3096-2008）中 3 类，且本项目建设前后敏感目标噪声级增高量在3dB(A)以下，且受影响人口数量变化不大，因此确定评价等级为三级。</w:t>
      </w:r>
    </w:p>
    <w:p>
      <w:pPr>
        <w:ind w:firstLine="482"/>
        <w:rPr>
          <w:rFonts w:ascii="Times New Roman" w:hAnsi="Times New Roman"/>
          <w:b/>
          <w:color w:val="auto"/>
        </w:rPr>
      </w:pPr>
      <w:r>
        <w:rPr>
          <w:rFonts w:ascii="Times New Roman" w:hAnsi="Times New Roman"/>
          <w:b/>
          <w:color w:val="auto"/>
        </w:rPr>
        <w:t>4、地下水评价工作等级</w:t>
      </w:r>
    </w:p>
    <w:p>
      <w:pPr>
        <w:ind w:firstLine="480"/>
        <w:rPr>
          <w:rFonts w:ascii="Times New Roman" w:hAnsi="Times New Roman"/>
          <w:color w:val="auto"/>
        </w:rPr>
      </w:pPr>
      <w:r>
        <w:rPr>
          <w:rFonts w:hint="eastAsia" w:ascii="Times New Roman" w:hAnsi="Times New Roman"/>
          <w:color w:val="auto"/>
          <w:szCs w:val="24"/>
        </w:rPr>
        <w:t>根据《环境影响评价技术导则地下水环境》（HJ610-2016）中一般原则性要求，根据建设项目对地下水环境影响的程度，结合《建设项目环境影响评价分类管理名录》，将建设项目分为四类。I类、II类、III类建设项目的地下水环境影响评价应执行本标准，IV类建设项目不开展地下水环境影响评价</w:t>
      </w:r>
      <w:r>
        <w:rPr>
          <w:rFonts w:ascii="Times New Roman" w:hAnsi="Times New Roman"/>
          <w:color w:val="auto"/>
        </w:rPr>
        <w:t>。</w:t>
      </w:r>
    </w:p>
    <w:p>
      <w:pPr>
        <w:ind w:firstLine="480"/>
        <w:rPr>
          <w:rFonts w:ascii="Times New Roman" w:hAnsi="Times New Roman"/>
          <w:color w:val="auto"/>
          <w:szCs w:val="24"/>
        </w:rPr>
      </w:pPr>
      <w:r>
        <w:rPr>
          <w:rFonts w:hint="eastAsia" w:ascii="Times New Roman" w:hAnsi="Times New Roman"/>
          <w:color w:val="auto"/>
        </w:rPr>
        <w:t>本项目为废塑料回收综合利用项目，属于“废旧资源（含生物质）加工再生、利用</w:t>
      </w:r>
      <w:r>
        <w:rPr>
          <w:rFonts w:ascii="Times New Roman" w:hAnsi="Times New Roman"/>
          <w:color w:val="auto"/>
        </w:rPr>
        <w:t>”中</w:t>
      </w:r>
      <w:r>
        <w:rPr>
          <w:rFonts w:hint="eastAsia" w:ascii="Times New Roman" w:hAnsi="Times New Roman"/>
          <w:color w:val="auto"/>
        </w:rPr>
        <w:t>的</w:t>
      </w:r>
      <w:r>
        <w:rPr>
          <w:rFonts w:ascii="Times New Roman" w:hAnsi="Times New Roman"/>
          <w:color w:val="auto"/>
        </w:rPr>
        <w:t>“</w:t>
      </w:r>
      <w:r>
        <w:rPr>
          <w:rFonts w:hint="eastAsia" w:ascii="Times New Roman" w:hAnsi="Times New Roman"/>
          <w:color w:val="auto"/>
        </w:rPr>
        <w:t>废电子电器产品、废电池、废汽车、废电机、废五金、废塑料（除分拣清洗工艺的）、废油、废船、废轮胎等加工、再生利用</w:t>
      </w:r>
      <w:r>
        <w:rPr>
          <w:rFonts w:ascii="Times New Roman" w:hAnsi="Times New Roman"/>
          <w:color w:val="auto"/>
        </w:rPr>
        <w:t>”</w:t>
      </w:r>
      <w:r>
        <w:rPr>
          <w:rFonts w:hint="eastAsia" w:ascii="Times New Roman" w:hAnsi="Times New Roman"/>
          <w:color w:val="auto"/>
        </w:rPr>
        <w:t>类别，</w:t>
      </w:r>
      <w:r>
        <w:rPr>
          <w:rFonts w:hint="eastAsia" w:ascii="Times New Roman" w:hAnsi="Times New Roman"/>
          <w:color w:val="auto"/>
          <w:szCs w:val="24"/>
        </w:rPr>
        <w:t>根据导则中附录A地下水环境影响评价行业分类表，本项目属于“危废I类，其余III类”中的“其余III类”。</w:t>
      </w:r>
    </w:p>
    <w:p>
      <w:pPr>
        <w:numPr>
          <w:ilvl w:val="0"/>
          <w:numId w:val="12"/>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地下水环境敏感程度分级表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7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敏感程度</w:t>
            </w:r>
          </w:p>
        </w:tc>
        <w:tc>
          <w:tcPr>
            <w:tcW w:w="7889" w:type="dxa"/>
            <w:vAlign w:val="center"/>
          </w:tcPr>
          <w:p>
            <w:pPr>
              <w:keepNext w:val="0"/>
              <w:keepLines w:val="0"/>
              <w:suppressLineNumbers w:val="0"/>
              <w:adjustRightInd w:val="0"/>
              <w:snapToGrid w:val="0"/>
              <w:spacing w:before="0" w:beforeAutospacing="0" w:after="0" w:afterAutospacing="0" w:line="240" w:lineRule="auto"/>
              <w:ind w:left="0" w:right="0" w:firstLine="482" w:firstLineChars="0"/>
              <w:jc w:val="center"/>
              <w:rPr>
                <w:rFonts w:ascii="Times New Roman" w:hAnsi="Times New Roman"/>
                <w:color w:val="auto"/>
                <w:sz w:val="21"/>
              </w:rPr>
            </w:pPr>
            <w:r>
              <w:rPr>
                <w:rFonts w:hint="eastAsia" w:ascii="Times New Roman" w:hAnsi="Times New Roman"/>
                <w:color w:val="auto"/>
                <w:sz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敏感</w:t>
            </w:r>
          </w:p>
        </w:tc>
        <w:tc>
          <w:tcPr>
            <w:tcW w:w="788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较敏感</w:t>
            </w:r>
          </w:p>
        </w:tc>
        <w:tc>
          <w:tcPr>
            <w:tcW w:w="788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ascii="Times New Roman" w:hAnsi="Times New Roman"/>
                <w:color w:val="auto"/>
                <w:sz w:val="21"/>
              </w:rPr>
              <w:t>a</w:t>
            </w: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不敏感</w:t>
            </w:r>
          </w:p>
        </w:tc>
        <w:tc>
          <w:tcPr>
            <w:tcW w:w="788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0"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注：</w:t>
            </w:r>
            <w:r>
              <w:rPr>
                <w:rFonts w:ascii="Times New Roman" w:hAnsi="Times New Roman"/>
                <w:color w:val="auto"/>
                <w:sz w:val="21"/>
              </w:rPr>
              <w:t>a</w:t>
            </w:r>
            <w:r>
              <w:rPr>
                <w:rFonts w:hint="eastAsia" w:ascii="Times New Roman" w:hAnsi="Times New Roman"/>
                <w:color w:val="auto"/>
                <w:sz w:val="21"/>
              </w:rPr>
              <w:t>“环境敏感区”是指《建设项目环境影响评价分类管理名录》中所界定的涉及地下水的环境敏感区。</w:t>
            </w:r>
          </w:p>
        </w:tc>
      </w:tr>
    </w:tbl>
    <w:p>
      <w:pPr>
        <w:numPr>
          <w:ilvl w:val="0"/>
          <w:numId w:val="12"/>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评价工作等级分级表</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5" w:type="dxa"/>
            <w:tcBorders>
              <w:tl2br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right"/>
              <w:rPr>
                <w:rFonts w:ascii="Times New Roman" w:hAnsi="Times New Roman"/>
                <w:color w:val="auto"/>
                <w:sz w:val="21"/>
              </w:rPr>
            </w:pPr>
            <w:r>
              <w:rPr>
                <w:rFonts w:hint="eastAsia" w:ascii="Times New Roman" w:hAnsi="Times New Roman"/>
                <w:color w:val="auto"/>
                <w:sz w:val="21"/>
              </w:rPr>
              <w:t>项目类别</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color w:val="auto"/>
                <w:sz w:val="21"/>
              </w:rPr>
            </w:pPr>
            <w:r>
              <w:rPr>
                <w:rFonts w:hint="eastAsia" w:ascii="Times New Roman" w:hAnsi="Times New Roman"/>
                <w:color w:val="auto"/>
                <w:sz w:val="21"/>
              </w:rPr>
              <w:t>环境敏感程度</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I类项目</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II类项目</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III类项目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敏感</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较敏感</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不敏感</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w:t>
            </w:r>
          </w:p>
        </w:tc>
        <w:tc>
          <w:tcPr>
            <w:tcW w:w="226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w:t>
            </w:r>
          </w:p>
        </w:tc>
      </w:tr>
    </w:tbl>
    <w:p>
      <w:pPr>
        <w:ind w:firstLine="480"/>
        <w:rPr>
          <w:rFonts w:ascii="Times New Roman" w:hAnsi="Times New Roman"/>
          <w:color w:val="auto"/>
        </w:rPr>
      </w:pPr>
      <w:r>
        <w:rPr>
          <w:rFonts w:hint="eastAsia" w:ascii="Times New Roman" w:hAnsi="Times New Roman"/>
          <w:color w:val="auto"/>
        </w:rPr>
        <w:t>根据表2-17及2-18中划分依据，本项目为III类建设项目，地下水环境分级为不敏感，故地下水评价等级为三级。</w:t>
      </w:r>
    </w:p>
    <w:p>
      <w:pPr>
        <w:ind w:firstLine="482"/>
        <w:rPr>
          <w:rFonts w:ascii="Times New Roman" w:hAnsi="Times New Roman"/>
          <w:b/>
          <w:color w:val="auto"/>
        </w:rPr>
      </w:pPr>
      <w:r>
        <w:rPr>
          <w:rFonts w:ascii="Times New Roman" w:hAnsi="Times New Roman"/>
          <w:b/>
          <w:color w:val="auto"/>
        </w:rPr>
        <w:t>5、风险评价等级</w:t>
      </w:r>
    </w:p>
    <w:p>
      <w:pPr>
        <w:ind w:firstLine="480"/>
        <w:rPr>
          <w:rFonts w:ascii="Times New Roman" w:hAnsi="Times New Roman"/>
          <w:color w:val="auto"/>
        </w:rPr>
      </w:pPr>
      <w:r>
        <w:rPr>
          <w:rFonts w:hint="eastAsia" w:ascii="Times New Roman" w:hAnsi="Times New Roman"/>
          <w:color w:val="auto"/>
        </w:rPr>
        <w:t>对照《建设项目环境风险评价技术导则》（</w:t>
      </w:r>
      <w:r>
        <w:rPr>
          <w:rFonts w:ascii="Times New Roman" w:hAnsi="Times New Roman"/>
          <w:color w:val="auto"/>
        </w:rPr>
        <w:t>HJ169-2018）表 B.1 突发环境事件风险物质表可知，</w:t>
      </w:r>
      <w:r>
        <w:rPr>
          <w:rFonts w:hint="eastAsia" w:ascii="Times New Roman" w:hAnsi="Times New Roman"/>
          <w:color w:val="auto"/>
        </w:rPr>
        <w:t>本项目涉及表</w:t>
      </w:r>
      <w:r>
        <w:rPr>
          <w:rFonts w:ascii="Times New Roman" w:hAnsi="Times New Roman"/>
          <w:color w:val="auto"/>
        </w:rPr>
        <w:t xml:space="preserve"> B.1 中的</w:t>
      </w:r>
      <w:r>
        <w:rPr>
          <w:rFonts w:hint="eastAsia" w:ascii="Times New Roman" w:hAnsi="Times New Roman"/>
          <w:color w:val="auto"/>
        </w:rPr>
        <w:t>油类物质（废齿轮油、油烟处理收集的废油）</w:t>
      </w:r>
      <w:r>
        <w:rPr>
          <w:rFonts w:ascii="Times New Roman" w:hAnsi="Times New Roman"/>
          <w:color w:val="auto"/>
        </w:rPr>
        <w:t>，</w:t>
      </w:r>
      <w:r>
        <w:rPr>
          <w:rFonts w:hint="eastAsia" w:ascii="Times New Roman" w:hAnsi="Times New Roman"/>
          <w:color w:val="auto"/>
        </w:rPr>
        <w:t>根据计算，</w:t>
      </w:r>
      <w:r>
        <w:rPr>
          <w:rFonts w:ascii="Times New Roman" w:hAnsi="Times New Roman"/>
          <w:color w:val="auto"/>
        </w:rPr>
        <w:t>Q值为0.00</w:t>
      </w:r>
      <w:r>
        <w:rPr>
          <w:rFonts w:hint="eastAsia" w:ascii="Times New Roman" w:hAnsi="Times New Roman"/>
          <w:color w:val="auto"/>
        </w:rPr>
        <w:t>4</w:t>
      </w:r>
      <w:r>
        <w:rPr>
          <w:rFonts w:ascii="Times New Roman" w:hAnsi="Times New Roman"/>
          <w:color w:val="auto"/>
        </w:rPr>
        <w:t>&lt;1，故本项目环境风险潜势为</w:t>
      </w:r>
      <w:r>
        <w:rPr>
          <w:rFonts w:hint="eastAsia" w:ascii="Times New Roman" w:hAnsi="Times New Roman"/>
          <w:color w:val="auto"/>
        </w:rPr>
        <w:t>Ⅰ，可开展简单分析</w:t>
      </w:r>
      <w:r>
        <w:rPr>
          <w:rFonts w:ascii="Times New Roman" w:hAnsi="Times New Roman"/>
          <w:color w:val="auto"/>
        </w:rPr>
        <w:t>。</w:t>
      </w:r>
    </w:p>
    <w:p>
      <w:pPr>
        <w:ind w:firstLine="482"/>
        <w:rPr>
          <w:rFonts w:ascii="Times New Roman" w:hAnsi="Times New Roman"/>
          <w:b/>
          <w:color w:val="auto"/>
        </w:rPr>
      </w:pPr>
      <w:r>
        <w:rPr>
          <w:rFonts w:hint="eastAsia" w:ascii="Times New Roman" w:hAnsi="Times New Roman"/>
          <w:b/>
          <w:color w:val="auto"/>
        </w:rPr>
        <w:t>6、土壤评价等级</w:t>
      </w:r>
    </w:p>
    <w:p>
      <w:pPr>
        <w:widowControl/>
        <w:ind w:firstLine="480"/>
        <w:rPr>
          <w:rFonts w:ascii="Times New Roman" w:hAnsi="Times New Roman"/>
          <w:color w:val="auto"/>
          <w:szCs w:val="24"/>
        </w:rPr>
      </w:pPr>
      <w:r>
        <w:rPr>
          <w:rFonts w:ascii="Times New Roman" w:hAnsi="Times New Roman"/>
          <w:color w:val="auto"/>
          <w:szCs w:val="24"/>
        </w:rPr>
        <w:t>根据《环境影响评价技术导则 土壤环境》（HJ964-2018），土</w:t>
      </w:r>
      <w:r>
        <w:rPr>
          <w:rFonts w:hint="eastAsia" w:ascii="Times New Roman" w:hAnsi="Times New Roman"/>
          <w:color w:val="auto"/>
          <w:szCs w:val="24"/>
        </w:rPr>
        <w:t>壤</w:t>
      </w:r>
      <w:r>
        <w:rPr>
          <w:rFonts w:ascii="Times New Roman" w:hAnsi="Times New Roman"/>
          <w:color w:val="auto"/>
          <w:szCs w:val="24"/>
        </w:rPr>
        <w:t>环境评价工作等级的划分</w:t>
      </w:r>
      <w:r>
        <w:rPr>
          <w:rFonts w:hint="eastAsia" w:ascii="Times New Roman" w:hAnsi="Times New Roman"/>
          <w:color w:val="auto"/>
          <w:szCs w:val="24"/>
        </w:rPr>
        <w:t>根据土壤环境影响评价项目类别、占地规模与敏感程度</w:t>
      </w:r>
      <w:r>
        <w:rPr>
          <w:rFonts w:ascii="Times New Roman" w:hAnsi="Times New Roman"/>
          <w:color w:val="auto"/>
          <w:szCs w:val="24"/>
        </w:rPr>
        <w:t>。</w:t>
      </w:r>
    </w:p>
    <w:p>
      <w:pPr>
        <w:ind w:firstLine="496"/>
        <w:rPr>
          <w:rFonts w:ascii="Times New Roman" w:hAnsi="Times New Roman"/>
          <w:color w:val="auto"/>
          <w:spacing w:val="4"/>
          <w:szCs w:val="24"/>
        </w:rPr>
      </w:pPr>
      <w:r>
        <w:rPr>
          <w:rFonts w:ascii="Times New Roman" w:hAnsi="Times New Roman"/>
          <w:color w:val="auto"/>
          <w:spacing w:val="4"/>
          <w:szCs w:val="24"/>
        </w:rPr>
        <w:t>本项目</w:t>
      </w:r>
      <w:r>
        <w:rPr>
          <w:rFonts w:hint="eastAsia" w:ascii="Times New Roman" w:hAnsi="Times New Roman"/>
          <w:color w:val="auto"/>
          <w:spacing w:val="4"/>
          <w:szCs w:val="24"/>
        </w:rPr>
        <w:t>土壤</w:t>
      </w:r>
      <w:r>
        <w:rPr>
          <w:rFonts w:ascii="Times New Roman" w:hAnsi="Times New Roman"/>
          <w:color w:val="auto"/>
          <w:spacing w:val="4"/>
          <w:szCs w:val="24"/>
        </w:rPr>
        <w:t>环境影响评价工作等级划分依据见表2-1</w:t>
      </w:r>
      <w:r>
        <w:rPr>
          <w:rFonts w:hint="eastAsia" w:ascii="Times New Roman" w:hAnsi="Times New Roman"/>
          <w:color w:val="auto"/>
          <w:spacing w:val="4"/>
          <w:szCs w:val="24"/>
        </w:rPr>
        <w:t>6</w:t>
      </w:r>
      <w:r>
        <w:rPr>
          <w:rFonts w:ascii="Times New Roman" w:hAnsi="Times New Roman"/>
          <w:color w:val="auto"/>
          <w:spacing w:val="4"/>
          <w:szCs w:val="24"/>
        </w:rPr>
        <w:t>和表2-</w:t>
      </w:r>
      <w:r>
        <w:rPr>
          <w:rFonts w:hint="eastAsia" w:ascii="Times New Roman" w:hAnsi="Times New Roman"/>
          <w:color w:val="auto"/>
          <w:spacing w:val="4"/>
          <w:szCs w:val="24"/>
        </w:rPr>
        <w:t>17</w:t>
      </w:r>
      <w:r>
        <w:rPr>
          <w:rFonts w:ascii="Times New Roman" w:hAnsi="Times New Roman"/>
          <w:color w:val="auto"/>
          <w:spacing w:val="4"/>
          <w:szCs w:val="24"/>
        </w:rPr>
        <w:t>。</w:t>
      </w:r>
    </w:p>
    <w:p>
      <w:pPr>
        <w:numPr>
          <w:ilvl w:val="0"/>
          <w:numId w:val="12"/>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污染影响型敏感程度分级表</w:t>
      </w:r>
    </w:p>
    <w:p>
      <w:pPr>
        <w:ind w:firstLine="480"/>
        <w:rPr>
          <w:rFonts w:ascii="Times New Roman" w:hAnsi="Times New Roman"/>
          <w:color w:val="auto"/>
          <w:szCs w:val="24"/>
        </w:rPr>
      </w:pPr>
      <w:r>
        <w:rPr>
          <w:rFonts w:ascii="Times New Roman" w:hAnsi="Times New Roman"/>
          <w:color w:val="auto"/>
          <w:szCs w:val="24"/>
        </w:rPr>
        <w:drawing>
          <wp:inline distT="0" distB="0" distL="0" distR="0">
            <wp:extent cx="5267325" cy="971550"/>
            <wp:effectExtent l="1905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30" cstate="print"/>
                    <a:srcRect/>
                    <a:stretch>
                      <a:fillRect/>
                    </a:stretch>
                  </pic:blipFill>
                  <pic:spPr>
                    <a:xfrm>
                      <a:off x="0" y="0"/>
                      <a:ext cx="5267325" cy="971550"/>
                    </a:xfrm>
                    <a:prstGeom prst="rect">
                      <a:avLst/>
                    </a:prstGeom>
                    <a:noFill/>
                    <a:ln w="9525">
                      <a:noFill/>
                      <a:miter lim="800000"/>
                      <a:headEnd/>
                      <a:tailEnd/>
                    </a:ln>
                  </pic:spPr>
                </pic:pic>
              </a:graphicData>
            </a:graphic>
          </wp:inline>
        </w:drawing>
      </w:r>
    </w:p>
    <w:p>
      <w:pPr>
        <w:numPr>
          <w:ilvl w:val="0"/>
          <w:numId w:val="12"/>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污染影响型评价工作等级划分表</w:t>
      </w:r>
    </w:p>
    <w:p>
      <w:pPr>
        <w:spacing w:line="240" w:lineRule="auto"/>
        <w:ind w:firstLine="480"/>
        <w:rPr>
          <w:rFonts w:ascii="Times New Roman" w:hAnsi="Times New Roman"/>
          <w:color w:val="auto"/>
          <w:spacing w:val="4"/>
          <w:szCs w:val="24"/>
        </w:rPr>
      </w:pPr>
      <w:r>
        <w:rPr>
          <w:rFonts w:ascii="Times New Roman" w:hAnsi="Times New Roman"/>
          <w:color w:val="auto"/>
          <w:szCs w:val="24"/>
        </w:rPr>
        <w:drawing>
          <wp:inline distT="0" distB="0" distL="0" distR="0">
            <wp:extent cx="5276850" cy="1362075"/>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31" cstate="print"/>
                    <a:srcRect/>
                    <a:stretch>
                      <a:fillRect/>
                    </a:stretch>
                  </pic:blipFill>
                  <pic:spPr>
                    <a:xfrm>
                      <a:off x="0" y="0"/>
                      <a:ext cx="5276850" cy="1362075"/>
                    </a:xfrm>
                    <a:prstGeom prst="rect">
                      <a:avLst/>
                    </a:prstGeom>
                    <a:noFill/>
                    <a:ln w="9525">
                      <a:noFill/>
                      <a:miter lim="800000"/>
                      <a:headEnd/>
                      <a:tailEnd/>
                    </a:ln>
                  </pic:spPr>
                </pic:pic>
              </a:graphicData>
            </a:graphic>
          </wp:inline>
        </w:drawing>
      </w:r>
    </w:p>
    <w:p>
      <w:pPr>
        <w:widowControl/>
        <w:ind w:firstLine="480"/>
        <w:rPr>
          <w:rFonts w:ascii="Times New Roman" w:hAnsi="Times New Roman"/>
          <w:color w:val="auto"/>
        </w:rPr>
      </w:pPr>
      <w:r>
        <w:rPr>
          <w:rFonts w:ascii="Times New Roman" w:hAnsi="Times New Roman"/>
          <w:color w:val="auto"/>
        </w:rPr>
        <w:t>根据《环境影响评价技术导则—土壤环境（试行）》（HJ610--2018)附录A（规范性附录）土壤环境影响评价项目类别，</w:t>
      </w:r>
      <w:r>
        <w:rPr>
          <w:rFonts w:hint="eastAsia" w:ascii="Times New Roman" w:hAnsi="Times New Roman"/>
          <w:color w:val="auto"/>
        </w:rPr>
        <w:t>本</w:t>
      </w:r>
      <w:r>
        <w:rPr>
          <w:rFonts w:ascii="Times New Roman" w:hAnsi="Times New Roman"/>
          <w:color w:val="auto"/>
        </w:rPr>
        <w:t>项目属于其中</w:t>
      </w:r>
      <w:r>
        <w:rPr>
          <w:rFonts w:hint="eastAsia" w:ascii="Times New Roman" w:hAnsi="Times New Roman"/>
          <w:color w:val="auto"/>
          <w:szCs w:val="24"/>
        </w:rPr>
        <w:t>“</w:t>
      </w:r>
      <w:r>
        <w:rPr>
          <w:rFonts w:hint="eastAsia" w:ascii="Times New Roman" w:hAnsi="Times New Roman"/>
          <w:color w:val="auto"/>
        </w:rPr>
        <w:t>环境和公共管理业”中的“废旧资源加工、再生利用”类</w:t>
      </w:r>
      <w:r>
        <w:rPr>
          <w:rFonts w:ascii="Times New Roman" w:hAnsi="Times New Roman"/>
          <w:color w:val="auto"/>
        </w:rPr>
        <w:t>，土壤环境影响评价类别为</w:t>
      </w:r>
      <w:r>
        <w:rPr>
          <w:rFonts w:hint="eastAsia" w:ascii="Times New Roman" w:hAnsi="Times New Roman"/>
          <w:color w:val="auto"/>
        </w:rPr>
        <w:t>II</w:t>
      </w:r>
      <w:r>
        <w:rPr>
          <w:rFonts w:ascii="Times New Roman" w:hAnsi="Times New Roman"/>
          <w:color w:val="auto"/>
        </w:rPr>
        <w:t>I类；根据《环境影响评价技术导则—土壤环境（试行）》（HJ610--2018)中污染影响型敏感程度分级表，</w:t>
      </w:r>
      <w:r>
        <w:rPr>
          <w:rFonts w:ascii="Times New Roman" w:hAnsi="Times New Roman"/>
          <w:color w:val="auto"/>
          <w:szCs w:val="24"/>
        </w:rPr>
        <w:t>本项目位于</w:t>
      </w:r>
      <w:r>
        <w:rPr>
          <w:rFonts w:ascii="Times New Roman" w:hAnsi="Times New Roman"/>
          <w:color w:val="auto"/>
        </w:rPr>
        <w:t>温州市龙港</w:t>
      </w:r>
      <w:r>
        <w:rPr>
          <w:rFonts w:hint="eastAsia" w:ascii="Times New Roman" w:hAnsi="Times New Roman"/>
          <w:color w:val="auto"/>
        </w:rPr>
        <w:t>临港产业基地启动区</w:t>
      </w:r>
      <w:r>
        <w:rPr>
          <w:rFonts w:ascii="Times New Roman" w:hAnsi="Times New Roman"/>
          <w:color w:val="auto"/>
        </w:rPr>
        <w:t>，属于工业区，</w:t>
      </w:r>
      <w:r>
        <w:rPr>
          <w:rFonts w:hint="eastAsia" w:ascii="Times New Roman" w:hAnsi="Times New Roman"/>
          <w:color w:val="auto"/>
        </w:rPr>
        <w:t>50m内无土壤环境保护目标，</w:t>
      </w:r>
      <w:r>
        <w:rPr>
          <w:rFonts w:ascii="Times New Roman" w:hAnsi="Times New Roman"/>
          <w:color w:val="auto"/>
          <w:szCs w:val="24"/>
        </w:rPr>
        <w:t>土壤环境敏感程度为</w:t>
      </w:r>
      <w:r>
        <w:rPr>
          <w:rFonts w:hint="eastAsia" w:ascii="Times New Roman" w:hAnsi="Times New Roman"/>
          <w:color w:val="auto"/>
          <w:szCs w:val="24"/>
        </w:rPr>
        <w:t>不</w:t>
      </w:r>
      <w:r>
        <w:rPr>
          <w:rFonts w:ascii="Times New Roman" w:hAnsi="Times New Roman"/>
          <w:color w:val="auto"/>
          <w:szCs w:val="24"/>
        </w:rPr>
        <w:t>敏感</w:t>
      </w:r>
      <w:r>
        <w:rPr>
          <w:rFonts w:ascii="Times New Roman" w:hAnsi="Times New Roman"/>
          <w:color w:val="auto"/>
        </w:rPr>
        <w:t>；</w:t>
      </w:r>
      <w:r>
        <w:rPr>
          <w:rFonts w:hint="eastAsia" w:ascii="Times New Roman" w:hAnsi="Times New Roman"/>
          <w:color w:val="auto"/>
        </w:rPr>
        <w:t>本</w:t>
      </w:r>
      <w:r>
        <w:rPr>
          <w:rFonts w:ascii="Times New Roman" w:hAnsi="Times New Roman"/>
          <w:color w:val="auto"/>
        </w:rPr>
        <w:t>项目占地面积约为</w:t>
      </w:r>
      <w:r>
        <w:rPr>
          <w:rFonts w:hint="eastAsia" w:ascii="Times New Roman" w:hAnsi="Times New Roman"/>
          <w:color w:val="auto"/>
        </w:rPr>
        <w:t>900</w:t>
      </w:r>
      <w:r>
        <w:rPr>
          <w:rFonts w:ascii="Times New Roman" w:hAnsi="Times New Roman"/>
          <w:color w:val="auto"/>
        </w:rPr>
        <w:t>m</w:t>
      </w:r>
      <w:r>
        <w:rPr>
          <w:rFonts w:ascii="Times New Roman" w:hAnsi="Times New Roman"/>
          <w:color w:val="auto"/>
          <w:vertAlign w:val="superscript"/>
        </w:rPr>
        <w:t>2</w:t>
      </w:r>
      <w:r>
        <w:rPr>
          <w:rFonts w:ascii="Times New Roman" w:hAnsi="Times New Roman"/>
          <w:color w:val="auto"/>
        </w:rPr>
        <w:t>≤5hm</w:t>
      </w:r>
      <w:r>
        <w:rPr>
          <w:rFonts w:ascii="Times New Roman" w:hAnsi="Times New Roman"/>
          <w:color w:val="auto"/>
          <w:vertAlign w:val="superscript"/>
        </w:rPr>
        <w:t>2</w:t>
      </w:r>
      <w:r>
        <w:rPr>
          <w:rFonts w:ascii="Times New Roman" w:hAnsi="Times New Roman"/>
          <w:color w:val="auto"/>
        </w:rPr>
        <w:t>，故建设项目占地规模为小型用地。结合上述条件，对照《环境影响评价技术导则—土壤环境（试行）》（HJ610--2018)中评价工作等级划分依据，本项目</w:t>
      </w:r>
      <w:r>
        <w:rPr>
          <w:rFonts w:hint="eastAsia" w:ascii="Times New Roman" w:hAnsi="Times New Roman"/>
          <w:color w:val="auto"/>
        </w:rPr>
        <w:t>可不开展土壤环境影响评价工作</w:t>
      </w:r>
      <w:r>
        <w:rPr>
          <w:rFonts w:ascii="Times New Roman" w:hAnsi="Times New Roman"/>
          <w:color w:val="auto"/>
        </w:rPr>
        <w:t>。</w:t>
      </w:r>
    </w:p>
    <w:p>
      <w:pPr>
        <w:pStyle w:val="4"/>
        <w:numPr>
          <w:ilvl w:val="0"/>
          <w:numId w:val="13"/>
        </w:numPr>
        <w:spacing w:beforeLines="0"/>
        <w:rPr>
          <w:rFonts w:ascii="Times New Roman" w:hAnsi="Times New Roman"/>
          <w:color w:val="auto"/>
          <w:sz w:val="24"/>
          <w:szCs w:val="24"/>
        </w:rPr>
      </w:pPr>
      <w:r>
        <w:rPr>
          <w:rFonts w:ascii="Times New Roman" w:hAnsi="Times New Roman"/>
          <w:color w:val="auto"/>
          <w:sz w:val="24"/>
          <w:szCs w:val="24"/>
        </w:rPr>
        <w:t>评价</w:t>
      </w:r>
      <w:r>
        <w:rPr>
          <w:rFonts w:hint="eastAsia" w:ascii="Times New Roman" w:hAnsi="Times New Roman"/>
          <w:color w:val="auto"/>
          <w:sz w:val="24"/>
          <w:szCs w:val="24"/>
        </w:rPr>
        <w:t>范围</w:t>
      </w:r>
    </w:p>
    <w:p>
      <w:pPr>
        <w:ind w:firstLine="480"/>
        <w:rPr>
          <w:rFonts w:ascii="Times New Roman" w:hAnsi="Times New Roman"/>
          <w:color w:val="auto"/>
        </w:rPr>
      </w:pPr>
      <w:r>
        <w:rPr>
          <w:rFonts w:ascii="Times New Roman" w:hAnsi="Times New Roman"/>
          <w:color w:val="auto"/>
        </w:rPr>
        <w:t>根据本项目污染物排放特点及当地气象条件、自然环境状况，确定各环境要素评价范围见表2-</w:t>
      </w:r>
      <w:r>
        <w:rPr>
          <w:rFonts w:hint="eastAsia" w:ascii="Times New Roman" w:hAnsi="Times New Roman"/>
          <w:color w:val="auto"/>
        </w:rPr>
        <w:t>18</w:t>
      </w:r>
      <w:r>
        <w:rPr>
          <w:rFonts w:ascii="Times New Roman" w:hAnsi="Times New Roman"/>
          <w:color w:val="auto"/>
        </w:rPr>
        <w:t>。</w:t>
      </w:r>
    </w:p>
    <w:p>
      <w:pPr>
        <w:numPr>
          <w:ilvl w:val="0"/>
          <w:numId w:val="12"/>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项目评价范围汇总表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874"/>
        <w:gridCol w:w="1177"/>
        <w:gridCol w:w="4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评价内容</w:t>
            </w:r>
          </w:p>
        </w:tc>
        <w:tc>
          <w:tcPr>
            <w:tcW w:w="187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环境功能级别</w:t>
            </w:r>
          </w:p>
        </w:tc>
        <w:tc>
          <w:tcPr>
            <w:tcW w:w="117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评价等级</w:t>
            </w:r>
          </w:p>
        </w:tc>
        <w:tc>
          <w:tcPr>
            <w:tcW w:w="455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大气</w:t>
            </w:r>
          </w:p>
        </w:tc>
        <w:tc>
          <w:tcPr>
            <w:tcW w:w="187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二类</w:t>
            </w:r>
          </w:p>
        </w:tc>
        <w:tc>
          <w:tcPr>
            <w:tcW w:w="117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二级</w:t>
            </w:r>
          </w:p>
        </w:tc>
        <w:tc>
          <w:tcPr>
            <w:tcW w:w="455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边长为5km的矩形区域。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地表水</w:t>
            </w:r>
          </w:p>
        </w:tc>
        <w:tc>
          <w:tcPr>
            <w:tcW w:w="187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s="宋体"/>
                <w:color w:val="auto"/>
                <w:kern w:val="0"/>
                <w:sz w:val="21"/>
              </w:rPr>
              <w:t>Ⅳ</w:t>
            </w:r>
            <w:r>
              <w:rPr>
                <w:rFonts w:ascii="Times New Roman" w:hAnsi="Times New Roman"/>
                <w:color w:val="auto"/>
                <w:kern w:val="0"/>
                <w:sz w:val="21"/>
              </w:rPr>
              <w:t>类</w:t>
            </w:r>
          </w:p>
        </w:tc>
        <w:tc>
          <w:tcPr>
            <w:tcW w:w="117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sz w:val="21"/>
              </w:rPr>
              <w:t>三级B</w:t>
            </w:r>
          </w:p>
        </w:tc>
        <w:tc>
          <w:tcPr>
            <w:tcW w:w="455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纳管排放可行性分析，不划定具体评价</w:t>
            </w:r>
            <w:r>
              <w:rPr>
                <w:rFonts w:ascii="Times New Roman" w:hAnsi="Times New Roman"/>
                <w:color w:val="auto"/>
                <w:kern w:val="0"/>
                <w:sz w:val="21"/>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地下水</w:t>
            </w:r>
          </w:p>
        </w:tc>
        <w:tc>
          <w:tcPr>
            <w:tcW w:w="187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s="宋体"/>
                <w:color w:val="auto"/>
                <w:kern w:val="0"/>
                <w:sz w:val="21"/>
              </w:rPr>
              <w:t>Ⅳ</w:t>
            </w:r>
            <w:r>
              <w:rPr>
                <w:rFonts w:ascii="Times New Roman" w:hAnsi="Times New Roman"/>
                <w:color w:val="auto"/>
                <w:kern w:val="0"/>
                <w:sz w:val="21"/>
              </w:rPr>
              <w:t>类</w:t>
            </w:r>
          </w:p>
        </w:tc>
        <w:tc>
          <w:tcPr>
            <w:tcW w:w="117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三级</w:t>
            </w:r>
          </w:p>
        </w:tc>
        <w:tc>
          <w:tcPr>
            <w:tcW w:w="455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≤6km</w:t>
            </w:r>
            <w:r>
              <w:rPr>
                <w:rFonts w:ascii="Times New Roman" w:hAnsi="Times New Roman"/>
                <w:color w:val="auto"/>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噪声</w:t>
            </w:r>
          </w:p>
        </w:tc>
        <w:tc>
          <w:tcPr>
            <w:tcW w:w="187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3</w:t>
            </w:r>
            <w:r>
              <w:rPr>
                <w:rFonts w:ascii="Times New Roman" w:hAnsi="Times New Roman"/>
                <w:color w:val="auto"/>
                <w:kern w:val="0"/>
                <w:sz w:val="21"/>
              </w:rPr>
              <w:t>类</w:t>
            </w:r>
          </w:p>
        </w:tc>
        <w:tc>
          <w:tcPr>
            <w:tcW w:w="117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三</w:t>
            </w:r>
            <w:r>
              <w:rPr>
                <w:rFonts w:ascii="Times New Roman" w:hAnsi="Times New Roman"/>
                <w:color w:val="auto"/>
                <w:kern w:val="0"/>
                <w:sz w:val="21"/>
              </w:rPr>
              <w:t>级</w:t>
            </w:r>
          </w:p>
        </w:tc>
        <w:tc>
          <w:tcPr>
            <w:tcW w:w="455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厂界及厂界外200m范围内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土壤</w:t>
            </w:r>
          </w:p>
        </w:tc>
        <w:tc>
          <w:tcPr>
            <w:tcW w:w="187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第二类用地</w:t>
            </w:r>
          </w:p>
        </w:tc>
        <w:tc>
          <w:tcPr>
            <w:tcW w:w="117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5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可不开展土壤环境影响评价工作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风险</w:t>
            </w:r>
          </w:p>
        </w:tc>
        <w:tc>
          <w:tcPr>
            <w:tcW w:w="187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大气二类区、地表水</w:t>
            </w:r>
            <w:r>
              <w:rPr>
                <w:rFonts w:hint="eastAsia" w:ascii="Times New Roman" w:hAnsi="Times New Roman" w:cs="宋体"/>
                <w:color w:val="auto"/>
                <w:kern w:val="0"/>
                <w:sz w:val="21"/>
              </w:rPr>
              <w:t>Ⅳ</w:t>
            </w:r>
            <w:r>
              <w:rPr>
                <w:rFonts w:ascii="Times New Roman" w:hAnsi="Times New Roman"/>
                <w:color w:val="auto"/>
                <w:kern w:val="0"/>
                <w:sz w:val="21"/>
              </w:rPr>
              <w:t>类</w:t>
            </w:r>
          </w:p>
        </w:tc>
        <w:tc>
          <w:tcPr>
            <w:tcW w:w="117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风险潜势为</w:t>
            </w:r>
            <w:r>
              <w:rPr>
                <w:rFonts w:hint="eastAsia" w:cs="宋体"/>
                <w:color w:val="auto"/>
                <w:kern w:val="0"/>
                <w:sz w:val="21"/>
              </w:rPr>
              <w:t>Ⅰ</w:t>
            </w:r>
          </w:p>
        </w:tc>
        <w:tc>
          <w:tcPr>
            <w:tcW w:w="455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sz w:val="21"/>
              </w:rPr>
              <w:t>/</w:t>
            </w:r>
          </w:p>
        </w:tc>
      </w:tr>
    </w:tbl>
    <w:p>
      <w:pPr>
        <w:pStyle w:val="592"/>
        <w:numPr>
          <w:ilvl w:val="0"/>
          <w:numId w:val="6"/>
        </w:numPr>
        <w:ind w:left="0" w:firstLine="0"/>
        <w:rPr>
          <w:color w:val="auto"/>
        </w:rPr>
      </w:pPr>
      <w:bookmarkStart w:id="23" w:name="_Toc37350047"/>
      <w:r>
        <w:rPr>
          <w:color w:val="auto"/>
        </w:rPr>
        <w:t>相关规划及环境功能区划</w:t>
      </w:r>
      <w:bookmarkEnd w:id="23"/>
    </w:p>
    <w:p>
      <w:pPr>
        <w:pStyle w:val="4"/>
        <w:numPr>
          <w:ilvl w:val="0"/>
          <w:numId w:val="14"/>
        </w:numPr>
        <w:spacing w:beforeLines="0"/>
        <w:rPr>
          <w:rFonts w:ascii="Times New Roman" w:hAnsi="Times New Roman"/>
          <w:color w:val="auto"/>
          <w:sz w:val="24"/>
          <w:szCs w:val="24"/>
        </w:rPr>
      </w:pPr>
      <w:r>
        <w:rPr>
          <w:rFonts w:ascii="Times New Roman" w:hAnsi="Times New Roman"/>
          <w:color w:val="auto"/>
          <w:sz w:val="24"/>
          <w:szCs w:val="24"/>
        </w:rPr>
        <w:t>项目区域环境功能区划</w:t>
      </w:r>
    </w:p>
    <w:p>
      <w:pPr>
        <w:adjustRightInd w:val="0"/>
        <w:snapToGrid w:val="0"/>
        <w:ind w:firstLine="480"/>
        <w:jc w:val="left"/>
        <w:rPr>
          <w:rFonts w:ascii="Times New Roman" w:hAnsi="Times New Roman"/>
          <w:color w:val="auto"/>
          <w:kern w:val="0"/>
          <w:szCs w:val="20"/>
        </w:rPr>
      </w:pPr>
      <w:r>
        <w:rPr>
          <w:rFonts w:ascii="Times New Roman" w:hAnsi="Times New Roman"/>
          <w:color w:val="auto"/>
          <w:kern w:val="0"/>
          <w:szCs w:val="20"/>
        </w:rPr>
        <w:t>1、环境空气</w:t>
      </w:r>
    </w:p>
    <w:p>
      <w:pPr>
        <w:adjustRightInd w:val="0"/>
        <w:snapToGrid w:val="0"/>
        <w:ind w:firstLine="480"/>
        <w:rPr>
          <w:rFonts w:ascii="Times New Roman" w:hAnsi="Times New Roman"/>
          <w:color w:val="auto"/>
          <w:kern w:val="0"/>
          <w:szCs w:val="20"/>
        </w:rPr>
      </w:pPr>
      <w:r>
        <w:rPr>
          <w:rFonts w:ascii="Times New Roman" w:hAnsi="Times New Roman"/>
          <w:color w:val="auto"/>
          <w:kern w:val="0"/>
          <w:szCs w:val="20"/>
        </w:rPr>
        <w:t>本项目评价范围内属于二类环境空气质量功能区，空气质量保护目标为二级。</w:t>
      </w:r>
    </w:p>
    <w:p>
      <w:pPr>
        <w:adjustRightInd w:val="0"/>
        <w:snapToGrid w:val="0"/>
        <w:ind w:firstLine="480"/>
        <w:jc w:val="left"/>
        <w:rPr>
          <w:rFonts w:ascii="Times New Roman" w:hAnsi="Times New Roman"/>
          <w:color w:val="auto"/>
          <w:kern w:val="0"/>
          <w:szCs w:val="20"/>
        </w:rPr>
      </w:pPr>
      <w:r>
        <w:rPr>
          <w:rFonts w:ascii="Times New Roman" w:hAnsi="Times New Roman"/>
          <w:color w:val="auto"/>
          <w:kern w:val="0"/>
          <w:szCs w:val="20"/>
        </w:rPr>
        <w:t>2、地表水环境</w:t>
      </w:r>
    </w:p>
    <w:p>
      <w:pPr>
        <w:ind w:firstLine="472"/>
        <w:rPr>
          <w:rFonts w:ascii="Times New Roman" w:hAnsi="Times New Roman"/>
          <w:color w:val="auto"/>
          <w:spacing w:val="-2"/>
        </w:rPr>
      </w:pPr>
      <w:r>
        <w:rPr>
          <w:rFonts w:ascii="Times New Roman" w:hAnsi="Times New Roman"/>
          <w:color w:val="auto"/>
          <w:spacing w:val="-2"/>
        </w:rPr>
        <w:t>根据《浙江省水功能区水环境功能区划分方案（</w:t>
      </w:r>
      <w:r>
        <w:rPr>
          <w:rFonts w:hint="eastAsia" w:ascii="Times New Roman" w:hAnsi="Times New Roman"/>
          <w:color w:val="auto"/>
          <w:spacing w:val="-2"/>
        </w:rPr>
        <w:t>2015</w:t>
      </w:r>
      <w:r>
        <w:rPr>
          <w:rFonts w:ascii="Times New Roman" w:hAnsi="Times New Roman"/>
          <w:color w:val="auto"/>
          <w:spacing w:val="-2"/>
        </w:rPr>
        <w:t>）》，本项目附近地表水属于</w:t>
      </w:r>
      <w:r>
        <w:rPr>
          <w:rFonts w:hint="eastAsia" w:ascii="Times New Roman" w:hAnsi="Times New Roman"/>
          <w:color w:val="auto"/>
          <w:spacing w:val="-2"/>
        </w:rPr>
        <w:t>鳌江</w:t>
      </w:r>
      <w:r>
        <w:rPr>
          <w:rFonts w:ascii="Times New Roman" w:hAnsi="Times New Roman"/>
          <w:color w:val="auto"/>
          <w:spacing w:val="-2"/>
        </w:rPr>
        <w:t>，编号为</w:t>
      </w:r>
      <w:r>
        <w:rPr>
          <w:rFonts w:hint="eastAsia" w:ascii="Times New Roman" w:hAnsi="Times New Roman"/>
          <w:color w:val="auto"/>
          <w:spacing w:val="-2"/>
        </w:rPr>
        <w:t>鳌江17，水功能区为江南河网苍南工业、农业用水区，水环境功能为工业、农业用水区，</w:t>
      </w:r>
      <w:r>
        <w:rPr>
          <w:rFonts w:hint="eastAsia" w:ascii="Times New Roman" w:hAnsi="Times New Roman"/>
          <w:color w:val="auto"/>
        </w:rPr>
        <w:t>属鳌江水系浙闽皖流域，起止断面为龙港镇至金乡镇，</w:t>
      </w:r>
      <w:r>
        <w:rPr>
          <w:rFonts w:ascii="Times New Roman" w:hAnsi="Times New Roman"/>
          <w:color w:val="auto"/>
          <w:spacing w:val="-2"/>
        </w:rPr>
        <w:t>目标水质为</w:t>
      </w:r>
      <w:r>
        <w:rPr>
          <w:rFonts w:hint="eastAsia" w:ascii="Times New Roman" w:hAnsi="Times New Roman" w:cs="宋体"/>
          <w:color w:val="auto"/>
          <w:spacing w:val="-2"/>
        </w:rPr>
        <w:t>Ⅳ</w:t>
      </w:r>
      <w:r>
        <w:rPr>
          <w:rFonts w:ascii="Times New Roman" w:hAnsi="Times New Roman"/>
          <w:color w:val="auto"/>
          <w:spacing w:val="-2"/>
        </w:rPr>
        <w:t>类，</w:t>
      </w:r>
      <w:r>
        <w:rPr>
          <w:rFonts w:hint="eastAsia" w:ascii="Times New Roman" w:hAnsi="Times New Roman"/>
          <w:color w:val="auto"/>
          <w:spacing w:val="-2"/>
        </w:rPr>
        <w:t>其</w:t>
      </w:r>
      <w:r>
        <w:rPr>
          <w:rFonts w:ascii="Times New Roman" w:hAnsi="Times New Roman"/>
          <w:color w:val="auto"/>
          <w:spacing w:val="-2"/>
        </w:rPr>
        <w:t>水质执行《地表水环境质量标准》（GB3838-2002）</w:t>
      </w:r>
      <w:r>
        <w:rPr>
          <w:rFonts w:hint="eastAsia" w:ascii="Times New Roman" w:hAnsi="Times New Roman" w:cs="宋体"/>
          <w:color w:val="auto"/>
          <w:spacing w:val="-2"/>
        </w:rPr>
        <w:t>Ⅳ</w:t>
      </w:r>
      <w:r>
        <w:rPr>
          <w:rFonts w:ascii="Times New Roman" w:hAnsi="Times New Roman"/>
          <w:color w:val="auto"/>
          <w:spacing w:val="-2"/>
        </w:rPr>
        <w:t>类标准。</w:t>
      </w:r>
    </w:p>
    <w:p>
      <w:pPr>
        <w:adjustRightInd w:val="0"/>
        <w:snapToGrid w:val="0"/>
        <w:ind w:firstLine="480"/>
        <w:jc w:val="left"/>
        <w:rPr>
          <w:rFonts w:ascii="Times New Roman" w:hAnsi="Times New Roman"/>
          <w:color w:val="auto"/>
          <w:kern w:val="0"/>
          <w:szCs w:val="20"/>
        </w:rPr>
      </w:pPr>
      <w:r>
        <w:rPr>
          <w:rFonts w:ascii="Times New Roman" w:hAnsi="Times New Roman"/>
          <w:color w:val="auto"/>
          <w:kern w:val="0"/>
          <w:szCs w:val="20"/>
        </w:rPr>
        <w:t>3、声环境</w:t>
      </w:r>
    </w:p>
    <w:p>
      <w:pPr>
        <w:adjustRightInd w:val="0"/>
        <w:snapToGrid w:val="0"/>
        <w:ind w:firstLine="480"/>
        <w:rPr>
          <w:rFonts w:ascii="Times New Roman" w:hAnsi="Times New Roman"/>
          <w:color w:val="auto"/>
        </w:rPr>
      </w:pPr>
      <w:r>
        <w:rPr>
          <w:rFonts w:ascii="Times New Roman" w:hAnsi="Times New Roman"/>
          <w:color w:val="auto"/>
        </w:rPr>
        <w:t>项目所在地声环境为</w:t>
      </w:r>
      <w:r>
        <w:rPr>
          <w:rFonts w:hint="eastAsia" w:ascii="Times New Roman" w:hAnsi="Times New Roman"/>
          <w:color w:val="auto"/>
        </w:rPr>
        <w:t>3</w:t>
      </w:r>
      <w:r>
        <w:rPr>
          <w:rFonts w:ascii="Times New Roman" w:hAnsi="Times New Roman"/>
          <w:color w:val="auto"/>
        </w:rPr>
        <w:t>类声环境功能区。</w:t>
      </w:r>
    </w:p>
    <w:p>
      <w:pPr>
        <w:pStyle w:val="4"/>
        <w:numPr>
          <w:ilvl w:val="0"/>
          <w:numId w:val="14"/>
        </w:numPr>
        <w:spacing w:beforeLines="0"/>
        <w:rPr>
          <w:rFonts w:ascii="Times New Roman" w:hAnsi="Times New Roman"/>
          <w:color w:val="auto"/>
          <w:sz w:val="24"/>
          <w:szCs w:val="24"/>
        </w:rPr>
      </w:pPr>
      <w:r>
        <w:rPr>
          <w:rFonts w:ascii="Times New Roman" w:hAnsi="Times New Roman"/>
          <w:color w:val="auto"/>
          <w:sz w:val="24"/>
          <w:szCs w:val="24"/>
        </w:rPr>
        <w:t>环境功能区划</w:t>
      </w:r>
    </w:p>
    <w:p>
      <w:pPr>
        <w:pStyle w:val="200"/>
        <w:spacing w:line="360" w:lineRule="auto"/>
        <w:ind w:firstLine="480"/>
        <w:rPr>
          <w:rFonts w:ascii="Times New Roman" w:hAnsi="Times New Roman"/>
          <w:color w:val="auto"/>
        </w:rPr>
      </w:pPr>
      <w:r>
        <w:rPr>
          <w:rFonts w:ascii="Times New Roman" w:hAnsi="Times New Roman"/>
          <w:color w:val="auto"/>
        </w:rPr>
        <w:t>根据《苍南县环境功能区划》（2015年9月），项目所在地属苍南县临港产业新城环境重点准入区（0327-VI-0-1），属环境重点准入区。温州市龙港环境功能区划图见附图</w:t>
      </w:r>
      <w:r>
        <w:rPr>
          <w:rFonts w:hint="eastAsia" w:ascii="Times New Roman" w:hAnsi="Times New Roman"/>
          <w:color w:val="auto"/>
        </w:rPr>
        <w:t>2</w:t>
      </w:r>
      <w:r>
        <w:rPr>
          <w:rFonts w:ascii="Times New Roman" w:hAnsi="Times New Roman"/>
          <w:color w:val="auto"/>
        </w:rPr>
        <w:t>。该功能小区规划如下：</w:t>
      </w:r>
    </w:p>
    <w:p>
      <w:pPr>
        <w:pStyle w:val="200"/>
        <w:spacing w:line="360" w:lineRule="auto"/>
        <w:ind w:firstLine="480"/>
        <w:rPr>
          <w:rFonts w:ascii="Times New Roman" w:hAnsi="Times New Roman"/>
          <w:color w:val="auto"/>
        </w:rPr>
      </w:pPr>
      <w:r>
        <w:rPr>
          <w:rFonts w:ascii="Times New Roman" w:hAnsi="Times New Roman"/>
          <w:color w:val="auto"/>
        </w:rPr>
        <w:t>1、基本概况</w:t>
      </w:r>
    </w:p>
    <w:p>
      <w:pPr>
        <w:pStyle w:val="200"/>
        <w:spacing w:line="360" w:lineRule="auto"/>
        <w:ind w:firstLine="480"/>
        <w:rPr>
          <w:rFonts w:ascii="Times New Roman" w:hAnsi="Times New Roman"/>
          <w:color w:val="auto"/>
        </w:rPr>
      </w:pPr>
      <w:r>
        <w:rPr>
          <w:rFonts w:ascii="Times New Roman" w:hAnsi="Times New Roman"/>
          <w:color w:val="auto"/>
        </w:rPr>
        <w:t>该区位于龙港镇区南端，该区包括临港产业园区、龙港新城纺织产业提升园等，园区总面积12.28平方公里。重点发展电力能源、石化、金属压延加工等重化工业和装备制造、船舶工业、新能源等新兴产业。</w:t>
      </w:r>
    </w:p>
    <w:p>
      <w:pPr>
        <w:pStyle w:val="200"/>
        <w:spacing w:line="360" w:lineRule="auto"/>
        <w:ind w:firstLine="480"/>
        <w:rPr>
          <w:rFonts w:ascii="Times New Roman" w:hAnsi="Times New Roman"/>
          <w:color w:val="auto"/>
        </w:rPr>
      </w:pPr>
      <w:r>
        <w:rPr>
          <w:rFonts w:ascii="Times New Roman" w:hAnsi="Times New Roman"/>
          <w:color w:val="auto"/>
        </w:rPr>
        <w:t>该区生态系统略敏感、重要性低。</w:t>
      </w:r>
    </w:p>
    <w:p>
      <w:pPr>
        <w:pStyle w:val="200"/>
        <w:spacing w:line="360" w:lineRule="auto"/>
        <w:ind w:firstLine="480"/>
        <w:rPr>
          <w:rFonts w:ascii="Times New Roman" w:hAnsi="Times New Roman"/>
          <w:color w:val="auto"/>
        </w:rPr>
      </w:pPr>
      <w:r>
        <w:rPr>
          <w:rFonts w:ascii="Times New Roman" w:hAnsi="Times New Roman"/>
          <w:color w:val="auto"/>
        </w:rPr>
        <w:t xml:space="preserve">2、主导功能及目标 </w:t>
      </w:r>
    </w:p>
    <w:p>
      <w:pPr>
        <w:tabs>
          <w:tab w:val="left" w:pos="4395"/>
          <w:tab w:val="left" w:pos="5190"/>
        </w:tabs>
        <w:ind w:firstLine="480"/>
        <w:rPr>
          <w:rFonts w:ascii="Times New Roman" w:hAnsi="Times New Roman"/>
          <w:color w:val="auto"/>
        </w:rPr>
      </w:pPr>
      <w:r>
        <w:rPr>
          <w:rFonts w:ascii="Times New Roman" w:hAnsi="Times New Roman"/>
          <w:color w:val="auto"/>
        </w:rPr>
        <w:t>主导功能与保护目标：保障工业企业的正常生产，实施清洁生产，污染物稳定达标排放，废物园区循环利用，维持区域环境质量的良好状态不受破坏。</w:t>
      </w:r>
    </w:p>
    <w:p>
      <w:pPr>
        <w:ind w:firstLine="480"/>
        <w:rPr>
          <w:rFonts w:ascii="Times New Roman" w:hAnsi="Times New Roman"/>
          <w:color w:val="auto"/>
        </w:rPr>
      </w:pPr>
      <w:r>
        <w:rPr>
          <w:rFonts w:ascii="Times New Roman" w:hAnsi="Times New Roman"/>
          <w:color w:val="auto"/>
        </w:rPr>
        <w:t xml:space="preserve">环境质量目标：主要地表水水质达到《地表水环境质量标准》（GB3838-2002） </w:t>
      </w:r>
      <w:r>
        <w:rPr>
          <w:rFonts w:hint="eastAsia" w:ascii="Times New Roman" w:hAnsi="Times New Roman" w:cs="宋体"/>
          <w:color w:val="auto"/>
        </w:rPr>
        <w:t>Ⅲ</w:t>
      </w:r>
      <w:r>
        <w:rPr>
          <w:rFonts w:ascii="Times New Roman" w:hAnsi="Times New Roman"/>
          <w:color w:val="auto"/>
        </w:rPr>
        <w:t>类标准，或达到地表水环境功能区的要求；地下水达到《地下水质量标准》的相关要求；环境空气质量达到《环境空气质量标准》（GB3095—2012）二级标准，或达到大气环境功能区的要求；土壤环境质量达到《土壤环境质量标准》（GB15618-1995）相关要求；声环境质量达到《声环境质量标准》3 类标准，或达到声环境功能区要求。</w:t>
      </w:r>
    </w:p>
    <w:p>
      <w:pPr>
        <w:ind w:firstLine="480"/>
        <w:rPr>
          <w:rFonts w:ascii="Times New Roman" w:hAnsi="Times New Roman"/>
          <w:snapToGrid w:val="0"/>
          <w:color w:val="auto"/>
          <w:kern w:val="0"/>
        </w:rPr>
      </w:pPr>
      <w:r>
        <w:rPr>
          <w:rFonts w:ascii="Times New Roman" w:hAnsi="Times New Roman"/>
          <w:snapToGrid w:val="0"/>
          <w:color w:val="auto"/>
          <w:kern w:val="0"/>
        </w:rPr>
        <w:t>3、管控措施</w:t>
      </w:r>
    </w:p>
    <w:p>
      <w:pPr>
        <w:ind w:firstLine="480"/>
        <w:rPr>
          <w:rFonts w:ascii="Times New Roman" w:hAnsi="Times New Roman"/>
          <w:color w:val="auto"/>
        </w:rPr>
      </w:pPr>
      <w:bookmarkStart w:id="24" w:name="_Toc280435577"/>
      <w:r>
        <w:rPr>
          <w:rFonts w:ascii="Times New Roman" w:hAnsi="Times New Roman"/>
          <w:snapToGrid w:val="0"/>
          <w:color w:val="auto"/>
          <w:kern w:val="0"/>
        </w:rPr>
        <w:t>调整和优化产业</w:t>
      </w:r>
      <w:r>
        <w:rPr>
          <w:rFonts w:ascii="Times New Roman" w:hAnsi="Times New Roman"/>
          <w:color w:val="auto"/>
        </w:rPr>
        <w:t>结构，逐步提高区域产业准入条件。严格按照区域环境承载能力，控制区域排污总量和三类工业项目数量。禁止新建、扩建不符合园区发展（总体）规划及苍南县主导（特色）产业的其他三类工业建设项目。新建二类、三类工业项目污染物排放水平需达到同行业国内先进水平。合理规划居住区与工业功能区，限定三类工业空间布局范围，在居住区和工业区、工业企业之间设置防护绿地、生态绿地等隔离带，确保人居环境安全。禁止畜禽养殖。加强土壤和地下水污染防治。最大限度保留区内原有自然生态系统，保护好河湖湿地生境，禁止未经法定许可占用水域；除防洪、航运为主要功能的河湖堤岸外，禁止非生态型河湖堤岸改造；建设项目不得影响河道自然形态和河湖水生态（环境）功能。</w:t>
      </w:r>
    </w:p>
    <w:bookmarkEnd w:id="24"/>
    <w:p>
      <w:pPr>
        <w:ind w:firstLine="480"/>
        <w:rPr>
          <w:rFonts w:ascii="Times New Roman" w:hAnsi="Times New Roman"/>
          <w:color w:val="auto"/>
        </w:rPr>
      </w:pPr>
      <w:r>
        <w:rPr>
          <w:rFonts w:ascii="Times New Roman" w:hAnsi="Times New Roman"/>
          <w:color w:val="auto"/>
        </w:rPr>
        <w:t>4、负面清单</w:t>
      </w:r>
    </w:p>
    <w:p>
      <w:pPr>
        <w:adjustRightInd w:val="0"/>
        <w:snapToGrid w:val="0"/>
        <w:ind w:firstLine="480"/>
        <w:jc w:val="left"/>
        <w:rPr>
          <w:rFonts w:ascii="Times New Roman" w:hAnsi="Times New Roman"/>
          <w:color w:val="auto"/>
          <w:kern w:val="0"/>
          <w:szCs w:val="20"/>
        </w:rPr>
      </w:pPr>
      <w:r>
        <w:rPr>
          <w:rFonts w:ascii="Times New Roman" w:hAnsi="Times New Roman"/>
          <w:color w:val="auto"/>
        </w:rPr>
        <w:t>禁止新建、扩建不符合园区发展（总体）规划及苍南县主导（特色）产业的其他三类工业建设项目。</w:t>
      </w:r>
    </w:p>
    <w:p>
      <w:pPr>
        <w:adjustRightInd w:val="0"/>
        <w:snapToGrid w:val="0"/>
        <w:ind w:firstLine="480"/>
        <w:jc w:val="left"/>
        <w:rPr>
          <w:rFonts w:ascii="Times New Roman" w:hAnsi="Times New Roman"/>
          <w:color w:val="auto"/>
          <w:kern w:val="0"/>
          <w:szCs w:val="20"/>
        </w:rPr>
      </w:pPr>
      <w:r>
        <w:rPr>
          <w:rFonts w:ascii="Times New Roman" w:hAnsi="Times New Roman"/>
          <w:color w:val="auto"/>
          <w:kern w:val="0"/>
          <w:szCs w:val="20"/>
        </w:rPr>
        <w:t>三类工业项目类别详见表</w:t>
      </w:r>
      <w:r>
        <w:rPr>
          <w:rFonts w:hint="eastAsia" w:ascii="Times New Roman" w:hAnsi="Times New Roman"/>
          <w:color w:val="auto"/>
          <w:kern w:val="0"/>
          <w:szCs w:val="20"/>
        </w:rPr>
        <w:t>2-19。</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三类工业项目分类</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7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bCs/>
                <w:color w:val="auto"/>
                <w:sz w:val="21"/>
              </w:rPr>
            </w:pPr>
            <w:r>
              <w:rPr>
                <w:rFonts w:hint="eastAsia" w:ascii="Times New Roman" w:hAnsi="Times New Roman"/>
                <w:bCs/>
                <w:color w:val="auto"/>
                <w:sz w:val="21"/>
              </w:rPr>
              <w:t>项目类别</w:t>
            </w:r>
          </w:p>
        </w:tc>
        <w:tc>
          <w:tcPr>
            <w:tcW w:w="3986" w:type="pct"/>
          </w:tcPr>
          <w:p>
            <w:pPr>
              <w:keepNext w:val="0"/>
              <w:keepLines w:val="0"/>
              <w:suppressLineNumbers w:val="0"/>
              <w:spacing w:before="0" w:beforeAutospacing="0" w:after="0" w:afterAutospacing="0" w:line="240" w:lineRule="auto"/>
              <w:ind w:left="0" w:right="0" w:firstLine="420"/>
              <w:jc w:val="center"/>
              <w:rPr>
                <w:rFonts w:ascii="Times New Roman" w:hAnsi="Times New Roman"/>
                <w:bCs/>
                <w:color w:val="auto"/>
                <w:sz w:val="21"/>
              </w:rPr>
            </w:pPr>
            <w:r>
              <w:rPr>
                <w:rFonts w:hint="eastAsia" w:ascii="Times New Roman" w:hAnsi="Times New Roman"/>
                <w:bCs/>
                <w:color w:val="auto"/>
                <w:sz w:val="21"/>
              </w:rPr>
              <w:t>主要工业项目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pct"/>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bCs/>
                <w:color w:val="auto"/>
                <w:sz w:val="21"/>
              </w:rPr>
            </w:pPr>
            <w:r>
              <w:rPr>
                <w:rFonts w:ascii="Times New Roman" w:hAnsi="Times New Roman"/>
                <w:bCs/>
                <w:color w:val="auto"/>
                <w:sz w:val="21"/>
              </w:rPr>
              <w:t>三类工业项目</w:t>
            </w:r>
          </w:p>
          <w:p>
            <w:pPr>
              <w:keepNext w:val="0"/>
              <w:keepLines w:val="0"/>
              <w:suppressLineNumbers w:val="0"/>
              <w:spacing w:before="0" w:beforeAutospacing="0" w:after="0" w:afterAutospacing="0" w:line="240" w:lineRule="auto"/>
              <w:ind w:left="0" w:right="0" w:firstLine="420"/>
              <w:jc w:val="center"/>
              <w:rPr>
                <w:rFonts w:ascii="Times New Roman" w:hAnsi="Times New Roman"/>
                <w:bCs/>
                <w:color w:val="auto"/>
                <w:sz w:val="21"/>
              </w:rPr>
            </w:pPr>
            <w:r>
              <w:rPr>
                <w:rFonts w:hint="eastAsia" w:ascii="Times New Roman" w:hAnsi="Times New Roman"/>
                <w:bCs/>
                <w:color w:val="auto"/>
                <w:sz w:val="21"/>
              </w:rPr>
              <w:t>（</w:t>
            </w:r>
            <w:r>
              <w:rPr>
                <w:rFonts w:ascii="Times New Roman" w:hAnsi="Times New Roman"/>
                <w:bCs/>
                <w:color w:val="auto"/>
                <w:sz w:val="21"/>
              </w:rPr>
              <w:t>重污染</w:t>
            </w:r>
            <w:r>
              <w:rPr>
                <w:rFonts w:hint="eastAsia" w:ascii="Times New Roman" w:hAnsi="Times New Roman"/>
                <w:bCs/>
                <w:color w:val="auto"/>
                <w:sz w:val="21"/>
              </w:rPr>
              <w:t>、高环境风险</w:t>
            </w:r>
            <w:r>
              <w:rPr>
                <w:rFonts w:ascii="Times New Roman" w:hAnsi="Times New Roman"/>
                <w:bCs/>
                <w:color w:val="auto"/>
                <w:sz w:val="21"/>
              </w:rPr>
              <w:t>行业项目</w:t>
            </w:r>
            <w:r>
              <w:rPr>
                <w:rFonts w:hint="eastAsia" w:ascii="Times New Roman" w:hAnsi="Times New Roman"/>
                <w:bCs/>
                <w:color w:val="auto"/>
                <w:sz w:val="21"/>
              </w:rPr>
              <w:t>）</w:t>
            </w:r>
          </w:p>
        </w:tc>
        <w:tc>
          <w:tcPr>
            <w:tcW w:w="3986" w:type="pct"/>
          </w:tcPr>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ascii="Times New Roman" w:hAnsi="Times New Roman"/>
                <w:bCs/>
                <w:color w:val="auto"/>
                <w:sz w:val="21"/>
              </w:rPr>
              <w:t>30、火力发电（燃煤）；</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43</w:t>
            </w:r>
            <w:r>
              <w:rPr>
                <w:rFonts w:ascii="Times New Roman" w:hAnsi="Times New Roman"/>
                <w:bCs/>
                <w:color w:val="auto"/>
                <w:sz w:val="21"/>
              </w:rPr>
              <w:t>、炼铁、球团、烧结；</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44</w:t>
            </w:r>
            <w:r>
              <w:rPr>
                <w:rFonts w:ascii="Times New Roman" w:hAnsi="Times New Roman"/>
                <w:bCs/>
                <w:color w:val="auto"/>
                <w:sz w:val="21"/>
              </w:rPr>
              <w:t>、炼钢；</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45</w:t>
            </w:r>
            <w:r>
              <w:rPr>
                <w:rFonts w:ascii="Times New Roman" w:hAnsi="Times New Roman"/>
                <w:bCs/>
                <w:color w:val="auto"/>
                <w:sz w:val="21"/>
              </w:rPr>
              <w:t>、铁合金</w:t>
            </w:r>
            <w:r>
              <w:rPr>
                <w:rFonts w:hint="eastAsia" w:ascii="Times New Roman" w:hAnsi="Times New Roman"/>
                <w:bCs/>
                <w:color w:val="auto"/>
                <w:sz w:val="21"/>
              </w:rPr>
              <w:t>制造</w:t>
            </w:r>
            <w:r>
              <w:rPr>
                <w:rFonts w:ascii="Times New Roman" w:hAnsi="Times New Roman"/>
                <w:bCs/>
                <w:color w:val="auto"/>
                <w:sz w:val="21"/>
              </w:rPr>
              <w:t>；锰、铬冶炼；</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48</w:t>
            </w:r>
            <w:r>
              <w:rPr>
                <w:rFonts w:ascii="Times New Roman" w:hAnsi="Times New Roman"/>
                <w:bCs/>
                <w:color w:val="auto"/>
                <w:sz w:val="21"/>
              </w:rPr>
              <w:t>、有色金属冶炼（含再生有色金属冶炼）；</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49</w:t>
            </w:r>
            <w:r>
              <w:rPr>
                <w:rFonts w:ascii="Times New Roman" w:hAnsi="Times New Roman"/>
                <w:bCs/>
                <w:color w:val="auto"/>
                <w:sz w:val="21"/>
              </w:rPr>
              <w:t>、有色金属合金制造（全部）；</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51</w:t>
            </w:r>
            <w:r>
              <w:rPr>
                <w:rFonts w:ascii="Times New Roman" w:hAnsi="Times New Roman"/>
                <w:bCs/>
                <w:color w:val="auto"/>
                <w:sz w:val="21"/>
              </w:rPr>
              <w:t>、金属制品表面处理及热处理加工（</w:t>
            </w:r>
            <w:r>
              <w:rPr>
                <w:rFonts w:hint="eastAsia" w:ascii="Times New Roman" w:hAnsi="Times New Roman"/>
                <w:bCs/>
                <w:color w:val="auto"/>
                <w:sz w:val="21"/>
              </w:rPr>
              <w:t>有</w:t>
            </w:r>
            <w:r>
              <w:rPr>
                <w:rFonts w:ascii="Times New Roman" w:hAnsi="Times New Roman"/>
                <w:bCs/>
                <w:color w:val="auto"/>
                <w:sz w:val="21"/>
              </w:rPr>
              <w:t>电镀</w:t>
            </w:r>
            <w:r>
              <w:rPr>
                <w:rFonts w:hint="eastAsia" w:ascii="Times New Roman" w:hAnsi="Times New Roman"/>
                <w:bCs/>
                <w:color w:val="auto"/>
                <w:sz w:val="21"/>
              </w:rPr>
              <w:t>工艺的；使用有机涂层的；</w:t>
            </w:r>
            <w:r>
              <w:rPr>
                <w:rFonts w:ascii="Times New Roman" w:hAnsi="Times New Roman"/>
                <w:bCs/>
                <w:color w:val="auto"/>
                <w:sz w:val="21"/>
              </w:rPr>
              <w:t>有钝化工艺的热镀锌）；</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58</w:t>
            </w:r>
            <w:r>
              <w:rPr>
                <w:rFonts w:ascii="Times New Roman" w:hAnsi="Times New Roman"/>
                <w:bCs/>
                <w:color w:val="auto"/>
                <w:sz w:val="21"/>
              </w:rPr>
              <w:t>、水泥制造；</w:t>
            </w:r>
          </w:p>
          <w:p>
            <w:pPr>
              <w:keepNext w:val="0"/>
              <w:keepLines w:val="0"/>
              <w:suppressLineNumbers w:val="0"/>
              <w:spacing w:before="0" w:beforeAutospacing="0" w:after="0" w:afterAutospacing="0" w:line="240" w:lineRule="auto"/>
              <w:ind w:left="0" w:right="0" w:firstLine="420"/>
              <w:jc w:val="left"/>
              <w:rPr>
                <w:rFonts w:ascii="Times New Roman" w:hAnsi="Times New Roman"/>
                <w:bCs/>
                <w:color w:val="auto"/>
                <w:sz w:val="21"/>
              </w:rPr>
            </w:pPr>
            <w:r>
              <w:rPr>
                <w:rFonts w:ascii="Times New Roman" w:hAnsi="Times New Roman"/>
                <w:bCs/>
                <w:color w:val="auto"/>
                <w:sz w:val="21"/>
              </w:rPr>
              <w:t>68、耐火材料及其制品中的石棉制品；</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ascii="Times New Roman" w:hAnsi="Times New Roman"/>
                <w:bCs/>
                <w:color w:val="auto"/>
                <w:sz w:val="21"/>
              </w:rPr>
              <w:t>69、石墨及其非金属矿物制品中的石墨、碳素；</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84、原油加工、天然气加工、油母页岩提炼原油、煤制原油、生物制油及其他石油制品；</w:t>
            </w:r>
          </w:p>
          <w:p>
            <w:pPr>
              <w:keepNext w:val="0"/>
              <w:keepLines w:val="0"/>
              <w:suppressLineNumbers w:val="0"/>
              <w:spacing w:before="0" w:beforeAutospacing="0" w:after="0" w:afterAutospacing="0" w:line="240" w:lineRule="auto"/>
              <w:ind w:left="0" w:right="0" w:firstLine="420"/>
              <w:jc w:val="left"/>
              <w:rPr>
                <w:rFonts w:ascii="Times New Roman" w:hAnsi="Times New Roman"/>
                <w:bCs/>
                <w:color w:val="auto"/>
                <w:sz w:val="21"/>
              </w:rPr>
            </w:pPr>
            <w:r>
              <w:rPr>
                <w:rFonts w:hint="eastAsia" w:ascii="Times New Roman" w:hAnsi="Times New Roman"/>
                <w:bCs/>
                <w:color w:val="auto"/>
                <w:sz w:val="21"/>
              </w:rPr>
              <w:t>85、基本化学原料制造；肥料制造；农药制造；涂料、染料、颜料、油墨及其类似产品制造；合成材料制造；专用化学品制造；炸药、火工及焰火产品制造；食品及饲料添加剂等制造。（除单纯混合和分装外的）</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86、日用化学品制造（除单纯混合和分装外的）</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87、焦化、电石；</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ascii="Times New Roman" w:hAnsi="Times New Roman"/>
                <w:bCs/>
                <w:color w:val="auto"/>
                <w:sz w:val="21"/>
              </w:rPr>
              <w:t>88</w:t>
            </w:r>
            <w:r>
              <w:rPr>
                <w:rFonts w:hint="eastAsia" w:ascii="Times New Roman" w:hAnsi="Times New Roman"/>
                <w:bCs/>
                <w:color w:val="auto"/>
                <w:sz w:val="21"/>
              </w:rPr>
              <w:t>、煤炭液化、气化；</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90</w:t>
            </w:r>
            <w:r>
              <w:rPr>
                <w:rFonts w:ascii="Times New Roman" w:hAnsi="Times New Roman"/>
                <w:bCs/>
                <w:color w:val="auto"/>
                <w:sz w:val="21"/>
              </w:rPr>
              <w:t>、化学药品制造</w:t>
            </w:r>
            <w:r>
              <w:rPr>
                <w:rFonts w:hint="eastAsia" w:ascii="Times New Roman" w:hAnsi="Times New Roman"/>
                <w:bCs/>
                <w:color w:val="auto"/>
                <w:sz w:val="21"/>
              </w:rPr>
              <w:t>；</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96、生物质纤维素乙醇生产；</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ascii="Times New Roman" w:hAnsi="Times New Roman"/>
                <w:bCs/>
                <w:color w:val="auto"/>
                <w:sz w:val="21"/>
              </w:rPr>
              <w:t>1</w:t>
            </w:r>
            <w:r>
              <w:rPr>
                <w:rFonts w:hint="eastAsia" w:ascii="Times New Roman" w:hAnsi="Times New Roman"/>
                <w:bCs/>
                <w:color w:val="auto"/>
                <w:sz w:val="21"/>
              </w:rPr>
              <w:t>12</w:t>
            </w:r>
            <w:r>
              <w:rPr>
                <w:rFonts w:ascii="Times New Roman" w:hAnsi="Times New Roman"/>
                <w:bCs/>
                <w:color w:val="auto"/>
                <w:sz w:val="21"/>
              </w:rPr>
              <w:t>、纸浆</w:t>
            </w:r>
            <w:r>
              <w:rPr>
                <w:rFonts w:hint="eastAsia" w:ascii="Times New Roman" w:hAnsi="Times New Roman"/>
                <w:bCs/>
                <w:color w:val="auto"/>
                <w:sz w:val="21"/>
              </w:rPr>
              <w:t>、溶解浆、纤维浆等</w:t>
            </w:r>
            <w:r>
              <w:rPr>
                <w:rFonts w:ascii="Times New Roman" w:hAnsi="Times New Roman"/>
                <w:bCs/>
                <w:color w:val="auto"/>
                <w:sz w:val="21"/>
              </w:rPr>
              <w:t>制造</w:t>
            </w:r>
            <w:r>
              <w:rPr>
                <w:rFonts w:hint="eastAsia" w:ascii="Times New Roman" w:hAnsi="Times New Roman"/>
                <w:bCs/>
                <w:color w:val="auto"/>
                <w:sz w:val="21"/>
              </w:rPr>
              <w:t>，</w:t>
            </w:r>
            <w:r>
              <w:rPr>
                <w:rFonts w:ascii="Times New Roman" w:hAnsi="Times New Roman"/>
                <w:bCs/>
                <w:color w:val="auto"/>
                <w:sz w:val="21"/>
              </w:rPr>
              <w:t>造纸</w:t>
            </w:r>
            <w:r>
              <w:rPr>
                <w:rFonts w:hint="eastAsia" w:ascii="Times New Roman" w:hAnsi="Times New Roman"/>
                <w:bCs/>
                <w:color w:val="auto"/>
                <w:sz w:val="21"/>
              </w:rPr>
              <w:t>（含废纸造纸）</w:t>
            </w:r>
            <w:r>
              <w:rPr>
                <w:rFonts w:ascii="Times New Roman" w:hAnsi="Times New Roman"/>
                <w:bCs/>
                <w:color w:val="auto"/>
                <w:sz w:val="21"/>
              </w:rPr>
              <w:t>；</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115、轮胎制造、再生橡胶制造、橡胶加工、橡胶制品翻新；</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hint="eastAsia" w:ascii="Times New Roman" w:hAnsi="Times New Roman"/>
                <w:bCs/>
                <w:color w:val="auto"/>
                <w:sz w:val="21"/>
              </w:rPr>
              <w:t>116、塑料制品制造（人造革、发泡胶等涉及有毒原材料的）；</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ascii="Times New Roman" w:hAnsi="Times New Roman"/>
                <w:bCs/>
                <w:color w:val="auto"/>
                <w:sz w:val="21"/>
              </w:rPr>
              <w:t>1</w:t>
            </w:r>
            <w:r>
              <w:rPr>
                <w:rFonts w:hint="eastAsia" w:ascii="Times New Roman" w:hAnsi="Times New Roman"/>
                <w:bCs/>
                <w:color w:val="auto"/>
                <w:sz w:val="21"/>
              </w:rPr>
              <w:t>18</w:t>
            </w:r>
            <w:r>
              <w:rPr>
                <w:rFonts w:ascii="Times New Roman" w:hAnsi="Times New Roman"/>
                <w:bCs/>
                <w:color w:val="auto"/>
                <w:sz w:val="21"/>
              </w:rPr>
              <w:t>、皮革、毛皮、羽毛（绒）制品（制革、毛皮鞣制）；</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ascii="Times New Roman" w:hAnsi="Times New Roman"/>
                <w:bCs/>
                <w:color w:val="auto"/>
                <w:sz w:val="21"/>
              </w:rPr>
              <w:t>1</w:t>
            </w:r>
            <w:r>
              <w:rPr>
                <w:rFonts w:hint="eastAsia" w:ascii="Times New Roman" w:hAnsi="Times New Roman"/>
                <w:bCs/>
                <w:color w:val="auto"/>
                <w:sz w:val="21"/>
              </w:rPr>
              <w:t>19</w:t>
            </w:r>
            <w:r>
              <w:rPr>
                <w:rFonts w:ascii="Times New Roman" w:hAnsi="Times New Roman"/>
                <w:bCs/>
                <w:color w:val="auto"/>
                <w:sz w:val="21"/>
              </w:rPr>
              <w:t>、化学纤维制造</w:t>
            </w:r>
            <w:r>
              <w:rPr>
                <w:rFonts w:hint="eastAsia" w:ascii="Times New Roman" w:hAnsi="Times New Roman"/>
                <w:bCs/>
                <w:color w:val="auto"/>
                <w:sz w:val="21"/>
              </w:rPr>
              <w:t>（除单纯纺丝外的）</w:t>
            </w:r>
            <w:r>
              <w:rPr>
                <w:rFonts w:ascii="Times New Roman" w:hAnsi="Times New Roman"/>
                <w:bCs/>
                <w:color w:val="auto"/>
                <w:sz w:val="21"/>
              </w:rPr>
              <w:t>；</w:t>
            </w:r>
          </w:p>
          <w:p>
            <w:pPr>
              <w:keepNext w:val="0"/>
              <w:keepLines w:val="0"/>
              <w:suppressLineNumbers w:val="0"/>
              <w:spacing w:before="0" w:beforeAutospacing="0" w:after="0" w:afterAutospacing="0" w:line="240" w:lineRule="auto"/>
              <w:ind w:left="0" w:right="0" w:firstLine="420"/>
              <w:rPr>
                <w:rFonts w:ascii="Times New Roman" w:hAnsi="Times New Roman"/>
                <w:bCs/>
                <w:color w:val="auto"/>
                <w:sz w:val="21"/>
              </w:rPr>
            </w:pPr>
            <w:r>
              <w:rPr>
                <w:rFonts w:ascii="Times New Roman" w:hAnsi="Times New Roman"/>
                <w:bCs/>
                <w:color w:val="auto"/>
                <w:sz w:val="21"/>
              </w:rPr>
              <w:t>1</w:t>
            </w:r>
            <w:r>
              <w:rPr>
                <w:rFonts w:hint="eastAsia" w:ascii="Times New Roman" w:hAnsi="Times New Roman"/>
                <w:bCs/>
                <w:color w:val="auto"/>
                <w:sz w:val="21"/>
              </w:rPr>
              <w:t>20</w:t>
            </w:r>
            <w:r>
              <w:rPr>
                <w:rFonts w:ascii="Times New Roman" w:hAnsi="Times New Roman"/>
                <w:bCs/>
                <w:color w:val="auto"/>
                <w:sz w:val="21"/>
              </w:rPr>
              <w:t>、纺织品制造（有染整工段的）等重污染行业项目。</w:t>
            </w:r>
          </w:p>
        </w:tc>
      </w:tr>
    </w:tbl>
    <w:p>
      <w:pPr>
        <w:ind w:firstLine="439" w:firstLineChars="182"/>
        <w:rPr>
          <w:rFonts w:ascii="Times New Roman" w:hAnsi="Times New Roman"/>
          <w:color w:val="auto"/>
          <w:szCs w:val="24"/>
        </w:rPr>
      </w:pPr>
      <w:r>
        <w:rPr>
          <w:rFonts w:ascii="Times New Roman" w:hAnsi="Times New Roman"/>
          <w:b/>
          <w:color w:val="auto"/>
          <w:kern w:val="0"/>
          <w:szCs w:val="20"/>
        </w:rPr>
        <w:t>符合性分析：</w:t>
      </w:r>
    </w:p>
    <w:p>
      <w:pPr>
        <w:ind w:firstLine="480"/>
        <w:rPr>
          <w:rFonts w:ascii="Times New Roman" w:hAnsi="Times New Roman"/>
          <w:color w:val="auto"/>
        </w:rPr>
      </w:pPr>
      <w:r>
        <w:rPr>
          <w:rFonts w:ascii="Times New Roman" w:hAnsi="Times New Roman"/>
          <w:color w:val="auto"/>
          <w:szCs w:val="24"/>
        </w:rPr>
        <w:t>本项目</w:t>
      </w:r>
      <w:bookmarkStart w:id="25" w:name="_Hlk3449170"/>
      <w:r>
        <w:rPr>
          <w:rFonts w:ascii="Times New Roman" w:hAnsi="Times New Roman"/>
          <w:color w:val="auto"/>
          <w:szCs w:val="24"/>
        </w:rPr>
        <w:t>为</w:t>
      </w:r>
      <w:r>
        <w:rPr>
          <w:rFonts w:hint="eastAsia" w:ascii="Times New Roman" w:hAnsi="Times New Roman"/>
          <w:color w:val="auto"/>
          <w:szCs w:val="24"/>
        </w:rPr>
        <w:t>废塑料再生造粒项目</w:t>
      </w:r>
      <w:bookmarkEnd w:id="25"/>
      <w:r>
        <w:rPr>
          <w:rFonts w:ascii="Times New Roman" w:hAnsi="Times New Roman"/>
          <w:bCs/>
          <w:color w:val="auto"/>
          <w:szCs w:val="24"/>
        </w:rPr>
        <w:t>，</w:t>
      </w:r>
      <w:r>
        <w:rPr>
          <w:rFonts w:ascii="Times New Roman" w:hAnsi="Times New Roman"/>
          <w:color w:val="auto"/>
          <w:szCs w:val="24"/>
        </w:rPr>
        <w:t>位于</w:t>
      </w:r>
      <w:r>
        <w:rPr>
          <w:rFonts w:ascii="Times New Roman" w:hAnsi="Times New Roman"/>
          <w:color w:val="auto"/>
        </w:rPr>
        <w:t>温州市龙港</w:t>
      </w:r>
      <w:r>
        <w:rPr>
          <w:rFonts w:hint="eastAsia" w:ascii="Times New Roman" w:hAnsi="Times New Roman"/>
          <w:color w:val="auto"/>
        </w:rPr>
        <w:t>临港产业基地启动区</w:t>
      </w:r>
      <w:r>
        <w:rPr>
          <w:rFonts w:ascii="Times New Roman" w:hAnsi="Times New Roman"/>
          <w:color w:val="auto"/>
          <w:spacing w:val="-4"/>
          <w:szCs w:val="24"/>
        </w:rPr>
        <w:t>，</w:t>
      </w:r>
      <w:r>
        <w:rPr>
          <w:rFonts w:ascii="Times New Roman" w:hAnsi="Times New Roman"/>
          <w:color w:val="auto"/>
        </w:rPr>
        <w:t>属于二类工业项目，不在负面清单内，</w:t>
      </w:r>
      <w:r>
        <w:rPr>
          <w:rFonts w:hint="eastAsia" w:ascii="Times New Roman" w:hAnsi="Times New Roman"/>
          <w:color w:val="auto"/>
        </w:rPr>
        <w:t>与项目所在区域环境功能区划的管控措施不冲突，生产过程中的污染物经处理后达标排放，严格控制排污总量，项目污染物排放水平能达到同行业国内先进水平。因此本项目符合区域环境功能区规划相关要求。</w:t>
      </w:r>
    </w:p>
    <w:p>
      <w:pPr>
        <w:pStyle w:val="4"/>
        <w:numPr>
          <w:ilvl w:val="0"/>
          <w:numId w:val="14"/>
        </w:numPr>
        <w:spacing w:beforeLines="0"/>
        <w:rPr>
          <w:rStyle w:val="782"/>
          <w:rFonts w:hint="default" w:ascii="Times New Roman" w:hAnsi="Times New Roman"/>
          <w:color w:val="auto"/>
        </w:rPr>
      </w:pPr>
      <w:bookmarkStart w:id="26" w:name="_Hlk3448926"/>
      <w:r>
        <w:rPr>
          <w:rStyle w:val="782"/>
          <w:rFonts w:hint="default" w:ascii="Times New Roman" w:hAnsi="Times New Roman"/>
          <w:color w:val="auto"/>
        </w:rPr>
        <w:t>总体规划</w:t>
      </w:r>
    </w:p>
    <w:p>
      <w:pPr>
        <w:ind w:firstLine="480"/>
        <w:rPr>
          <w:rFonts w:ascii="Times New Roman" w:hAnsi="Times New Roman"/>
          <w:color w:val="auto"/>
        </w:rPr>
      </w:pPr>
      <w:r>
        <w:rPr>
          <w:rFonts w:hint="eastAsia" w:ascii="Times New Roman" w:hAnsi="Times New Roman"/>
          <w:color w:val="auto"/>
        </w:rPr>
        <w:t>1、</w:t>
      </w:r>
      <w:r>
        <w:rPr>
          <w:rStyle w:val="782"/>
          <w:rFonts w:hint="default" w:ascii="Times New Roman" w:hAnsi="Times New Roman"/>
          <w:color w:val="auto"/>
        </w:rPr>
        <w:t>苍南县城市总体规划</w:t>
      </w:r>
    </w:p>
    <w:bookmarkEnd w:id="26"/>
    <w:p>
      <w:pPr>
        <w:ind w:left="470" w:leftChars="196" w:firstLine="0" w:firstLineChars="0"/>
        <w:rPr>
          <w:rFonts w:ascii="Times New Roman" w:hAnsi="Times New Roman"/>
          <w:color w:val="auto"/>
        </w:rPr>
      </w:pPr>
      <w:r>
        <w:rPr>
          <w:rFonts w:ascii="Times New Roman" w:hAnsi="Times New Roman"/>
          <w:color w:val="auto"/>
        </w:rPr>
        <w:t>（1）城市性质与总体规划</w:t>
      </w:r>
      <w:r>
        <w:rPr>
          <w:rFonts w:hint="eastAsia" w:ascii="Times New Roman" w:hAnsi="Times New Roman"/>
          <w:color w:val="auto"/>
          <w:szCs w:val="24"/>
        </w:rPr>
        <w:br w:type="textWrapping"/>
      </w:r>
      <w:r>
        <w:rPr>
          <w:rFonts w:ascii="Times New Roman" w:hAnsi="Times New Roman"/>
          <w:color w:val="auto"/>
        </w:rPr>
        <w:t>苍南县城镇性质包括为“苍南组合城区的核心城镇，苍南政治、经济、文化、交</w:t>
      </w:r>
    </w:p>
    <w:p>
      <w:pPr>
        <w:ind w:firstLine="0" w:firstLineChars="0"/>
        <w:rPr>
          <w:rFonts w:ascii="Times New Roman" w:hAnsi="Times New Roman"/>
          <w:color w:val="auto"/>
          <w:szCs w:val="24"/>
        </w:rPr>
      </w:pPr>
      <w:r>
        <w:rPr>
          <w:rFonts w:ascii="Times New Roman" w:hAnsi="Times New Roman"/>
          <w:color w:val="auto"/>
        </w:rPr>
        <w:t>通中心，浙闽边界现代化工贸城市”。城市用地发展方向为重点向东和向南发展。</w:t>
      </w:r>
    </w:p>
    <w:p>
      <w:pPr>
        <w:ind w:firstLine="480"/>
        <w:rPr>
          <w:rFonts w:ascii="Times New Roman" w:hAnsi="Times New Roman"/>
          <w:color w:val="auto"/>
        </w:rPr>
      </w:pPr>
      <w:r>
        <w:rPr>
          <w:rFonts w:ascii="Times New Roman" w:hAnsi="Times New Roman"/>
          <w:color w:val="auto"/>
        </w:rPr>
        <w:t>苍南城市用地总体布局模式为：一心两轴三片，东西联动，扇形扩展。“一心”指</w:t>
      </w:r>
      <w:r>
        <w:rPr>
          <w:rFonts w:hint="eastAsia" w:ascii="Times New Roman" w:hAnsi="Times New Roman"/>
          <w:color w:val="auto"/>
          <w:szCs w:val="24"/>
        </w:rPr>
        <w:br w:type="textWrapping"/>
      </w:r>
      <w:r>
        <w:rPr>
          <w:rFonts w:ascii="Times New Roman" w:hAnsi="Times New Roman"/>
          <w:color w:val="auto"/>
        </w:rPr>
        <w:t>城区中心，“两轴”指城市景观轴和城市生态轴，“三片”指西片（站前大道以西的老城</w:t>
      </w:r>
      <w:r>
        <w:rPr>
          <w:rFonts w:hint="eastAsia" w:ascii="Times New Roman" w:hAnsi="Times New Roman"/>
          <w:color w:val="auto"/>
          <w:szCs w:val="24"/>
        </w:rPr>
        <w:br w:type="textWrapping"/>
      </w:r>
      <w:r>
        <w:rPr>
          <w:rFonts w:ascii="Times New Roman" w:hAnsi="Times New Roman"/>
          <w:color w:val="auto"/>
        </w:rPr>
        <w:t>区形成西片中心）、东北片、东南片（新城区以横阳支江为界，以北为东北片，以南为东南片）。</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（2）次区域划分与发展引导</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为了区域协同发展，实现城乡统筹，依据各片区各片区资源禀赋、发展战略及发展条件提出次区域概念，将苍南县划分为灵溪片、龙港片、钱库片、金乡片、大渔湾片、矾山片、马站片和桥墩片共八个次区域。</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龙港次区域：强化中心功能，建设温州南部城镇群与鳌江流域中心城区的重要组成部分。包括龙港（包括原龙港、原芦蒲、原舥艚、原云岩）、宜山等乡镇和临港产业基地，陆域面积为 152.9 平方公里，龙港城镇建设用地规模为 2973 公顷，发展备用地为400 公顷，规划城镇人口为 32.5 万人，临港产业基地规划建设用地规模为 2000 公顷，发展备用地为 500 公顷，规划人口为 20 万人。龙港为鳌江流域中心城市的中心城区。</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重点做好旧城改造和新区建设，尤其建设滨海新城（临港产业新城）。进一步做强区域中心功能，加强人口、产业的集聚，建设温州南部城镇群与鳌江流域中心城区的重要组成部分。</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加强临港产业基地建设， 并预留足够的港区建设、 临港产业发展的余地。 加强宜山、原云岩等乡镇的产业引导和城镇空间布局，发挥城镇产业特色优势，强化城镇密集地区的生产力要素优势。宜山加强纺织、新材料等为特色的工贸型中心城区建设。加强片区的生态环境保护，严格控制各城镇的生态廊道建设，避免城镇空间连绵成片。</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（3）污水工程规划</w:t>
      </w:r>
      <w:r>
        <w:rPr>
          <w:rFonts w:hint="eastAsia" w:ascii="Times New Roman" w:hAnsi="Times New Roman"/>
          <w:color w:val="auto"/>
          <w:szCs w:val="24"/>
        </w:rPr>
        <w:br w:type="textWrapping"/>
      </w:r>
      <w:r>
        <w:rPr>
          <w:rFonts w:hint="eastAsia" w:ascii="Times New Roman" w:hAnsi="Times New Roman"/>
          <w:color w:val="auto"/>
        </w:rPr>
        <w:t xml:space="preserve">    </w:t>
      </w:r>
      <w:r>
        <w:rPr>
          <w:rFonts w:hint="eastAsia" w:cs="宋体"/>
          <w:color w:val="auto"/>
        </w:rPr>
        <w:t>①</w:t>
      </w:r>
      <w:r>
        <w:rPr>
          <w:rFonts w:ascii="Times New Roman" w:hAnsi="Times New Roman"/>
          <w:color w:val="auto"/>
        </w:rPr>
        <w:t>排水体制</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旧城区近期以截留式合流制加以过滤， 逐步改为以雨、 污分流制。 新区开发区以雨、污分流制。</w:t>
      </w:r>
    </w:p>
    <w:p>
      <w:pPr>
        <w:ind w:left="470" w:leftChars="196" w:firstLine="0" w:firstLineChars="0"/>
        <w:rPr>
          <w:rFonts w:ascii="Times New Roman" w:hAnsi="Times New Roman"/>
          <w:color w:val="auto"/>
        </w:rPr>
      </w:pPr>
      <w:r>
        <w:rPr>
          <w:rFonts w:hint="eastAsia" w:cs="宋体"/>
          <w:color w:val="auto"/>
        </w:rPr>
        <w:t>②</w:t>
      </w:r>
      <w:r>
        <w:rPr>
          <w:rFonts w:ascii="Times New Roman" w:hAnsi="Times New Roman"/>
          <w:color w:val="auto"/>
        </w:rPr>
        <w:t>污水系统规划</w:t>
      </w:r>
      <w:r>
        <w:rPr>
          <w:rFonts w:hint="eastAsia" w:ascii="Times New Roman" w:hAnsi="Times New Roman"/>
          <w:color w:val="auto"/>
          <w:szCs w:val="24"/>
        </w:rPr>
        <w:br w:type="textWrapping"/>
      </w:r>
      <w:r>
        <w:rPr>
          <w:rFonts w:ascii="Times New Roman" w:hAnsi="Times New Roman"/>
          <w:color w:val="auto"/>
        </w:rPr>
        <w:t>根据各区域地形特点、经济发展条件，对全县污水进行分区集中、处置。县域片</w:t>
      </w:r>
    </w:p>
    <w:p>
      <w:pPr>
        <w:ind w:firstLine="0" w:firstLineChars="0"/>
        <w:rPr>
          <w:rFonts w:ascii="Times New Roman" w:hAnsi="Times New Roman"/>
          <w:color w:val="auto"/>
        </w:rPr>
      </w:pPr>
      <w:r>
        <w:rPr>
          <w:rFonts w:ascii="Times New Roman" w:hAnsi="Times New Roman"/>
          <w:color w:val="auto"/>
        </w:rPr>
        <w:t>包括原灵溪镇、原观美镇、桥墩镇、藻溪镇、原浦亭乡、原凤池乡、龙港新城，由县域污水处理厂处理。龙港片包括原龙港镇、宜山镇，由龙港污水处理厂处理。舥艚片包括原望里镇、钱库镇、原金乡镇、原炎亭镇、原舥艚镇、原芦蒲镇、原仙居乡、原括山乡、原新安乡、临港工业园区，由舥艚污水处理厂处理。马站片包括原马站镇、原沿蒲镇、霞关镇、岱岭镇、原蒲城镇，由沿蒲污水处理厂处理。山区片包括原南宋镇、原莒溪镇、原赤溪镇、原矾山镇、原大渔镇、原昌禅乡、原腾垟乡、原石砰乡、原五凤乡、原中墩乡、凤阳乡、原渔寮乡，由各乡镇分散处理。</w:t>
      </w:r>
    </w:p>
    <w:p>
      <w:pPr>
        <w:ind w:left="470" w:leftChars="196" w:firstLine="0" w:firstLineChars="0"/>
        <w:rPr>
          <w:rFonts w:ascii="Times New Roman" w:hAnsi="Times New Roman"/>
          <w:color w:val="auto"/>
        </w:rPr>
      </w:pPr>
      <w:r>
        <w:rPr>
          <w:rFonts w:ascii="Times New Roman" w:hAnsi="Times New Roman"/>
          <w:color w:val="auto"/>
        </w:rPr>
        <w:t>（4）燃气工程规划</w:t>
      </w:r>
      <w:r>
        <w:rPr>
          <w:rFonts w:hint="eastAsia" w:ascii="Times New Roman" w:hAnsi="Times New Roman"/>
          <w:color w:val="auto"/>
          <w:szCs w:val="24"/>
        </w:rPr>
        <w:br w:type="textWrapping"/>
      </w:r>
      <w:r>
        <w:rPr>
          <w:rFonts w:ascii="Times New Roman" w:hAnsi="Times New Roman"/>
          <w:color w:val="auto"/>
        </w:rPr>
        <w:t>全县居民用气量约 3931 万 m</w:t>
      </w:r>
      <w:r>
        <w:rPr>
          <w:rFonts w:ascii="Times New Roman" w:hAnsi="Times New Roman"/>
          <w:color w:val="auto"/>
          <w:szCs w:val="24"/>
          <w:vertAlign w:val="superscript"/>
        </w:rPr>
        <w:t>3</w:t>
      </w:r>
      <w:r>
        <w:rPr>
          <w:rFonts w:ascii="Times New Roman" w:hAnsi="Times New Roman"/>
          <w:color w:val="auto"/>
        </w:rPr>
        <w:t>/年，其中中心城市为 2039.9 万 m</w:t>
      </w:r>
      <w:r>
        <w:rPr>
          <w:rFonts w:ascii="Times New Roman" w:hAnsi="Times New Roman"/>
          <w:color w:val="auto"/>
          <w:szCs w:val="24"/>
          <w:vertAlign w:val="superscript"/>
        </w:rPr>
        <w:t>3</w:t>
      </w:r>
      <w:r>
        <w:rPr>
          <w:rFonts w:ascii="Times New Roman" w:hAnsi="Times New Roman"/>
          <w:color w:val="auto"/>
        </w:rPr>
        <w:t xml:space="preserve">/年，乡镇为 </w:t>
      </w:r>
    </w:p>
    <w:p>
      <w:pPr>
        <w:ind w:firstLine="0" w:firstLineChars="0"/>
        <w:rPr>
          <w:rFonts w:ascii="Times New Roman" w:hAnsi="Times New Roman"/>
          <w:color w:val="auto"/>
        </w:rPr>
      </w:pPr>
      <w:r>
        <w:rPr>
          <w:rFonts w:ascii="Times New Roman" w:hAnsi="Times New Roman"/>
          <w:color w:val="auto"/>
        </w:rPr>
        <w:t>1891.1万 m</w:t>
      </w:r>
      <w:r>
        <w:rPr>
          <w:rFonts w:ascii="Times New Roman" w:hAnsi="Times New Roman"/>
          <w:color w:val="auto"/>
          <w:szCs w:val="24"/>
          <w:vertAlign w:val="superscript"/>
        </w:rPr>
        <w:t>3</w:t>
      </w:r>
      <w:r>
        <w:rPr>
          <w:rFonts w:ascii="Times New Roman" w:hAnsi="Times New Roman"/>
          <w:color w:val="auto"/>
        </w:rPr>
        <w:t>/年，公建、工业用气按居民用气量的 25%计，则全县用气量为4913.75 万 m</w:t>
      </w:r>
      <w:r>
        <w:rPr>
          <w:rFonts w:ascii="Times New Roman" w:hAnsi="Times New Roman"/>
          <w:color w:val="auto"/>
          <w:szCs w:val="24"/>
          <w:vertAlign w:val="superscript"/>
        </w:rPr>
        <w:t>3</w:t>
      </w:r>
      <w:r>
        <w:rPr>
          <w:rFonts w:ascii="Times New Roman" w:hAnsi="Times New Roman"/>
          <w:color w:val="auto"/>
        </w:rPr>
        <w:t>/年。</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根据《苍南县国民经济和社会发展第十二个五年规划纲要》（以下简称《纲要》），</w:t>
      </w:r>
      <w:r>
        <w:rPr>
          <w:rFonts w:hint="eastAsia" w:ascii="Times New Roman" w:hAnsi="Times New Roman"/>
          <w:color w:val="auto"/>
          <w:szCs w:val="24"/>
        </w:rPr>
        <w:br w:type="textWrapping"/>
      </w:r>
      <w:r>
        <w:rPr>
          <w:rFonts w:ascii="Times New Roman" w:hAnsi="Times New Roman"/>
          <w:color w:val="auto"/>
        </w:rPr>
        <w:t>按照科学布局引导的要求，统筹考虑苍南未来区域人口分布、生产力布局、国土利用和城镇化格局，推动形成主体功能区。积极推进生产要素和社会资源的高效利用，促进生产力布局调整和区域经济一体化协调发展，进一步优化县域空间布局，形成“一线三带两核两域”县域总体发展格局。加强海陆联动，全力推进沿海开发，促进海洋经济发展。</w:t>
      </w:r>
      <w:r>
        <w:rPr>
          <w:rFonts w:hint="eastAsia" w:ascii="Times New Roman" w:hAnsi="Times New Roman"/>
          <w:color w:val="auto"/>
          <w:szCs w:val="24"/>
        </w:rPr>
        <w:br w:type="textWrapping"/>
      </w:r>
      <w:r>
        <w:rPr>
          <w:rFonts w:hint="eastAsia" w:ascii="Times New Roman" w:hAnsi="Times New Roman"/>
          <w:color w:val="auto"/>
        </w:rPr>
        <w:t xml:space="preserve">    </w:t>
      </w:r>
      <w:r>
        <w:rPr>
          <w:rFonts w:ascii="Times New Roman" w:hAnsi="Times New Roman"/>
          <w:color w:val="auto"/>
        </w:rPr>
        <w:t>其中建设临港滨海新城（苍南临港滨海新城范围包含苍南临港产业基地、龙港东部片区、芦浦和巴曹镇区。北抵鳌江江堤、东至围垦区顺堤、南抵巴曹港区、西至龙港彩虹大道、芦浦镇区和巴曹镇区西侧边界，规划范围约 60 平方公里。总体规划范围分为核心区和协调区，其中江南海涂围垦 4.43 万亩为临港产业新城核心区）是实施沿海开发战略的重中之重，要按照“复兴、生态、转变、融合”的开发策略，发挥滨海城市空间、港口和区域交通干线等优越条件，将其建设成为一座产业发达、形象现代、功能完善、生态宜居的现代滨海新城。</w:t>
      </w:r>
    </w:p>
    <w:p>
      <w:pPr>
        <w:ind w:left="470" w:leftChars="196" w:firstLine="0" w:firstLineChars="0"/>
        <w:rPr>
          <w:rFonts w:ascii="Times New Roman" w:hAnsi="Times New Roman"/>
          <w:color w:val="auto"/>
        </w:rPr>
      </w:pPr>
      <w:r>
        <w:rPr>
          <w:rFonts w:ascii="Times New Roman" w:hAnsi="Times New Roman"/>
          <w:color w:val="auto"/>
        </w:rPr>
        <w:t>2、</w:t>
      </w:r>
      <w:r>
        <w:rPr>
          <w:rFonts w:hint="eastAsia" w:ascii="Times New Roman" w:hAnsi="Times New Roman"/>
          <w:color w:val="auto"/>
        </w:rPr>
        <w:t>苍南县龙港镇城市总体规划</w:t>
      </w:r>
      <w:r>
        <w:rPr>
          <w:rFonts w:hint="eastAsia" w:ascii="Times New Roman" w:hAnsi="Times New Roman"/>
          <w:color w:val="auto"/>
        </w:rPr>
        <w:br w:type="textWrapping"/>
      </w:r>
      <w:r>
        <w:rPr>
          <w:rFonts w:ascii="Times New Roman" w:hAnsi="Times New Roman"/>
          <w:color w:val="auto"/>
        </w:rPr>
        <w:t>（1）城市规划期限分为近期、中期和远期三个阶段。</w:t>
      </w:r>
      <w:r>
        <w:rPr>
          <w:rFonts w:hint="eastAsia" w:ascii="Times New Roman" w:hAnsi="Times New Roman"/>
          <w:color w:val="auto"/>
        </w:rPr>
        <w:br w:type="textWrapping"/>
      </w:r>
      <w:r>
        <w:rPr>
          <w:rFonts w:ascii="Times New Roman" w:hAnsi="Times New Roman"/>
          <w:color w:val="auto"/>
        </w:rPr>
        <w:t>近期： 2000年~2005年；中期： 2006年~2020年；远景：至2050年。目前已</w:t>
      </w:r>
    </w:p>
    <w:p>
      <w:pPr>
        <w:ind w:left="480" w:hanging="480" w:hangingChars="200"/>
        <w:rPr>
          <w:rFonts w:ascii="Times New Roman" w:hAnsi="Times New Roman"/>
          <w:color w:val="auto"/>
        </w:rPr>
      </w:pPr>
      <w:r>
        <w:rPr>
          <w:rFonts w:ascii="Times New Roman" w:hAnsi="Times New Roman"/>
          <w:color w:val="auto"/>
        </w:rPr>
        <w:t>发展至规划中期。</w:t>
      </w:r>
      <w:r>
        <w:rPr>
          <w:rFonts w:hint="eastAsia" w:ascii="Times New Roman" w:hAnsi="Times New Roman"/>
          <w:color w:val="auto"/>
        </w:rPr>
        <w:br w:type="textWrapping"/>
      </w:r>
      <w:r>
        <w:rPr>
          <w:rFonts w:ascii="Times New Roman" w:hAnsi="Times New Roman"/>
          <w:color w:val="auto"/>
        </w:rPr>
        <w:t>（2）城市性质与规划范围区</w:t>
      </w:r>
      <w:r>
        <w:rPr>
          <w:rFonts w:hint="eastAsia" w:ascii="Times New Roman" w:hAnsi="Times New Roman"/>
          <w:color w:val="auto"/>
        </w:rPr>
        <w:br w:type="textWrapping"/>
      </w:r>
      <w:r>
        <w:rPr>
          <w:rFonts w:ascii="Times New Roman" w:hAnsi="Times New Roman"/>
          <w:color w:val="auto"/>
        </w:rPr>
        <w:t>龙港的城镇性质确定为浙南闽东北地区现代化工贸港口城市。根据苍南县城镇体</w:t>
      </w:r>
    </w:p>
    <w:p>
      <w:pPr>
        <w:ind w:left="480" w:hanging="480" w:hangingChars="200"/>
        <w:rPr>
          <w:rFonts w:ascii="Times New Roman" w:hAnsi="Times New Roman"/>
          <w:color w:val="auto"/>
        </w:rPr>
      </w:pPr>
      <w:r>
        <w:rPr>
          <w:rFonts w:ascii="Times New Roman" w:hAnsi="Times New Roman"/>
          <w:color w:val="auto"/>
        </w:rPr>
        <w:t>系规划及苍南县组合城区片区划分的结果，龙港城市规划区范围面积为90平方公里</w:t>
      </w:r>
    </w:p>
    <w:p>
      <w:pPr>
        <w:ind w:left="480" w:hanging="480" w:hangingChars="200"/>
        <w:rPr>
          <w:rFonts w:ascii="Times New Roman" w:hAnsi="Times New Roman"/>
          <w:color w:val="auto"/>
        </w:rPr>
      </w:pPr>
      <w:r>
        <w:rPr>
          <w:rFonts w:ascii="Times New Roman" w:hAnsi="Times New Roman"/>
          <w:color w:val="auto"/>
        </w:rPr>
        <w:t>左右。</w:t>
      </w:r>
      <w:r>
        <w:rPr>
          <w:rFonts w:hint="eastAsia" w:ascii="Times New Roman" w:hAnsi="Times New Roman"/>
          <w:color w:val="auto"/>
        </w:rPr>
        <w:br w:type="textWrapping"/>
      </w:r>
      <w:r>
        <w:rPr>
          <w:rFonts w:ascii="Times New Roman" w:hAnsi="Times New Roman"/>
          <w:color w:val="auto"/>
        </w:rPr>
        <w:t>（3）城市用地规模</w:t>
      </w:r>
      <w:r>
        <w:rPr>
          <w:rFonts w:hint="eastAsia" w:ascii="Times New Roman" w:hAnsi="Times New Roman"/>
          <w:color w:val="auto"/>
        </w:rPr>
        <w:br w:type="textWrapping"/>
      </w:r>
      <w:r>
        <w:rPr>
          <w:rFonts w:ascii="Times New Roman" w:hAnsi="Times New Roman"/>
          <w:color w:val="auto"/>
        </w:rPr>
        <w:t>近期人均88.8平方米，城区用地规模为1953.6公顷；远期人均95平方米，城区</w:t>
      </w:r>
    </w:p>
    <w:p>
      <w:pPr>
        <w:ind w:left="480" w:hanging="480" w:hangingChars="200"/>
        <w:rPr>
          <w:rFonts w:ascii="Times New Roman" w:hAnsi="Times New Roman"/>
          <w:color w:val="auto"/>
        </w:rPr>
      </w:pPr>
      <w:r>
        <w:rPr>
          <w:rFonts w:ascii="Times New Roman" w:hAnsi="Times New Roman"/>
          <w:color w:val="auto"/>
        </w:rPr>
        <w:t>用地规模为3325.52公顷；远景人均100平方米，用地规模为5000.4公顷。</w:t>
      </w:r>
      <w:r>
        <w:rPr>
          <w:rFonts w:hint="eastAsia" w:ascii="Times New Roman" w:hAnsi="Times New Roman"/>
          <w:color w:val="auto"/>
        </w:rPr>
        <w:br w:type="textWrapping"/>
      </w:r>
      <w:r>
        <w:rPr>
          <w:rFonts w:ascii="Times New Roman" w:hAnsi="Times New Roman"/>
          <w:color w:val="auto"/>
        </w:rPr>
        <w:t>（4）城市总体布局结构</w:t>
      </w:r>
      <w:r>
        <w:rPr>
          <w:rFonts w:hint="eastAsia" w:ascii="Times New Roman" w:hAnsi="Times New Roman"/>
          <w:color w:val="auto"/>
        </w:rPr>
        <w:br w:type="textWrapping"/>
      </w:r>
      <w:r>
        <w:rPr>
          <w:rFonts w:ascii="Times New Roman" w:hAnsi="Times New Roman"/>
          <w:color w:val="auto"/>
        </w:rPr>
        <w:t>龙港城市用地总体布局模式为： “一心、二轴、三片区”。</w:t>
      </w:r>
      <w:r>
        <w:rPr>
          <w:rFonts w:hint="eastAsia" w:ascii="Times New Roman" w:hAnsi="Times New Roman"/>
          <w:color w:val="auto"/>
        </w:rPr>
        <w:br w:type="textWrapping"/>
      </w:r>
      <w:r>
        <w:rPr>
          <w:rFonts w:ascii="Times New Roman" w:hAnsi="Times New Roman"/>
          <w:color w:val="auto"/>
        </w:rPr>
        <w:t>“一心”即位于中央大道与世纪大道交叉口附近的城区中心区。该中心区布置了行</w:t>
      </w:r>
    </w:p>
    <w:p>
      <w:pPr>
        <w:ind w:left="480" w:hanging="480" w:hangingChars="200"/>
        <w:rPr>
          <w:rFonts w:ascii="Times New Roman" w:hAnsi="Times New Roman"/>
          <w:color w:val="auto"/>
        </w:rPr>
      </w:pPr>
      <w:r>
        <w:rPr>
          <w:rFonts w:ascii="Times New Roman" w:hAnsi="Times New Roman"/>
          <w:color w:val="auto"/>
        </w:rPr>
        <w:t>政、商业、科教、体育、绿化用地，体现作为一个现代化城市应具有的整体格局。</w:t>
      </w:r>
      <w:r>
        <w:rPr>
          <w:rFonts w:hint="eastAsia" w:ascii="Times New Roman" w:hAnsi="Times New Roman"/>
          <w:color w:val="auto"/>
        </w:rPr>
        <w:br w:type="textWrapping"/>
      </w:r>
      <w:r>
        <w:rPr>
          <w:rFonts w:ascii="Times New Roman" w:hAnsi="Times New Roman"/>
          <w:color w:val="auto"/>
        </w:rPr>
        <w:t>“二轴”指城市东西与南北两个方向的两条具有城市轴线意义的主要道路，分别为</w:t>
      </w:r>
    </w:p>
    <w:p>
      <w:pPr>
        <w:ind w:left="480" w:hanging="480" w:hangingChars="200"/>
        <w:rPr>
          <w:rFonts w:ascii="Times New Roman" w:hAnsi="Times New Roman"/>
          <w:color w:val="auto"/>
        </w:rPr>
      </w:pPr>
      <w:r>
        <w:rPr>
          <w:rFonts w:ascii="Times New Roman" w:hAnsi="Times New Roman"/>
          <w:color w:val="auto"/>
        </w:rPr>
        <w:t>南北向的中央大道和东西向的世纪大道。</w:t>
      </w:r>
      <w:r>
        <w:rPr>
          <w:rFonts w:hint="eastAsia" w:ascii="Times New Roman" w:hAnsi="Times New Roman"/>
          <w:color w:val="auto"/>
        </w:rPr>
        <w:br w:type="textWrapping"/>
      </w:r>
      <w:r>
        <w:rPr>
          <w:rFonts w:ascii="Times New Roman" w:hAnsi="Times New Roman"/>
          <w:color w:val="auto"/>
        </w:rPr>
        <w:t>“三片区”即按照主要道路、河流等将城区大致划分为三个片区：城北区、城东区、</w:t>
      </w:r>
    </w:p>
    <w:p>
      <w:pPr>
        <w:ind w:left="480" w:hanging="480" w:hangingChars="200"/>
        <w:rPr>
          <w:rFonts w:ascii="Times New Roman" w:hAnsi="Times New Roman"/>
          <w:color w:val="auto"/>
        </w:rPr>
      </w:pPr>
      <w:r>
        <w:rPr>
          <w:rFonts w:ascii="Times New Roman" w:hAnsi="Times New Roman"/>
          <w:color w:val="auto"/>
        </w:rPr>
        <w:t>城南区。城北区位于白河以北、通港路以西，基本为原有的旧城区；城东区位于通港</w:t>
      </w:r>
    </w:p>
    <w:p>
      <w:pPr>
        <w:ind w:firstLine="0" w:firstLineChars="0"/>
        <w:rPr>
          <w:rFonts w:ascii="Times New Roman" w:hAnsi="Times New Roman"/>
          <w:color w:val="auto"/>
        </w:rPr>
      </w:pPr>
      <w:r>
        <w:rPr>
          <w:rFonts w:ascii="Times New Roman" w:hAnsi="Times New Roman"/>
          <w:color w:val="auto"/>
        </w:rPr>
        <w:t>路以东，以工业、仓储为主；城南区位于白河以南，基本为新区，功能以商业、文化、行政、体育、居住等为主。</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w:t>
      </w:r>
    </w:p>
    <w:p>
      <w:pPr>
        <w:ind w:left="480" w:leftChars="200" w:firstLine="0" w:firstLineChars="0"/>
        <w:rPr>
          <w:rFonts w:ascii="Times New Roman" w:hAnsi="Times New Roman"/>
          <w:color w:val="auto"/>
        </w:rPr>
      </w:pPr>
      <w:r>
        <w:rPr>
          <w:rFonts w:ascii="Times New Roman" w:hAnsi="Times New Roman"/>
          <w:color w:val="auto"/>
        </w:rPr>
        <w:t>（6）城区建设用地布局规划</w:t>
      </w:r>
      <w:r>
        <w:rPr>
          <w:rFonts w:hint="eastAsia" w:ascii="Times New Roman" w:hAnsi="Times New Roman"/>
          <w:color w:val="auto"/>
        </w:rPr>
        <w:br w:type="textWrapping"/>
      </w:r>
      <w:r>
        <w:rPr>
          <w:rFonts w:hint="eastAsia" w:ascii="Times New Roman" w:hAnsi="Times New Roman" w:cs="宋体"/>
          <w:color w:val="auto"/>
        </w:rPr>
        <w:t>①</w:t>
      </w:r>
      <w:r>
        <w:rPr>
          <w:rFonts w:ascii="Times New Roman" w:hAnsi="Times New Roman"/>
          <w:color w:val="auto"/>
        </w:rPr>
        <w:t>工业用地布局</w:t>
      </w:r>
      <w:r>
        <w:rPr>
          <w:rFonts w:hint="eastAsia" w:ascii="Times New Roman" w:hAnsi="Times New Roman"/>
          <w:color w:val="auto"/>
        </w:rPr>
        <w:br w:type="textWrapping"/>
      </w:r>
      <w:r>
        <w:rPr>
          <w:rFonts w:ascii="Times New Roman" w:hAnsi="Times New Roman"/>
          <w:color w:val="auto"/>
        </w:rPr>
        <w:t>龙港工业布局的基本思路；调整布局结构，形成西、中、东三片工业区。</w:t>
      </w:r>
      <w:r>
        <w:rPr>
          <w:rFonts w:hint="eastAsia" w:ascii="Times New Roman" w:hAnsi="Times New Roman"/>
          <w:color w:val="auto"/>
        </w:rPr>
        <w:br w:type="textWrapping"/>
      </w:r>
      <w:r>
        <w:rPr>
          <w:rFonts w:ascii="Times New Roman" w:hAnsi="Times New Roman"/>
          <w:color w:val="auto"/>
        </w:rPr>
        <w:t>a、中部工业区；主要是龙港大桥以南，沿龙金公路分布的工业区。规划为以高</w:t>
      </w:r>
    </w:p>
    <w:p>
      <w:pPr>
        <w:ind w:left="480" w:hanging="480" w:hangingChars="200"/>
        <w:rPr>
          <w:rFonts w:ascii="Times New Roman" w:hAnsi="Times New Roman"/>
          <w:color w:val="auto"/>
        </w:rPr>
      </w:pPr>
      <w:r>
        <w:rPr>
          <w:rFonts w:ascii="Times New Roman" w:hAnsi="Times New Roman"/>
          <w:color w:val="auto"/>
        </w:rPr>
        <w:t>新技术为主的工业。</w:t>
      </w:r>
      <w:r>
        <w:rPr>
          <w:rFonts w:hint="eastAsia" w:ascii="Times New Roman" w:hAnsi="Times New Roman"/>
          <w:color w:val="auto"/>
        </w:rPr>
        <w:br w:type="textWrapping"/>
      </w:r>
      <w:r>
        <w:rPr>
          <w:rFonts w:ascii="Times New Roman" w:hAnsi="Times New Roman"/>
          <w:color w:val="auto"/>
        </w:rPr>
        <w:t>b、西部工业区：位于江山办事处、世纪大道的南侧，邻近高速公路的接线和铁</w:t>
      </w:r>
    </w:p>
    <w:p>
      <w:pPr>
        <w:ind w:left="480" w:hanging="480" w:hangingChars="200"/>
        <w:rPr>
          <w:rFonts w:ascii="Times New Roman" w:hAnsi="Times New Roman"/>
          <w:color w:val="auto"/>
        </w:rPr>
      </w:pPr>
      <w:r>
        <w:rPr>
          <w:rFonts w:ascii="Times New Roman" w:hAnsi="Times New Roman"/>
          <w:color w:val="auto"/>
        </w:rPr>
        <w:t>路站场，交通便利，规划以塑编为主的工业区。</w:t>
      </w:r>
      <w:r>
        <w:rPr>
          <w:rFonts w:hint="eastAsia" w:ascii="Times New Roman" w:hAnsi="Times New Roman"/>
          <w:color w:val="auto"/>
        </w:rPr>
        <w:br w:type="textWrapping"/>
      </w:r>
      <w:r>
        <w:rPr>
          <w:rFonts w:ascii="Times New Roman" w:hAnsi="Times New Roman"/>
          <w:color w:val="auto"/>
        </w:rPr>
        <w:t>c、东部工业区：位于螯江入海口以南。由于该区远离城市中心，地处河流下游，</w:t>
      </w:r>
    </w:p>
    <w:p>
      <w:pPr>
        <w:ind w:left="480" w:hanging="480" w:hangingChars="200"/>
        <w:rPr>
          <w:rFonts w:ascii="Times New Roman" w:hAnsi="Times New Roman"/>
          <w:color w:val="auto"/>
        </w:rPr>
      </w:pPr>
      <w:r>
        <w:rPr>
          <w:rFonts w:ascii="Times New Roman" w:hAnsi="Times New Roman"/>
          <w:color w:val="auto"/>
        </w:rPr>
        <w:t>有东海大道和龙巴公路便利的交通条件， 该区今后的发展方向是充分利用现有的工</w:t>
      </w:r>
    </w:p>
    <w:p>
      <w:pPr>
        <w:ind w:left="480" w:hanging="480" w:hangingChars="200"/>
        <w:rPr>
          <w:rFonts w:ascii="Times New Roman" w:hAnsi="Times New Roman"/>
          <w:color w:val="auto"/>
        </w:rPr>
      </w:pPr>
      <w:r>
        <w:rPr>
          <w:rFonts w:ascii="Times New Roman" w:hAnsi="Times New Roman"/>
          <w:color w:val="auto"/>
        </w:rPr>
        <w:t>业基础，建成以化学工业为主的化工基地。既可成为印刷工业区的原料生产基地，又</w:t>
      </w:r>
    </w:p>
    <w:p>
      <w:pPr>
        <w:ind w:left="480" w:hanging="480" w:hangingChars="200"/>
        <w:rPr>
          <w:rFonts w:ascii="Times New Roman" w:hAnsi="Times New Roman"/>
          <w:color w:val="auto"/>
        </w:rPr>
      </w:pPr>
      <w:r>
        <w:rPr>
          <w:rFonts w:ascii="Times New Roman" w:hAnsi="Times New Roman"/>
          <w:color w:val="auto"/>
        </w:rPr>
        <w:t>可成为龙港工业腾飞的强大后盾。</w:t>
      </w:r>
    </w:p>
    <w:p>
      <w:pPr>
        <w:ind w:firstLine="470" w:firstLineChars="196"/>
        <w:rPr>
          <w:rFonts w:ascii="Times New Roman" w:hAnsi="Times New Roman"/>
          <w:color w:val="auto"/>
        </w:rPr>
      </w:pPr>
      <w:r>
        <w:rPr>
          <w:rFonts w:ascii="Times New Roman" w:hAnsi="Times New Roman"/>
          <w:color w:val="auto"/>
        </w:rPr>
        <w:t>3、</w:t>
      </w:r>
      <w:r>
        <w:rPr>
          <w:rFonts w:hint="eastAsia" w:ascii="Times New Roman" w:hAnsi="Times New Roman"/>
          <w:color w:val="auto"/>
        </w:rPr>
        <w:t>苍南县龙港镇新城规划</w:t>
      </w:r>
    </w:p>
    <w:p>
      <w:pPr>
        <w:ind w:left="470" w:leftChars="196" w:firstLine="0" w:firstLineChars="0"/>
        <w:rPr>
          <w:rFonts w:ascii="Times New Roman" w:hAnsi="Times New Roman"/>
          <w:color w:val="auto"/>
        </w:rPr>
      </w:pPr>
      <w:r>
        <w:rPr>
          <w:rFonts w:ascii="Times New Roman" w:hAnsi="Times New Roman"/>
          <w:color w:val="auto"/>
        </w:rPr>
        <w:t>（1）龙港新城概况</w:t>
      </w:r>
      <w:r>
        <w:rPr>
          <w:rFonts w:hint="eastAsia" w:ascii="Times New Roman" w:hAnsi="Times New Roman"/>
          <w:color w:val="auto"/>
        </w:rPr>
        <w:br w:type="textWrapping"/>
      </w:r>
      <w:r>
        <w:rPr>
          <w:rFonts w:ascii="Times New Roman" w:hAnsi="Times New Roman"/>
          <w:color w:val="auto"/>
        </w:rPr>
        <w:t>龙港新城濒临苍南东部沿海，是浙台（苍南）经贸合作区的核心区，是苍南县实</w:t>
      </w:r>
    </w:p>
    <w:p>
      <w:pPr>
        <w:ind w:firstLine="0" w:firstLineChars="0"/>
        <w:rPr>
          <w:rFonts w:ascii="Times New Roman" w:hAnsi="Times New Roman"/>
          <w:color w:val="auto"/>
        </w:rPr>
      </w:pPr>
      <w:r>
        <w:rPr>
          <w:rFonts w:ascii="Times New Roman" w:hAnsi="Times New Roman"/>
          <w:color w:val="auto"/>
        </w:rPr>
        <w:t>施 “双海双区”战略主阵地。新城西起时代大道，东至二期围垦区，南至崇家岙港区，北至鳌江南岸，规划总面积为106.8 平方公里。</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龙港新城功能定位为：以建设区域中心城市和现代化都市区为目标，培育行政、金融、高等和职业教育、创意产业、港区经济、休闲旅游服务等新型城市职能，增强制造、商贸、物流等传统城市职能，建成浙江一流、温州领先的生态工贸滨海城区。</w:t>
      </w:r>
      <w:r>
        <w:rPr>
          <w:rFonts w:hint="eastAsia" w:ascii="Times New Roman" w:hAnsi="Times New Roman"/>
          <w:color w:val="auto"/>
        </w:rPr>
        <w:br w:type="textWrapping"/>
      </w:r>
      <w:r>
        <w:rPr>
          <w:rFonts w:ascii="Times New Roman" w:hAnsi="Times New Roman"/>
          <w:color w:val="auto"/>
        </w:rPr>
        <w:t>龙港新城共有五个区块：中央商务区、产业集聚区、港口经济区、现代农业综合区</w:t>
      </w:r>
      <w:r>
        <w:rPr>
          <w:rFonts w:hint="eastAsia" w:ascii="Times New Roman" w:hAnsi="Times New Roman"/>
          <w:color w:val="auto"/>
        </w:rPr>
        <w:br w:type="textWrapping"/>
      </w:r>
      <w:r>
        <w:rPr>
          <w:rFonts w:ascii="Times New Roman" w:hAnsi="Times New Roman"/>
          <w:color w:val="auto"/>
        </w:rPr>
        <w:t>和新城拓展区。</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龙港新城，高起点规划，高水平建设，优先发展滨海海洋产业（包括远洋渔业和渔业深加工），促进传统制造业转型升级，引进高新产业，大力发展战略性新兴产业和现代服务业（包括生活服务业和工业服务业），提高城市建设水平，增强城市竞争力；合理利用海涂围垦产生的土地资源及海洋岸线资源，进行适度开发的同时，大力加强海洋生态的修复和保护，促进海洋生态环境渐进稳步变化，全面建设生态环境优良、宜居宜业的滨海水乡城市。</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龙港新城具备便利的交通条件和区位优势，贯穿新城的沈海高速复线在龙港商务</w:t>
      </w:r>
      <w:r>
        <w:rPr>
          <w:rFonts w:hint="eastAsia" w:ascii="Times New Roman" w:hAnsi="Times New Roman"/>
          <w:color w:val="auto"/>
        </w:rPr>
        <w:br w:type="textWrapping"/>
      </w:r>
      <w:r>
        <w:rPr>
          <w:rFonts w:ascii="Times New Roman" w:hAnsi="Times New Roman"/>
          <w:color w:val="auto"/>
        </w:rPr>
        <w:t>区、产业集聚区各有一个互通口， 220 省道贯穿新城，灵海公路与县城新区连通，崇家岙港口为苍南、平阳、泰顺提供万吨级泊位；龙港新城具有优良的土地资源，拥有广阔的发展腹地和产业、人口集聚基础（周围有龙港、钱库、金乡、宜山等中心镇，人口达60 万），为人口集聚奠定基础；龙港新城具有电能供应稳定和片区集中供热的优势，可发展高效益无污染的产业。</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龙港新城具有巨大的开发建设潜力，县委县政府将举全县之力、汇全县之智、聚全县之才、全力打造，推进龙港新城开发建设，力争通过20 年的努力，把这一区域建设成为基础设施完善、产业层次高端、机制体制灵活、现代都市气息与浓郁田园风光交相辉映的滨海生态都市区。</w:t>
      </w:r>
    </w:p>
    <w:p>
      <w:pPr>
        <w:ind w:firstLine="472" w:firstLineChars="196"/>
        <w:rPr>
          <w:rFonts w:ascii="Times New Roman" w:hAnsi="Times New Roman"/>
          <w:color w:val="auto"/>
        </w:rPr>
      </w:pPr>
      <w:r>
        <w:rPr>
          <w:rFonts w:hint="eastAsia" w:ascii="Times New Roman" w:hAnsi="Times New Roman"/>
          <w:b/>
          <w:color w:val="auto"/>
        </w:rPr>
        <w:t>符合性分析：</w:t>
      </w:r>
      <w:r>
        <w:rPr>
          <w:rFonts w:hint="eastAsia" w:ascii="Times New Roman" w:hAnsi="Times New Roman"/>
          <w:color w:val="auto"/>
        </w:rPr>
        <w:t>本项目所在地位于</w:t>
      </w:r>
      <w:r>
        <w:rPr>
          <w:rFonts w:ascii="Times New Roman" w:hAnsi="Times New Roman"/>
          <w:color w:val="auto"/>
        </w:rPr>
        <w:t>苍南临港产业基地</w:t>
      </w:r>
      <w:r>
        <w:rPr>
          <w:rFonts w:hint="eastAsia" w:ascii="Times New Roman" w:hAnsi="Times New Roman"/>
          <w:color w:val="auto"/>
          <w:szCs w:val="24"/>
        </w:rPr>
        <w:t>，为县域重点发展区域</w:t>
      </w:r>
      <w:r>
        <w:rPr>
          <w:rFonts w:hint="eastAsia" w:ascii="Times New Roman" w:hAnsi="Times New Roman"/>
          <w:color w:val="auto"/>
        </w:rPr>
        <w:t>，本项目的建设符合</w:t>
      </w:r>
      <w:r>
        <w:rPr>
          <w:rStyle w:val="782"/>
          <w:rFonts w:hint="default" w:ascii="Times New Roman" w:hAnsi="Times New Roman"/>
          <w:color w:val="auto"/>
        </w:rPr>
        <w:t>城市总体规划</w:t>
      </w:r>
      <w:r>
        <w:rPr>
          <w:rFonts w:hint="eastAsia" w:ascii="Times New Roman" w:hAnsi="Times New Roman"/>
          <w:color w:val="auto"/>
        </w:rPr>
        <w:t>。</w:t>
      </w:r>
    </w:p>
    <w:p>
      <w:pPr>
        <w:pStyle w:val="4"/>
        <w:numPr>
          <w:ilvl w:val="0"/>
          <w:numId w:val="14"/>
        </w:numPr>
        <w:spacing w:beforeLines="0"/>
        <w:rPr>
          <w:rStyle w:val="782"/>
          <w:rFonts w:hint="default" w:ascii="Times New Roman" w:hAnsi="Times New Roman"/>
          <w:color w:val="auto"/>
        </w:rPr>
      </w:pPr>
      <w:r>
        <w:rPr>
          <w:rStyle w:val="782"/>
          <w:rFonts w:hint="default" w:ascii="Times New Roman" w:hAnsi="Times New Roman"/>
          <w:color w:val="auto"/>
        </w:rPr>
        <w:t>龙港新城产业集聚区控制性详细规划</w:t>
      </w:r>
    </w:p>
    <w:p>
      <w:pPr>
        <w:ind w:firstLine="470" w:firstLineChars="196"/>
        <w:rPr>
          <w:rFonts w:ascii="Times New Roman" w:hAnsi="Times New Roman"/>
          <w:color w:val="auto"/>
        </w:rPr>
      </w:pPr>
      <w:r>
        <w:rPr>
          <w:rFonts w:ascii="Times New Roman" w:hAnsi="Times New Roman"/>
          <w:color w:val="auto"/>
        </w:rPr>
        <w:t>苍南县人民政府正式下发了苍政发[2014]26 号文件《苍南县人民政府关于同意实</w:t>
      </w:r>
      <w:r>
        <w:rPr>
          <w:rFonts w:hint="eastAsia" w:ascii="Times New Roman" w:hAnsi="Times New Roman"/>
          <w:color w:val="auto"/>
        </w:rPr>
        <w:br w:type="textWrapping"/>
      </w:r>
      <w:r>
        <w:rPr>
          <w:rFonts w:ascii="Times New Roman" w:hAnsi="Times New Roman"/>
          <w:color w:val="auto"/>
        </w:rPr>
        <w:t>施苍南县龙港新城产业集聚区控制性详细规划的批复》，同意实施《苍南县龙港新城产业集聚区控制性详细规划》。</w:t>
      </w:r>
    </w:p>
    <w:p>
      <w:pPr>
        <w:ind w:firstLine="470" w:firstLineChars="196"/>
        <w:rPr>
          <w:rFonts w:ascii="Times New Roman" w:hAnsi="Times New Roman"/>
          <w:color w:val="auto"/>
        </w:rPr>
      </w:pPr>
      <w:r>
        <w:rPr>
          <w:rFonts w:ascii="Times New Roman" w:hAnsi="Times New Roman"/>
          <w:color w:val="auto"/>
        </w:rPr>
        <w:t>（1）规划范围</w:t>
      </w:r>
    </w:p>
    <w:p>
      <w:pPr>
        <w:ind w:firstLine="470" w:firstLineChars="196"/>
        <w:rPr>
          <w:rFonts w:ascii="Times New Roman" w:hAnsi="Times New Roman"/>
          <w:color w:val="auto"/>
        </w:rPr>
      </w:pPr>
      <w:r>
        <w:rPr>
          <w:rFonts w:ascii="Times New Roman" w:hAnsi="Times New Roman"/>
          <w:color w:val="auto"/>
        </w:rPr>
        <w:t>规划范围东至护城河，南至巴曹港区，西至时代大道，北至锦绣河，规划总用地面积为1274.09 公顷，其中建设用地面积约为1133.49 公顷，规划总人口为6.2万人，共302个地块，以工业用地为主。</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（2）功能定位</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龙港新城产业集聚区的功能定位为以高新科技产业生产及研发与传统产业提升兼顾，具有完善配套的生态型产业新城。打造成为传统产业与高新技术新兴产业蓬勃发展的产业高地，一座用生态理念传递城市价值的人性化产业城。</w:t>
      </w:r>
    </w:p>
    <w:p>
      <w:pPr>
        <w:ind w:firstLine="470" w:firstLineChars="196"/>
        <w:jc w:val="center"/>
        <w:rPr>
          <w:rFonts w:ascii="Times New Roman" w:hAnsi="Times New Roman"/>
          <w:color w:val="auto"/>
        </w:rPr>
      </w:pPr>
      <w:r>
        <w:rPr>
          <w:rFonts w:ascii="Times New Roman" w:hAnsi="Times New Roman"/>
          <w:color w:val="auto"/>
        </w:rPr>
        <w:pict>
          <v:shape id="_x0000_s5646" o:spid="_x0000_s5646" o:spt="61" type="#_x0000_t61" style="position:absolute;left:0pt;margin-left:349.6pt;margin-top:27.55pt;height:23.1pt;width:80.9pt;z-index:251651072;mso-width-relative:page;mso-height-relative:page;" coordsize="21600,21600" adj="-17368,108608">
            <v:path/>
            <v:fill focussize="0,0"/>
            <v:stroke joinstyle="miter"/>
            <v:imagedata o:title=""/>
            <o:lock v:ext="edit"/>
            <v:textbox>
              <w:txbxContent>
                <w:p>
                  <w:pPr>
                    <w:ind w:firstLine="0" w:firstLineChars="0"/>
                    <w:jc w:val="center"/>
                    <w:rPr>
                      <w:sz w:val="21"/>
                    </w:rPr>
                  </w:pPr>
                  <w:r>
                    <w:rPr>
                      <w:rFonts w:hint="eastAsia"/>
                      <w:sz w:val="21"/>
                    </w:rPr>
                    <w:t>项目所在地</w:t>
                  </w:r>
                </w:p>
              </w:txbxContent>
            </v:textbox>
          </v:shape>
        </w:pict>
      </w:r>
      <w:r>
        <w:rPr>
          <w:rFonts w:ascii="Times New Roman" w:hAnsi="Times New Roman"/>
          <w:color w:val="auto"/>
        </w:rPr>
        <w:drawing>
          <wp:inline distT="0" distB="0" distL="0" distR="0">
            <wp:extent cx="4676775" cy="28575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srcRect/>
                    <a:stretch>
                      <a:fillRect/>
                    </a:stretch>
                  </pic:blipFill>
                  <pic:spPr>
                    <a:xfrm>
                      <a:off x="0" y="0"/>
                      <a:ext cx="4676775" cy="2857500"/>
                    </a:xfrm>
                    <a:prstGeom prst="rect">
                      <a:avLst/>
                    </a:prstGeom>
                    <a:noFill/>
                    <a:ln w="9525">
                      <a:noFill/>
                      <a:miter lim="800000"/>
                      <a:headEnd/>
                      <a:tailEnd/>
                    </a:ln>
                  </pic:spPr>
                </pic:pic>
              </a:graphicData>
            </a:graphic>
          </wp:inline>
        </w:drawing>
      </w:r>
    </w:p>
    <w:p>
      <w:pPr>
        <w:ind w:firstLine="472" w:firstLineChars="196"/>
        <w:jc w:val="center"/>
        <w:rPr>
          <w:rFonts w:ascii="Times New Roman" w:hAnsi="Times New Roman"/>
          <w:color w:val="auto"/>
        </w:rPr>
      </w:pPr>
      <w:r>
        <w:rPr>
          <w:rFonts w:hint="eastAsia" w:ascii="Times New Roman" w:hAnsi="Times New Roman"/>
          <w:b/>
          <w:color w:val="auto"/>
        </w:rPr>
        <w:t xml:space="preserve">图2-1  </w:t>
      </w:r>
      <w:r>
        <w:rPr>
          <w:rFonts w:ascii="Times New Roman" w:hAnsi="Times New Roman"/>
          <w:b/>
          <w:color w:val="auto"/>
          <w:kern w:val="0"/>
        </w:rPr>
        <w:t>龙港新城产业集聚区控制性详细规划</w:t>
      </w:r>
      <w:r>
        <w:rPr>
          <w:rFonts w:hint="eastAsia" w:ascii="Times New Roman" w:hAnsi="Times New Roman"/>
          <w:b/>
          <w:color w:val="auto"/>
          <w:kern w:val="0"/>
        </w:rPr>
        <w:t>图</w:t>
      </w:r>
    </w:p>
    <w:p>
      <w:pPr>
        <w:ind w:left="470" w:leftChars="196" w:firstLine="0" w:firstLineChars="0"/>
        <w:rPr>
          <w:rFonts w:ascii="Times New Roman" w:hAnsi="Times New Roman"/>
          <w:color w:val="auto"/>
        </w:rPr>
      </w:pPr>
      <w:r>
        <w:rPr>
          <w:rFonts w:ascii="Times New Roman" w:hAnsi="Times New Roman"/>
          <w:color w:val="auto"/>
        </w:rPr>
        <w:t>（3）符合性分析</w:t>
      </w:r>
      <w:r>
        <w:rPr>
          <w:rFonts w:hint="eastAsia" w:ascii="Times New Roman" w:hAnsi="Times New Roman"/>
          <w:color w:val="auto"/>
        </w:rPr>
        <w:br w:type="textWrapping"/>
      </w:r>
      <w:r>
        <w:rPr>
          <w:rFonts w:ascii="Times New Roman" w:hAnsi="Times New Roman"/>
          <w:color w:val="auto"/>
        </w:rPr>
        <w:t>本项目位于温州市龙港</w:t>
      </w:r>
      <w:r>
        <w:rPr>
          <w:rFonts w:hint="eastAsia" w:ascii="Times New Roman" w:hAnsi="Times New Roman"/>
          <w:color w:val="auto"/>
        </w:rPr>
        <w:t>临港产业基地启动区东塘路385-441号</w:t>
      </w:r>
      <w:r>
        <w:rPr>
          <w:rFonts w:ascii="Times New Roman" w:hAnsi="Times New Roman"/>
          <w:color w:val="auto"/>
        </w:rPr>
        <w:t>，根据龙港新城</w:t>
      </w:r>
    </w:p>
    <w:p>
      <w:pPr>
        <w:ind w:firstLine="0" w:firstLineChars="0"/>
        <w:rPr>
          <w:rFonts w:ascii="Times New Roman" w:hAnsi="Times New Roman"/>
          <w:color w:val="auto"/>
        </w:rPr>
      </w:pPr>
      <w:r>
        <w:rPr>
          <w:rFonts w:ascii="Times New Roman" w:hAnsi="Times New Roman"/>
          <w:color w:val="auto"/>
        </w:rPr>
        <w:t>产业集聚区控制性详细规划</w:t>
      </w:r>
      <w:r>
        <w:rPr>
          <w:rFonts w:hint="eastAsia" w:ascii="Times New Roman" w:hAnsi="Times New Roman"/>
          <w:color w:val="auto"/>
        </w:rPr>
        <w:t>图</w:t>
      </w:r>
      <w:r>
        <w:rPr>
          <w:rFonts w:ascii="Times New Roman" w:hAnsi="Times New Roman"/>
          <w:color w:val="auto"/>
        </w:rPr>
        <w:t>可知，规划用地性质为工业用地，因此符合《苍南县龙港新城产业集聚区控制性详细规划》的要求。</w:t>
      </w:r>
    </w:p>
    <w:p>
      <w:pPr>
        <w:pStyle w:val="4"/>
        <w:numPr>
          <w:ilvl w:val="0"/>
          <w:numId w:val="14"/>
        </w:numPr>
        <w:spacing w:beforeLines="0"/>
        <w:rPr>
          <w:rStyle w:val="782"/>
          <w:rFonts w:hint="default" w:ascii="Times New Roman" w:hAnsi="Times New Roman"/>
          <w:color w:val="auto"/>
        </w:rPr>
      </w:pPr>
      <w:r>
        <w:rPr>
          <w:rStyle w:val="782"/>
          <w:rFonts w:hint="default" w:ascii="Times New Roman" w:hAnsi="Times New Roman"/>
          <w:color w:val="auto"/>
        </w:rPr>
        <w:t>《苍南县龙港新城产业集聚区控制性详细规划环境影响报告书》（2017.9）</w:t>
      </w:r>
    </w:p>
    <w:p>
      <w:pPr>
        <w:ind w:firstLine="0" w:firstLineChars="0"/>
        <w:rPr>
          <w:rFonts w:ascii="Times New Roman" w:hAnsi="Times New Roman"/>
          <w:color w:val="auto"/>
        </w:rPr>
      </w:pPr>
      <w:r>
        <w:rPr>
          <w:rFonts w:hint="eastAsia" w:ascii="Times New Roman" w:hAnsi="Times New Roman"/>
          <w:color w:val="auto"/>
        </w:rPr>
        <w:t xml:space="preserve">    </w:t>
      </w:r>
      <w:r>
        <w:rPr>
          <w:rFonts w:ascii="Times New Roman" w:hAnsi="Times New Roman"/>
          <w:color w:val="auto"/>
        </w:rPr>
        <w:t>《苍南县龙港新城产业集聚区控制性详细规划环境影响报告书》于 2017 年 8 月由浙江中蓝环境科技有限公司编制完成，经原苍南县环境保护局审查。</w:t>
      </w:r>
    </w:p>
    <w:p>
      <w:pPr>
        <w:ind w:firstLine="480"/>
        <w:rPr>
          <w:rFonts w:ascii="Times New Roman" w:hAnsi="Times New Roman"/>
          <w:color w:val="auto"/>
        </w:rPr>
      </w:pPr>
      <w:r>
        <w:rPr>
          <w:rFonts w:ascii="Times New Roman" w:hAnsi="Times New Roman"/>
          <w:color w:val="auto"/>
        </w:rPr>
        <w:t>规划环评结论：本规划功能定位清晰，在规划目标、发展定位、产业发展导向等方面与浙江省主体功能区规划、苍南县域总体规划、温州市龙港城市总体规划、苍南县土地利用规划、苍南县环境功能区划等上位规要求一致， 规划目标与当前环保要求相符，发展定位符合大环境背景要求。</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结合规划环境保护目标与评价指标的可达性分析，本环评认为《苍南县龙港新城产业集聚区控制性详细规划》方案在调整用地规划布局、修编环境功能区小区负面清单、优化污水处理厂排污去向、落实集中供热管网建设等，严格落实资源保护和环境影响减缓对策和措施后， 从资源环境保护而言是可行的， 也有利于促进区域经济、 社会的协调、可持续发展。</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苍南县龙港新城产业集聚区环评审批“负面清单”</w:t>
      </w:r>
    </w:p>
    <w:p>
      <w:pPr>
        <w:ind w:firstLine="0" w:firstLineChars="0"/>
        <w:rPr>
          <w:rFonts w:ascii="Times New Roman" w:hAnsi="Times New Roman"/>
          <w:color w:val="auto"/>
        </w:rPr>
      </w:pPr>
      <w:r>
        <w:rPr>
          <w:rFonts w:ascii="Times New Roman" w:hAnsi="Times New Roman"/>
          <w:color w:val="auto"/>
        </w:rPr>
        <w:drawing>
          <wp:inline distT="0" distB="0" distL="0" distR="0">
            <wp:extent cx="5610225" cy="196215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cstate="print"/>
                    <a:srcRect/>
                    <a:stretch>
                      <a:fillRect/>
                    </a:stretch>
                  </pic:blipFill>
                  <pic:spPr>
                    <a:xfrm>
                      <a:off x="0" y="0"/>
                      <a:ext cx="5610225" cy="1962150"/>
                    </a:xfrm>
                    <a:prstGeom prst="rect">
                      <a:avLst/>
                    </a:prstGeom>
                    <a:noFill/>
                    <a:ln w="9525">
                      <a:noFill/>
                      <a:miter lim="800000"/>
                      <a:headEnd/>
                      <a:tailEnd/>
                    </a:ln>
                  </pic:spPr>
                </pic:pic>
              </a:graphicData>
            </a:graphic>
          </wp:inline>
        </w:drawing>
      </w:r>
    </w:p>
    <w:p>
      <w:pPr>
        <w:ind w:firstLine="480"/>
        <w:rPr>
          <w:rFonts w:ascii="Times New Roman" w:hAnsi="Times New Roman"/>
          <w:color w:val="auto"/>
        </w:rPr>
      </w:pPr>
      <w:r>
        <w:rPr>
          <w:rFonts w:hint="eastAsia" w:ascii="Times New Roman" w:hAnsi="Times New Roman"/>
          <w:color w:val="auto"/>
        </w:rPr>
        <w:t>符合性分析：</w:t>
      </w:r>
      <w:r>
        <w:rPr>
          <w:rFonts w:ascii="Times New Roman" w:hAnsi="Times New Roman"/>
          <w:color w:val="auto"/>
        </w:rPr>
        <w:t>本项目所在的温州市龙港</w:t>
      </w:r>
      <w:r>
        <w:rPr>
          <w:rFonts w:hint="eastAsia" w:ascii="Times New Roman" w:hAnsi="Times New Roman"/>
          <w:color w:val="auto"/>
        </w:rPr>
        <w:t>临港产业基地启动区东塘路385-441号内4号楼</w:t>
      </w:r>
      <w:r>
        <w:rPr>
          <w:rFonts w:ascii="Times New Roman" w:hAnsi="Times New Roman"/>
          <w:color w:val="auto"/>
        </w:rPr>
        <w:t>厂房属于工业用地，项目属于规划环评中行业准入清单中的 4220 非金属废料和碎屑加工处理行业，不属于《苍南县龙港新城产业集聚区控制性详细规划环境影响报告书》所规定的环评审批“负面清单”行业，</w:t>
      </w:r>
      <w:r>
        <w:rPr>
          <w:rFonts w:hint="eastAsia" w:ascii="Times New Roman" w:hAnsi="Times New Roman"/>
          <w:color w:val="auto"/>
        </w:rPr>
        <w:t>本项目使用先进设备，各污染物经处理后达标排放。</w:t>
      </w:r>
      <w:r>
        <w:rPr>
          <w:rFonts w:ascii="Times New Roman" w:hAnsi="Times New Roman"/>
          <w:color w:val="auto"/>
        </w:rPr>
        <w:t>因此本项目符合苍南县龙港新城产业集聚区控制性详细规划及其规划环评的要求。</w:t>
      </w:r>
    </w:p>
    <w:p>
      <w:pPr>
        <w:pStyle w:val="4"/>
        <w:numPr>
          <w:ilvl w:val="0"/>
          <w:numId w:val="14"/>
        </w:numPr>
        <w:spacing w:beforeLines="0"/>
        <w:rPr>
          <w:rStyle w:val="782"/>
          <w:rFonts w:hint="default" w:ascii="Times New Roman" w:hAnsi="Times New Roman"/>
          <w:color w:val="auto"/>
        </w:rPr>
      </w:pPr>
      <w:r>
        <w:rPr>
          <w:rStyle w:val="782"/>
          <w:rFonts w:hint="default" w:ascii="Times New Roman" w:hAnsi="Times New Roman"/>
          <w:color w:val="auto"/>
        </w:rPr>
        <w:t>苍南临港产业基地启动区污水处理厂概况</w:t>
      </w:r>
    </w:p>
    <w:p>
      <w:pPr>
        <w:ind w:firstLine="480"/>
        <w:rPr>
          <w:rFonts w:ascii="Times New Roman" w:hAnsi="Times New Roman"/>
          <w:color w:val="auto"/>
        </w:rPr>
      </w:pPr>
      <w:r>
        <w:rPr>
          <w:rFonts w:ascii="Times New Roman" w:hAnsi="Times New Roman"/>
          <w:color w:val="auto"/>
        </w:rPr>
        <w:t>苍南临港产业基地启动区污水处理厂， 是苍南县龙港新城管委会的苍南临港产业基地投资开发有限公司于 2010 年报苍南县发改局立项（苍发改投[2010]100 号），位于临港产业基地启动区时代大道以东，纬三路以南，海景大道北侧地块，用地面积 25.1 亩，总投资 3385 万元，工程规模为日处理污水 1.8 万吨。</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苍南临港产业基地启动区污水处理厂服务范围为启动区北片、高新技术产业园东</w:t>
      </w:r>
      <w:r>
        <w:rPr>
          <w:rFonts w:hint="eastAsia" w:ascii="Times New Roman" w:hAnsi="Times New Roman"/>
          <w:color w:val="auto"/>
        </w:rPr>
        <w:br w:type="textWrapping"/>
      </w:r>
      <w:r>
        <w:rPr>
          <w:rFonts w:ascii="Times New Roman" w:hAnsi="Times New Roman"/>
          <w:color w:val="auto"/>
        </w:rPr>
        <w:t>片、芦浦片、钱库镇仙居片范围内城镇生活污水，污水处理厂生化处理工艺 A</w:t>
      </w:r>
      <w:r>
        <w:rPr>
          <w:rFonts w:ascii="Times New Roman" w:hAnsi="Times New Roman"/>
          <w:color w:val="auto"/>
          <w:vertAlign w:val="superscript"/>
        </w:rPr>
        <w:t>2</w:t>
      </w:r>
      <w:r>
        <w:rPr>
          <w:rFonts w:ascii="Times New Roman" w:hAnsi="Times New Roman"/>
          <w:color w:val="auto"/>
        </w:rPr>
        <w:t>/O-SBR</w:t>
      </w:r>
      <w:r>
        <w:rPr>
          <w:rFonts w:hint="eastAsia" w:ascii="Times New Roman" w:hAnsi="Times New Roman"/>
          <w:color w:val="auto"/>
        </w:rPr>
        <w:br w:type="textWrapping"/>
      </w:r>
      <w:r>
        <w:rPr>
          <w:rFonts w:ascii="Times New Roman" w:hAnsi="Times New Roman"/>
          <w:color w:val="auto"/>
        </w:rPr>
        <w:t>工艺，该工艺是根据 SBR 技术特点，结合传统活性污泥技术，发展出来的更为理想的废水处理工艺，该工艺无需设置初沉、二沉池，仍能连续出水、进水，并且水位恒定。采用三池多格形式，大大节省了连接管道、泵及阀门，而且，由于不再间断排水，使池容及设备利用率达到最大。A</w:t>
      </w:r>
      <w:r>
        <w:rPr>
          <w:rFonts w:ascii="Times New Roman" w:hAnsi="Times New Roman"/>
          <w:color w:val="auto"/>
          <w:vertAlign w:val="superscript"/>
        </w:rPr>
        <w:t>2</w:t>
      </w:r>
      <w:r>
        <w:rPr>
          <w:rFonts w:ascii="Times New Roman" w:hAnsi="Times New Roman"/>
          <w:color w:val="auto"/>
        </w:rPr>
        <w:t>/O-SBR 工艺已广泛应用于市政污水及各类工业废水的处理。污水处理厂进水水质执行《污水综合排放标准》（GB8978-1996）中的三级标准，</w:t>
      </w:r>
      <w:r>
        <w:rPr>
          <w:rStyle w:val="782"/>
          <w:rFonts w:hint="default" w:ascii="Times New Roman" w:hAnsi="Times New Roman"/>
          <w:color w:val="auto"/>
        </w:rPr>
        <w:t>污水处理厂提标工程尚未验收完成，故</w:t>
      </w:r>
      <w:r>
        <w:rPr>
          <w:rFonts w:ascii="Times New Roman" w:hAnsi="Times New Roman"/>
          <w:color w:val="auto"/>
        </w:rPr>
        <w:t>出水水质近期执行《城镇污水处理厂污染物排放标准》（GB18918-2002）二级排放标准，远期待污苍南临港产业基地启动区污水处理厂提标工程</w:t>
      </w:r>
      <w:r>
        <w:rPr>
          <w:rFonts w:hint="eastAsia" w:ascii="Times New Roman" w:hAnsi="Times New Roman"/>
          <w:color w:val="auto"/>
        </w:rPr>
        <w:t>验收</w:t>
      </w:r>
      <w:r>
        <w:rPr>
          <w:rFonts w:ascii="Times New Roman" w:hAnsi="Times New Roman"/>
          <w:color w:val="auto"/>
        </w:rPr>
        <w:t>完成后执行《城镇污水处理厂污染物排放标准》（GB18918-2002）一级 A 排放标准，最终排入东海海域。</w:t>
      </w:r>
      <w:r>
        <w:rPr>
          <w:rFonts w:hint="eastAsia" w:ascii="Times New Roman" w:hAnsi="Times New Roman"/>
          <w:color w:val="auto"/>
        </w:rPr>
        <w:br w:type="textWrapping"/>
      </w:r>
      <w:r>
        <w:rPr>
          <w:rFonts w:hint="eastAsia" w:ascii="Times New Roman" w:hAnsi="Times New Roman"/>
          <w:color w:val="auto"/>
        </w:rPr>
        <w:t xml:space="preserve">    </w:t>
      </w:r>
      <w:r>
        <w:rPr>
          <w:rFonts w:ascii="Times New Roman" w:hAnsi="Times New Roman"/>
          <w:color w:val="auto"/>
        </w:rPr>
        <w:t>根据《2018 年第 4 季度温州市集中式污水处理厂监督性监测达标情况》，苍南临港产业基地启动区污水处理厂进出水水质详细情况见表 2-2</w:t>
      </w:r>
      <w:r>
        <w:rPr>
          <w:rFonts w:hint="eastAsia" w:ascii="Times New Roman" w:hAnsi="Times New Roman"/>
          <w:color w:val="auto"/>
        </w:rPr>
        <w:t>1</w:t>
      </w:r>
      <w:r>
        <w:rPr>
          <w:rFonts w:ascii="Times New Roman" w:hAnsi="Times New Roman"/>
          <w:color w:val="auto"/>
        </w:rPr>
        <w:t>。</w:t>
      </w:r>
    </w:p>
    <w:p>
      <w:pPr>
        <w:numPr>
          <w:ilvl w:val="0"/>
          <w:numId w:val="12"/>
        </w:numPr>
        <w:spacing w:line="240" w:lineRule="auto"/>
        <w:ind w:firstLineChars="0"/>
        <w:jc w:val="center"/>
        <w:rPr>
          <w:rFonts w:ascii="Times New Roman" w:hAnsi="Times New Roman"/>
          <w:b/>
          <w:color w:val="auto"/>
          <w:sz w:val="21"/>
        </w:rPr>
      </w:pPr>
      <w:r>
        <w:rPr>
          <w:rFonts w:ascii="Times New Roman" w:hAnsi="Times New Roman"/>
          <w:b/>
          <w:color w:val="auto"/>
          <w:sz w:val="21"/>
        </w:rPr>
        <w:t>苍南县临港产业基地启动区污水处理厂 2018 年第 4 季度进出水水质情况</w:t>
      </w:r>
    </w:p>
    <w:p>
      <w:pPr>
        <w:ind w:firstLine="0" w:firstLineChars="0"/>
        <w:rPr>
          <w:rFonts w:ascii="Times New Roman" w:hAnsi="Times New Roman"/>
          <w:color w:val="auto"/>
        </w:rPr>
      </w:pPr>
      <w:r>
        <w:rPr>
          <w:rFonts w:ascii="Times New Roman" w:hAnsi="Times New Roman"/>
          <w:color w:val="auto"/>
        </w:rPr>
        <w:drawing>
          <wp:inline distT="0" distB="0" distL="0" distR="0">
            <wp:extent cx="5610225" cy="40386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cstate="print"/>
                    <a:srcRect/>
                    <a:stretch>
                      <a:fillRect/>
                    </a:stretch>
                  </pic:blipFill>
                  <pic:spPr>
                    <a:xfrm>
                      <a:off x="0" y="0"/>
                      <a:ext cx="5610225" cy="4038600"/>
                    </a:xfrm>
                    <a:prstGeom prst="rect">
                      <a:avLst/>
                    </a:prstGeom>
                    <a:noFill/>
                    <a:ln w="9525">
                      <a:noFill/>
                      <a:miter lim="800000"/>
                      <a:headEnd/>
                      <a:tailEnd/>
                    </a:ln>
                  </pic:spPr>
                </pic:pic>
              </a:graphicData>
            </a:graphic>
          </wp:inline>
        </w:drawing>
      </w:r>
    </w:p>
    <w:p>
      <w:pPr>
        <w:ind w:firstLine="480"/>
        <w:rPr>
          <w:rFonts w:ascii="Times New Roman" w:hAnsi="Times New Roman"/>
          <w:color w:val="auto"/>
        </w:rPr>
      </w:pPr>
      <w:r>
        <w:rPr>
          <w:rFonts w:ascii="Times New Roman" w:hAnsi="Times New Roman"/>
          <w:color w:val="auto"/>
        </w:rPr>
        <w:t>根据上表可知，苍南临港产业基地启动区污水处理厂运行良好，各项指标均能处理达到《城镇污水处理厂污染物排放标准》（GB18918-2002）中的二级标准后排放。</w:t>
      </w:r>
    </w:p>
    <w:p>
      <w:pPr>
        <w:ind w:firstLine="482"/>
        <w:rPr>
          <w:rFonts w:ascii="Times New Roman" w:hAnsi="Times New Roman"/>
          <w:b/>
          <w:color w:val="auto"/>
        </w:rPr>
      </w:pPr>
      <w:r>
        <w:rPr>
          <w:rFonts w:hint="eastAsia" w:ascii="Times New Roman" w:hAnsi="Times New Roman"/>
          <w:b/>
          <w:color w:val="auto"/>
        </w:rPr>
        <w:t>本项目排水情况</w:t>
      </w:r>
    </w:p>
    <w:p>
      <w:pPr>
        <w:ind w:firstLine="480"/>
        <w:rPr>
          <w:rFonts w:ascii="Times New Roman" w:hAnsi="Times New Roman"/>
          <w:color w:val="auto"/>
        </w:rPr>
      </w:pPr>
      <w:r>
        <w:rPr>
          <w:rFonts w:ascii="Times New Roman" w:hAnsi="Times New Roman"/>
          <w:color w:val="auto"/>
        </w:rPr>
        <w:t>本项目无生产废水排放，废水主要为员工生活污水，</w:t>
      </w:r>
      <w:r>
        <w:rPr>
          <w:rStyle w:val="782"/>
          <w:rFonts w:hint="default" w:ascii="Times New Roman" w:hAnsi="Times New Roman"/>
          <w:color w:val="auto"/>
        </w:rPr>
        <w:t>经化粪池预处理达到《污水综合排放标准》（</w:t>
      </w:r>
      <w:r>
        <w:rPr>
          <w:rStyle w:val="789"/>
          <w:rFonts w:hint="default" w:ascii="Times New Roman" w:hAnsi="Times New Roman" w:eastAsia="宋体"/>
          <w:color w:val="auto"/>
        </w:rPr>
        <w:t>GB8978-1996</w:t>
      </w:r>
      <w:r>
        <w:rPr>
          <w:rStyle w:val="782"/>
          <w:rFonts w:hint="default" w:ascii="Times New Roman" w:hAnsi="Times New Roman"/>
          <w:color w:val="auto"/>
        </w:rPr>
        <w:t xml:space="preserve">）三级标准（其中氨氮、总磷污染物纳管排放浓度执行浙江省地方标准《工业企业氮、磷污染物排放标准限值》 </w:t>
      </w:r>
      <w:r>
        <w:rPr>
          <w:rStyle w:val="789"/>
          <w:rFonts w:hint="default" w:ascii="Times New Roman" w:hAnsi="Times New Roman" w:eastAsia="宋体"/>
          <w:color w:val="auto"/>
        </w:rPr>
        <w:t>&lt; DB33/887-2013&gt;</w:t>
      </w:r>
      <w:r>
        <w:rPr>
          <w:rStyle w:val="782"/>
          <w:rFonts w:hint="default" w:ascii="Times New Roman" w:hAnsi="Times New Roman"/>
          <w:color w:val="auto"/>
        </w:rPr>
        <w:t>）后纳入市政污水管网，</w:t>
      </w:r>
      <w:r>
        <w:rPr>
          <w:rFonts w:ascii="Times New Roman" w:hAnsi="Times New Roman"/>
          <w:color w:val="auto"/>
        </w:rPr>
        <w:t>最终进入苍南临港产业基地启动区污水处理厂处理达到《城镇污水处理厂污染物排放标准》（GB18918-2002）相应标准（近期执行二级标准，远期执行一级 A 标准）。</w:t>
      </w:r>
      <w:r>
        <w:rPr>
          <w:rFonts w:hint="eastAsia" w:ascii="Times New Roman" w:hAnsi="Times New Roman"/>
          <w:color w:val="auto"/>
        </w:rPr>
        <w:br w:type="textWrapping"/>
      </w:r>
    </w:p>
    <w:p>
      <w:pPr>
        <w:ind w:firstLine="480"/>
        <w:rPr>
          <w:rFonts w:ascii="Times New Roman" w:hAnsi="Times New Roman"/>
          <w:color w:val="auto"/>
        </w:rPr>
      </w:pPr>
    </w:p>
    <w:p>
      <w:pPr>
        <w:ind w:firstLine="480"/>
        <w:rPr>
          <w:rFonts w:ascii="Times New Roman" w:hAnsi="Times New Roman"/>
          <w:color w:val="auto"/>
        </w:rPr>
        <w:sectPr>
          <w:pgSz w:w="11906" w:h="16838"/>
          <w:pgMar w:top="1440" w:right="1531" w:bottom="1440" w:left="1531" w:header="851" w:footer="992" w:gutter="0"/>
          <w:cols w:space="720" w:num="1"/>
          <w:docGrid w:linePitch="312" w:charSpace="0"/>
        </w:sectPr>
      </w:pPr>
    </w:p>
    <w:p>
      <w:pPr>
        <w:pStyle w:val="592"/>
        <w:numPr>
          <w:ilvl w:val="0"/>
          <w:numId w:val="6"/>
        </w:numPr>
        <w:ind w:left="0" w:firstLine="0"/>
        <w:rPr>
          <w:color w:val="auto"/>
        </w:rPr>
      </w:pPr>
      <w:bookmarkStart w:id="27" w:name="_Toc37350048"/>
      <w:r>
        <w:rPr>
          <w:rFonts w:hint="eastAsia"/>
          <w:color w:val="auto"/>
        </w:rPr>
        <w:t>主要环境保护目标</w:t>
      </w:r>
      <w:bookmarkEnd w:id="27"/>
    </w:p>
    <w:p>
      <w:pPr>
        <w:adjustRightInd w:val="0"/>
        <w:snapToGrid w:val="0"/>
        <w:ind w:firstLine="480" w:firstLineChars="0"/>
        <w:jc w:val="left"/>
        <w:rPr>
          <w:rFonts w:ascii="Times New Roman" w:hAnsi="Times New Roman"/>
          <w:b/>
          <w:color w:val="auto"/>
          <w:szCs w:val="20"/>
        </w:rPr>
      </w:pPr>
      <w:r>
        <w:rPr>
          <w:rFonts w:ascii="Times New Roman" w:hAnsi="Times New Roman"/>
          <w:color w:val="auto"/>
          <w:szCs w:val="20"/>
        </w:rPr>
        <w:t>项目环境保护目标如下：</w:t>
      </w:r>
    </w:p>
    <w:p>
      <w:pPr>
        <w:adjustRightInd w:val="0"/>
        <w:snapToGrid w:val="0"/>
        <w:ind w:firstLine="480" w:firstLineChars="0"/>
        <w:jc w:val="left"/>
        <w:rPr>
          <w:rFonts w:ascii="Times New Roman" w:hAnsi="Times New Roman"/>
          <w:color w:val="auto"/>
          <w:szCs w:val="20"/>
        </w:rPr>
      </w:pPr>
      <w:r>
        <w:rPr>
          <w:rFonts w:ascii="Times New Roman" w:hAnsi="Times New Roman"/>
          <w:color w:val="auto"/>
          <w:szCs w:val="20"/>
        </w:rPr>
        <w:t>（1）环境空气主要保护目标</w:t>
      </w:r>
    </w:p>
    <w:p>
      <w:pPr>
        <w:adjustRightInd w:val="0"/>
        <w:snapToGrid w:val="0"/>
        <w:ind w:firstLine="480" w:firstLineChars="0"/>
        <w:jc w:val="left"/>
        <w:rPr>
          <w:rFonts w:ascii="Times New Roman" w:hAnsi="Times New Roman"/>
          <w:color w:val="auto"/>
          <w:szCs w:val="20"/>
        </w:rPr>
      </w:pPr>
      <w:r>
        <w:rPr>
          <w:rFonts w:ascii="Times New Roman" w:hAnsi="Times New Roman"/>
          <w:color w:val="auto"/>
          <w:szCs w:val="20"/>
        </w:rPr>
        <w:t>评价范围内的环境空气达到《环境空气质量标准》(GB3095 -2012)中的二级标准。</w:t>
      </w:r>
    </w:p>
    <w:p>
      <w:pPr>
        <w:adjustRightInd w:val="0"/>
        <w:snapToGrid w:val="0"/>
        <w:ind w:firstLine="482" w:firstLineChars="0"/>
        <w:jc w:val="left"/>
        <w:rPr>
          <w:rFonts w:ascii="Times New Roman" w:hAnsi="Times New Roman"/>
          <w:color w:val="auto"/>
          <w:szCs w:val="20"/>
        </w:rPr>
      </w:pPr>
      <w:r>
        <w:rPr>
          <w:rFonts w:ascii="Times New Roman" w:hAnsi="Times New Roman"/>
          <w:color w:val="auto"/>
          <w:szCs w:val="20"/>
        </w:rPr>
        <w:t>（2）水环境主要保护目标</w:t>
      </w:r>
    </w:p>
    <w:p>
      <w:pPr>
        <w:adjustRightInd w:val="0"/>
        <w:snapToGrid w:val="0"/>
        <w:ind w:firstLine="480" w:firstLineChars="0"/>
        <w:jc w:val="left"/>
        <w:rPr>
          <w:rFonts w:ascii="Times New Roman" w:hAnsi="Times New Roman"/>
          <w:color w:val="auto"/>
          <w:szCs w:val="20"/>
        </w:rPr>
      </w:pPr>
      <w:r>
        <w:rPr>
          <w:rFonts w:hint="eastAsia" w:ascii="Times New Roman" w:hAnsi="Times New Roman"/>
          <w:color w:val="auto"/>
          <w:szCs w:val="24"/>
        </w:rPr>
        <w:t>项目附近河流</w:t>
      </w:r>
      <w:r>
        <w:rPr>
          <w:rFonts w:ascii="Times New Roman" w:hAnsi="Times New Roman"/>
          <w:color w:val="auto"/>
        </w:rPr>
        <w:t>达到《地表水环境质量标准》（GB3838-2002）</w:t>
      </w:r>
      <w:r>
        <w:rPr>
          <w:rFonts w:hint="eastAsia" w:ascii="Times New Roman" w:hAnsi="Times New Roman"/>
          <w:color w:val="auto"/>
        </w:rPr>
        <w:t>Ⅳ</w:t>
      </w:r>
      <w:r>
        <w:rPr>
          <w:rFonts w:ascii="Times New Roman" w:hAnsi="Times New Roman"/>
          <w:color w:val="auto"/>
        </w:rPr>
        <w:t>类水质</w:t>
      </w:r>
      <w:r>
        <w:rPr>
          <w:rFonts w:hint="eastAsia" w:ascii="Times New Roman" w:hAnsi="Times New Roman"/>
          <w:color w:val="auto"/>
        </w:rPr>
        <w:t>要求</w:t>
      </w:r>
      <w:r>
        <w:rPr>
          <w:rFonts w:ascii="Times New Roman" w:hAnsi="Times New Roman"/>
          <w:color w:val="auto"/>
        </w:rPr>
        <w:t>。</w:t>
      </w:r>
    </w:p>
    <w:p>
      <w:pPr>
        <w:adjustRightInd w:val="0"/>
        <w:snapToGrid w:val="0"/>
        <w:ind w:firstLine="480" w:firstLineChars="0"/>
        <w:jc w:val="left"/>
        <w:rPr>
          <w:rFonts w:ascii="Times New Roman" w:hAnsi="Times New Roman"/>
          <w:color w:val="auto"/>
          <w:szCs w:val="20"/>
        </w:rPr>
      </w:pPr>
      <w:r>
        <w:rPr>
          <w:rFonts w:ascii="Times New Roman" w:hAnsi="Times New Roman"/>
          <w:color w:val="auto"/>
          <w:szCs w:val="20"/>
        </w:rPr>
        <w:t>（3）声环境主要保护目标</w:t>
      </w:r>
    </w:p>
    <w:p>
      <w:pPr>
        <w:ind w:firstLine="480"/>
        <w:jc w:val="left"/>
        <w:rPr>
          <w:rFonts w:ascii="Times New Roman" w:hAnsi="Times New Roman"/>
          <w:color w:val="auto"/>
        </w:rPr>
      </w:pPr>
      <w:r>
        <w:rPr>
          <w:rFonts w:ascii="Times New Roman" w:hAnsi="Times New Roman"/>
          <w:color w:val="auto"/>
        </w:rPr>
        <w:t>保护项目声环境符合《声环境质量标准》(GB3096-2008)中</w:t>
      </w:r>
      <w:r>
        <w:rPr>
          <w:rFonts w:hint="eastAsia" w:ascii="Times New Roman" w:hAnsi="Times New Roman"/>
          <w:color w:val="auto"/>
        </w:rPr>
        <w:t>3类</w:t>
      </w:r>
      <w:r>
        <w:rPr>
          <w:rFonts w:ascii="Times New Roman" w:hAnsi="Times New Roman"/>
          <w:color w:val="auto"/>
        </w:rPr>
        <w:t>声环境功能区要求</w:t>
      </w:r>
      <w:r>
        <w:rPr>
          <w:rFonts w:hint="eastAsia" w:ascii="Times New Roman" w:hAnsi="Times New Roman"/>
          <w:color w:val="auto"/>
        </w:rPr>
        <w:t>。</w:t>
      </w:r>
    </w:p>
    <w:p>
      <w:pPr>
        <w:ind w:firstLine="480"/>
        <w:jc w:val="left"/>
        <w:rPr>
          <w:rFonts w:ascii="Times New Roman" w:hAnsi="Times New Roman"/>
          <w:color w:val="auto"/>
        </w:rPr>
      </w:pPr>
      <w:r>
        <w:rPr>
          <w:rFonts w:hint="eastAsia" w:ascii="Times New Roman" w:hAnsi="Times New Roman"/>
          <w:color w:val="auto"/>
        </w:rPr>
        <w:t>（4）土壤环境保护目标</w:t>
      </w:r>
    </w:p>
    <w:p>
      <w:pPr>
        <w:ind w:firstLine="480"/>
        <w:jc w:val="left"/>
        <w:rPr>
          <w:rFonts w:ascii="Times New Roman" w:hAnsi="Times New Roman"/>
          <w:color w:val="auto"/>
        </w:rPr>
      </w:pPr>
      <w:r>
        <w:rPr>
          <w:rFonts w:hint="eastAsia" w:ascii="Times New Roman" w:hAnsi="Times New Roman"/>
          <w:color w:val="auto"/>
        </w:rPr>
        <w:t>本项目50m内无土壤环境保护目标。</w:t>
      </w:r>
    </w:p>
    <w:p>
      <w:pPr>
        <w:spacing w:line="240" w:lineRule="auto"/>
        <w:ind w:firstLine="422"/>
        <w:jc w:val="center"/>
        <w:rPr>
          <w:rFonts w:ascii="Times New Roman" w:hAnsi="Times New Roman"/>
          <w:color w:val="auto"/>
        </w:rPr>
      </w:pPr>
      <w:r>
        <w:rPr>
          <w:rFonts w:ascii="Times New Roman" w:hAnsi="Times New Roman"/>
          <w:b/>
          <w:color w:val="auto"/>
          <w:sz w:val="21"/>
        </w:rPr>
        <w:t>表</w:t>
      </w:r>
      <w:r>
        <w:rPr>
          <w:rFonts w:hint="eastAsia" w:ascii="Times New Roman" w:hAnsi="Times New Roman"/>
          <w:b/>
          <w:color w:val="auto"/>
          <w:sz w:val="21"/>
        </w:rPr>
        <w:t xml:space="preserve">2-23 </w:t>
      </w:r>
      <w:r>
        <w:rPr>
          <w:rFonts w:hint="eastAsia" w:ascii="Times New Roman" w:hAnsi="Times New Roman"/>
          <w:b/>
          <w:bCs/>
          <w:color w:val="auto"/>
          <w:sz w:val="21"/>
        </w:rPr>
        <w:t>项目水环境、声环境保护目标</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959"/>
        <w:gridCol w:w="1056"/>
        <w:gridCol w:w="1803"/>
        <w:gridCol w:w="3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78" w:type="pct"/>
            <w:vAlign w:val="center"/>
          </w:tcPr>
          <w:p>
            <w:pPr>
              <w:pStyle w:val="270"/>
              <w:keepNext w:val="0"/>
              <w:keepLines w:val="0"/>
              <w:suppressLineNumbers w:val="0"/>
              <w:spacing w:before="0" w:beforeAutospacing="0" w:after="0" w:afterAutospacing="0"/>
              <w:ind w:left="0" w:right="0"/>
              <w:rPr>
                <w:bCs/>
                <w:color w:val="auto"/>
                <w:kern w:val="2"/>
                <w:sz w:val="21"/>
              </w:rPr>
            </w:pPr>
            <w:r>
              <w:rPr>
                <w:bCs/>
                <w:color w:val="auto"/>
                <w:sz w:val="21"/>
              </w:rPr>
              <w:t>保护项目</w:t>
            </w:r>
          </w:p>
        </w:tc>
        <w:tc>
          <w:tcPr>
            <w:tcW w:w="529" w:type="pct"/>
            <w:vAlign w:val="center"/>
          </w:tcPr>
          <w:p>
            <w:pPr>
              <w:pStyle w:val="270"/>
              <w:keepNext w:val="0"/>
              <w:keepLines w:val="0"/>
              <w:suppressLineNumbers w:val="0"/>
              <w:spacing w:before="0" w:beforeAutospacing="0" w:after="0" w:afterAutospacing="0"/>
              <w:ind w:left="0" w:right="0"/>
              <w:rPr>
                <w:bCs/>
                <w:color w:val="auto"/>
                <w:kern w:val="2"/>
                <w:sz w:val="21"/>
              </w:rPr>
            </w:pPr>
            <w:r>
              <w:rPr>
                <w:bCs/>
                <w:color w:val="auto"/>
                <w:sz w:val="21"/>
              </w:rPr>
              <w:t>方位</w:t>
            </w:r>
          </w:p>
        </w:tc>
        <w:tc>
          <w:tcPr>
            <w:tcW w:w="583" w:type="pct"/>
            <w:vAlign w:val="center"/>
          </w:tcPr>
          <w:p>
            <w:pPr>
              <w:pStyle w:val="270"/>
              <w:keepNext w:val="0"/>
              <w:keepLines w:val="0"/>
              <w:suppressLineNumbers w:val="0"/>
              <w:spacing w:before="0" w:beforeAutospacing="0" w:after="0" w:afterAutospacing="0"/>
              <w:ind w:left="0" w:right="0"/>
              <w:rPr>
                <w:bCs/>
                <w:color w:val="auto"/>
                <w:kern w:val="2"/>
                <w:sz w:val="21"/>
              </w:rPr>
            </w:pPr>
            <w:r>
              <w:rPr>
                <w:bCs/>
                <w:color w:val="auto"/>
                <w:sz w:val="21"/>
              </w:rPr>
              <w:t>距离</w:t>
            </w:r>
          </w:p>
        </w:tc>
        <w:tc>
          <w:tcPr>
            <w:tcW w:w="995" w:type="pct"/>
            <w:vAlign w:val="center"/>
          </w:tcPr>
          <w:p>
            <w:pPr>
              <w:pStyle w:val="270"/>
              <w:keepNext w:val="0"/>
              <w:keepLines w:val="0"/>
              <w:suppressLineNumbers w:val="0"/>
              <w:spacing w:before="0" w:beforeAutospacing="0" w:after="0" w:afterAutospacing="0"/>
              <w:ind w:left="0" w:right="0"/>
              <w:rPr>
                <w:bCs/>
                <w:color w:val="auto"/>
                <w:kern w:val="2"/>
                <w:sz w:val="21"/>
              </w:rPr>
            </w:pPr>
            <w:r>
              <w:rPr>
                <w:bCs/>
                <w:color w:val="auto"/>
                <w:sz w:val="21"/>
              </w:rPr>
              <w:t>保护名单</w:t>
            </w:r>
          </w:p>
        </w:tc>
        <w:tc>
          <w:tcPr>
            <w:tcW w:w="2015" w:type="pct"/>
            <w:vAlign w:val="center"/>
          </w:tcPr>
          <w:p>
            <w:pPr>
              <w:pStyle w:val="270"/>
              <w:keepNext w:val="0"/>
              <w:keepLines w:val="0"/>
              <w:suppressLineNumbers w:val="0"/>
              <w:spacing w:before="0" w:beforeAutospacing="0" w:after="0" w:afterAutospacing="0"/>
              <w:ind w:left="0" w:right="0"/>
              <w:rPr>
                <w:bCs/>
                <w:color w:val="auto"/>
                <w:kern w:val="2"/>
                <w:sz w:val="21"/>
              </w:rPr>
            </w:pPr>
            <w:r>
              <w:rPr>
                <w:bCs/>
                <w:color w:val="auto"/>
                <w:sz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78" w:type="pct"/>
            <w:vAlign w:val="center"/>
          </w:tcPr>
          <w:p>
            <w:pPr>
              <w:pStyle w:val="270"/>
              <w:keepNext w:val="0"/>
              <w:keepLines w:val="0"/>
              <w:suppressLineNumbers w:val="0"/>
              <w:spacing w:before="0" w:beforeAutospacing="0" w:after="0" w:afterAutospacing="0"/>
              <w:ind w:left="0" w:right="0"/>
              <w:rPr>
                <w:color w:val="auto"/>
                <w:kern w:val="2"/>
                <w:sz w:val="21"/>
              </w:rPr>
            </w:pPr>
            <w:r>
              <w:rPr>
                <w:color w:val="auto"/>
                <w:sz w:val="21"/>
              </w:rPr>
              <w:t>水环境</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东北侧</w:t>
            </w:r>
          </w:p>
        </w:tc>
        <w:tc>
          <w:tcPr>
            <w:tcW w:w="583" w:type="pct"/>
            <w:vAlign w:val="center"/>
          </w:tcPr>
          <w:p>
            <w:pPr>
              <w:pStyle w:val="270"/>
              <w:keepNext w:val="0"/>
              <w:keepLines w:val="0"/>
              <w:suppressLineNumbers w:val="0"/>
              <w:spacing w:before="0" w:beforeAutospacing="0" w:after="0" w:afterAutospacing="0"/>
              <w:ind w:left="0" w:right="0"/>
              <w:rPr>
                <w:color w:val="auto"/>
                <w:kern w:val="2"/>
                <w:sz w:val="21"/>
              </w:rPr>
            </w:pPr>
            <w:r>
              <w:rPr>
                <w:rFonts w:hint="eastAsia"/>
                <w:color w:val="auto"/>
                <w:sz w:val="21"/>
              </w:rPr>
              <w:t>约240</w:t>
            </w:r>
            <w:r>
              <w:rPr>
                <w:color w:val="auto"/>
                <w:sz w:val="21"/>
              </w:rPr>
              <w:t>m</w:t>
            </w:r>
          </w:p>
        </w:tc>
        <w:tc>
          <w:tcPr>
            <w:tcW w:w="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内河</w:t>
            </w:r>
          </w:p>
        </w:tc>
        <w:tc>
          <w:tcPr>
            <w:tcW w:w="201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《地表水环境质量标准》 (GB3838-2002)中的</w:t>
            </w:r>
            <w:r>
              <w:rPr>
                <w:rFonts w:hint="eastAsia" w:ascii="Times New Roman" w:hAnsi="Times New Roman"/>
                <w:color w:val="auto"/>
                <w:sz w:val="21"/>
              </w:rPr>
              <w:t>Ⅳ</w:t>
            </w:r>
            <w:r>
              <w:rPr>
                <w:rFonts w:ascii="Times New Roman" w:hAnsi="Times New Roman"/>
                <w:color w:val="auto"/>
                <w:sz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78" w:type="pct"/>
            <w:vAlign w:val="center"/>
          </w:tcPr>
          <w:p>
            <w:pPr>
              <w:pStyle w:val="270"/>
              <w:keepNext w:val="0"/>
              <w:keepLines w:val="0"/>
              <w:suppressLineNumbers w:val="0"/>
              <w:spacing w:before="0" w:beforeAutospacing="0" w:after="0" w:afterAutospacing="0"/>
              <w:ind w:left="0" w:right="0"/>
              <w:rPr>
                <w:color w:val="auto"/>
                <w:sz w:val="21"/>
              </w:rPr>
            </w:pPr>
            <w:r>
              <w:rPr>
                <w:rFonts w:hint="eastAsia"/>
                <w:color w:val="auto"/>
                <w:sz w:val="21"/>
              </w:rPr>
              <w:t>声环境</w:t>
            </w:r>
          </w:p>
        </w:tc>
        <w:tc>
          <w:tcPr>
            <w:tcW w:w="4122" w:type="pct"/>
            <w:gridSpan w:val="4"/>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200m内无噪声环境保护目标</w:t>
            </w:r>
          </w:p>
        </w:tc>
      </w:tr>
    </w:tbl>
    <w:p>
      <w:pPr>
        <w:spacing w:line="240" w:lineRule="auto"/>
        <w:ind w:firstLine="422"/>
        <w:jc w:val="center"/>
        <w:rPr>
          <w:rFonts w:ascii="Times New Roman" w:hAnsi="Times New Roman"/>
          <w:b/>
          <w:bCs/>
          <w:color w:val="auto"/>
          <w:sz w:val="21"/>
        </w:rPr>
      </w:pPr>
      <w:r>
        <w:rPr>
          <w:rFonts w:hint="eastAsia" w:ascii="Times New Roman" w:hAnsi="Times New Roman"/>
          <w:b/>
          <w:bCs/>
          <w:color w:val="auto"/>
          <w:sz w:val="21"/>
        </w:rPr>
        <w:t>表2-24 项目环境空气保护目标</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680"/>
        <w:gridCol w:w="1346"/>
        <w:gridCol w:w="1345"/>
        <w:gridCol w:w="1007"/>
        <w:gridCol w:w="1345"/>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1" w:type="pct"/>
            <w:vMerge w:val="restar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名称</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坐标/m</w:t>
            </w:r>
          </w:p>
        </w:tc>
        <w:tc>
          <w:tcPr>
            <w:tcW w:w="743" w:type="pct"/>
            <w:vMerge w:val="restar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保护</w:t>
            </w:r>
          </w:p>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对象</w:t>
            </w:r>
          </w:p>
        </w:tc>
        <w:tc>
          <w:tcPr>
            <w:tcW w:w="742" w:type="pct"/>
            <w:vMerge w:val="restar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保护</w:t>
            </w:r>
          </w:p>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内容</w:t>
            </w:r>
          </w:p>
        </w:tc>
        <w:tc>
          <w:tcPr>
            <w:tcW w:w="556" w:type="pct"/>
            <w:vMerge w:val="restar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环境功</w:t>
            </w:r>
          </w:p>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能区</w:t>
            </w:r>
          </w:p>
        </w:tc>
        <w:tc>
          <w:tcPr>
            <w:tcW w:w="742" w:type="pct"/>
            <w:vMerge w:val="restar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相对厂</w:t>
            </w:r>
          </w:p>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址方位</w:t>
            </w:r>
          </w:p>
        </w:tc>
        <w:tc>
          <w:tcPr>
            <w:tcW w:w="569" w:type="pct"/>
            <w:vMerge w:val="restar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相对厂界</w:t>
            </w:r>
          </w:p>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21" w:type="pct"/>
            <w:vMerge w:val="continue"/>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经纬度</w:t>
            </w:r>
          </w:p>
        </w:tc>
        <w:tc>
          <w:tcPr>
            <w:tcW w:w="743" w:type="pct"/>
            <w:vMerge w:val="continue"/>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p>
        </w:tc>
        <w:tc>
          <w:tcPr>
            <w:tcW w:w="742"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556"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742"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569"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泮河东村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120.61361790, 27.49916553</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2016</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泮河西村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120.61198711, 27.50204086</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1000</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平安村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120.61563492, 27.49598980</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1526</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老台村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120.62245846, 27.49367237</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1687</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东南侧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七一村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120.62129974, 27.49071121</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1780</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东南侧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七二村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120.61396122, 27.49221325</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1705</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巴曹村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120.62653542, 27.49109745</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3115</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东南侧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中段村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120.62490463, 27.48933792</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3112</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东南侧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下乾头村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120.61790943, 27.48543262</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1600</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垟底张村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120.61941147, 27.48302937</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1768</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浹底村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120.62408924, 27.48354435</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2246</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东南侧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新桥村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120.60941219, 27.48672009</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2000</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水心村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120.60516357, 27.4873638</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1301</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林家庄村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120.60559273, 27.49646187</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2160</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林家院村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120.60108662, 27.50294209</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3204</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鉴后村</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120.59977770, 27.51517296</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984</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1"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hint="eastAsia" w:eastAsia="宋体"/>
                <w:color w:val="auto"/>
                <w:sz w:val="18"/>
                <w:szCs w:val="18"/>
              </w:rPr>
              <w:t>江南高级中学</w:t>
            </w:r>
          </w:p>
        </w:tc>
        <w:tc>
          <w:tcPr>
            <w:tcW w:w="927"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120.59967041, 27.51963615</w:t>
            </w:r>
          </w:p>
        </w:tc>
        <w:tc>
          <w:tcPr>
            <w:tcW w:w="743"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约</w:t>
            </w:r>
            <w:r>
              <w:rPr>
                <w:rFonts w:hint="eastAsia" w:eastAsia="宋体"/>
                <w:color w:val="auto"/>
                <w:sz w:val="18"/>
                <w:szCs w:val="18"/>
              </w:rPr>
              <w:t>1300</w:t>
            </w:r>
            <w:r>
              <w:rPr>
                <w:rFonts w:eastAsia="宋体"/>
                <w:color w:val="auto"/>
                <w:sz w:val="18"/>
                <w:szCs w:val="18"/>
              </w:rPr>
              <w:t>人</w:t>
            </w:r>
          </w:p>
        </w:tc>
        <w:tc>
          <w:tcPr>
            <w:tcW w:w="742" w:type="pct"/>
            <w:vAlign w:val="center"/>
          </w:tcPr>
          <w:p>
            <w:pPr>
              <w:pStyle w:val="65"/>
              <w:keepNext w:val="0"/>
              <w:keepLines w:val="0"/>
              <w:suppressLineNumbers w:val="0"/>
              <w:spacing w:before="0" w:beforeAutospacing="0" w:after="0" w:afterAutospacing="0" w:line="240" w:lineRule="auto"/>
              <w:ind w:left="0" w:leftChars="0" w:right="0" w:firstLine="0" w:firstLineChars="0"/>
              <w:jc w:val="center"/>
              <w:rPr>
                <w:rFonts w:eastAsia="宋体"/>
                <w:color w:val="auto"/>
                <w:sz w:val="18"/>
                <w:szCs w:val="18"/>
              </w:rPr>
            </w:pPr>
            <w:r>
              <w:rPr>
                <w:rFonts w:eastAsia="宋体"/>
                <w:color w:val="auto"/>
                <w:sz w:val="18"/>
                <w:szCs w:val="18"/>
              </w:rPr>
              <w:t>大气环境</w:t>
            </w:r>
          </w:p>
        </w:tc>
        <w:tc>
          <w:tcPr>
            <w:tcW w:w="55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二类区</w:t>
            </w:r>
          </w:p>
        </w:tc>
        <w:tc>
          <w:tcPr>
            <w:tcW w:w="7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西北侧</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2500</w:t>
            </w:r>
          </w:p>
        </w:tc>
      </w:tr>
    </w:tbl>
    <w:p>
      <w:pPr>
        <w:spacing w:line="240" w:lineRule="auto"/>
        <w:ind w:left="720" w:hanging="720" w:hangingChars="300"/>
        <w:rPr>
          <w:rFonts w:ascii="Times New Roman" w:hAnsi="Times New Roman"/>
          <w:color w:val="auto"/>
        </w:rPr>
      </w:pPr>
      <w:r>
        <w:rPr>
          <w:rFonts w:hint="default" w:ascii="Times New Roman" w:hAnsi="Times New Roman" w:eastAsia="宋体" w:cs="Times New Roman"/>
          <w:color w:val="auto"/>
          <w:kern w:val="2"/>
          <w:sz w:val="24"/>
          <w:szCs w:val="21"/>
          <w:lang w:val="en-US" w:eastAsia="zh-CN" w:bidi="ar"/>
        </w:rPr>
        <w:pict>
          <v:group id="_x0000_s5919" o:spid="_x0000_s5919" o:spt="203" style="position:absolute;left:0pt;margin-left:0pt;margin-top:0pt;height:374.1pt;width:442.2pt;mso-wrap-distance-left:9pt;mso-wrap-distance-right:9pt;z-index:-251658240;mso-width-relative:page;mso-height-relative:page;" coordorigin="1531,3988" coordsize="8844,7482" wrapcoords="21592 -2 0 0 0 21600 21592 21602 8 21602 21600 21600 21600 0 8 -2 21592 -2" editas="canvas">
            <o:lock v:ext="edit"/>
            <v:shape id="_x0000_s5920" o:spid="_x0000_s5920" o:spt="75" type="#_x0000_t75" style="position:absolute;left:1531;top:3988;height:7482;width:8844;" filled="f" o:preferrelative="f" stroked="f" coordsize="21600,21600">
              <v:path/>
              <v:fill on="f" focussize="0,0"/>
              <v:stroke on="f" joinstyle="miter"/>
              <v:imagedata o:title=""/>
              <o:lock v:ext="edit" text="t" aspectratio="t"/>
            </v:shape>
            <v:shape id="_x0000_s5921" o:spid="_x0000_s5921" o:spt="75" type="#_x0000_t75" style="position:absolute;left:1890;top:3988;height:7426;width:8100;" filled="f" o:preferrelative="t" stroked="f" coordsize="21600,21600">
              <v:path/>
              <v:fill on="f" focussize="0,0"/>
              <v:stroke on="f" joinstyle="miter"/>
              <v:imagedata r:id="rId35" o:title=""/>
              <o:lock v:ext="edit" aspectratio="t"/>
            </v:shape>
            <v:shape id="_x0000_s5922" o:spid="_x0000_s5922" o:spt="75" type="#_x0000_t75" style="position:absolute;left:9516;top:4022;height:812;width:859;" filled="f" o:preferrelative="t" stroked="f" coordsize="21600,21600">
              <v:path/>
              <v:fill on="f" focussize="0,0"/>
              <v:stroke on="f" joinstyle="miter"/>
              <v:imagedata r:id="rId36" o:title=""/>
              <o:lock v:ext="edit" aspectratio="t"/>
            </v:shape>
            <w10:wrap type="tight"/>
            <w10:anchorlock/>
          </v:group>
        </w:pict>
      </w:r>
    </w:p>
    <w:p>
      <w:pPr>
        <w:spacing w:line="240" w:lineRule="auto"/>
        <w:ind w:left="723" w:hanging="723" w:hangingChars="300"/>
        <w:jc w:val="center"/>
        <w:rPr>
          <w:rFonts w:ascii="Times New Roman" w:hAnsi="Times New Roman"/>
          <w:color w:val="auto"/>
          <w:u w:val="single"/>
        </w:rPr>
      </w:pPr>
      <w:r>
        <w:rPr>
          <w:rFonts w:hint="eastAsia" w:ascii="Times New Roman" w:hAnsi="Times New Roman"/>
          <w:b/>
          <w:color w:val="auto"/>
          <w:kern w:val="0"/>
          <w:u w:val="single"/>
        </w:rPr>
        <w:t>图2-2</w:t>
      </w:r>
      <w:r>
        <w:rPr>
          <w:rFonts w:hint="eastAsia" w:ascii="Times New Roman" w:hAnsi="Times New Roman"/>
          <w:b/>
          <w:color w:val="auto"/>
          <w:u w:val="single"/>
        </w:rPr>
        <w:t>环境影响评价范围及敏感点示意图（边长5km）</w:t>
      </w:r>
    </w:p>
    <w:p>
      <w:pPr>
        <w:spacing w:line="240" w:lineRule="auto"/>
        <w:ind w:left="632" w:hanging="632" w:hangingChars="300"/>
        <w:jc w:val="center"/>
        <w:rPr>
          <w:rFonts w:ascii="Times New Roman" w:hAnsi="Times New Roman"/>
          <w:b/>
          <w:color w:val="auto"/>
          <w:sz w:val="21"/>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pPr>
    </w:p>
    <w:p>
      <w:pPr>
        <w:adjustRightInd w:val="0"/>
        <w:snapToGrid w:val="0"/>
        <w:ind w:firstLine="0" w:firstLineChars="0"/>
        <w:jc w:val="left"/>
        <w:rPr>
          <w:rFonts w:ascii="Times New Roman" w:hAnsi="Times New Roman"/>
          <w:color w:val="auto"/>
          <w:szCs w:val="20"/>
        </w:rPr>
        <w:sectPr>
          <w:pgSz w:w="11906" w:h="16838"/>
          <w:pgMar w:top="1440" w:right="1531" w:bottom="1440" w:left="1531" w:header="851" w:footer="992" w:gutter="0"/>
          <w:cols w:space="720" w:num="1"/>
          <w:docGrid w:linePitch="312" w:charSpace="0"/>
        </w:sectPr>
      </w:pPr>
    </w:p>
    <w:p>
      <w:pPr>
        <w:pStyle w:val="438"/>
        <w:spacing w:before="240" w:line="360" w:lineRule="auto"/>
        <w:rPr>
          <w:color w:val="auto"/>
        </w:rPr>
      </w:pPr>
      <w:bookmarkStart w:id="28" w:name="_Toc37350049"/>
      <w:bookmarkStart w:id="29" w:name="_Toc235327109"/>
      <w:bookmarkStart w:id="30" w:name="_Toc234318270"/>
      <w:bookmarkStart w:id="31" w:name="_Toc247301333"/>
      <w:r>
        <w:rPr>
          <w:color w:val="auto"/>
        </w:rPr>
        <w:t>建设项目概况与工程分析</w:t>
      </w:r>
      <w:bookmarkEnd w:id="28"/>
    </w:p>
    <w:p>
      <w:pPr>
        <w:pStyle w:val="592"/>
        <w:numPr>
          <w:ilvl w:val="0"/>
          <w:numId w:val="15"/>
        </w:numPr>
        <w:rPr>
          <w:color w:val="auto"/>
        </w:rPr>
      </w:pPr>
      <w:bookmarkStart w:id="32" w:name="_Toc278967650"/>
      <w:bookmarkStart w:id="33" w:name="_Toc37350050"/>
      <w:r>
        <w:rPr>
          <w:color w:val="auto"/>
        </w:rPr>
        <w:t>建设项目基本情况</w:t>
      </w:r>
      <w:bookmarkEnd w:id="32"/>
      <w:bookmarkEnd w:id="33"/>
    </w:p>
    <w:p>
      <w:pPr>
        <w:ind w:firstLine="480"/>
        <w:rPr>
          <w:rFonts w:ascii="Times New Roman" w:hAnsi="Times New Roman"/>
          <w:color w:val="auto"/>
          <w:szCs w:val="24"/>
        </w:rPr>
      </w:pPr>
      <w:r>
        <w:rPr>
          <w:rFonts w:ascii="Times New Roman" w:hAnsi="Times New Roman"/>
          <w:color w:val="auto"/>
          <w:szCs w:val="24"/>
        </w:rPr>
        <w:t>项目名称：</w:t>
      </w:r>
      <w:r>
        <w:rPr>
          <w:rFonts w:ascii="Times New Roman" w:hAnsi="Times New Roman"/>
          <w:color w:val="auto"/>
        </w:rPr>
        <w:t>温州旭财新材料有限公司年再生利用3.2万吨废塑料生产项目</w:t>
      </w:r>
      <w:r>
        <w:rPr>
          <w:rFonts w:hint="eastAsia" w:ascii="Times New Roman" w:hAnsi="Times New Roman"/>
          <w:color w:val="auto"/>
        </w:rPr>
        <w:t>。</w:t>
      </w:r>
    </w:p>
    <w:p>
      <w:pPr>
        <w:tabs>
          <w:tab w:val="left" w:pos="5220"/>
        </w:tabs>
        <w:ind w:firstLine="480"/>
        <w:rPr>
          <w:rFonts w:ascii="Times New Roman" w:hAnsi="Times New Roman"/>
          <w:color w:val="auto"/>
          <w:szCs w:val="24"/>
        </w:rPr>
      </w:pPr>
      <w:r>
        <w:rPr>
          <w:rFonts w:ascii="Times New Roman" w:hAnsi="Times New Roman"/>
          <w:color w:val="auto"/>
          <w:szCs w:val="24"/>
        </w:rPr>
        <w:t>建设性质：新建。</w:t>
      </w:r>
      <w:r>
        <w:rPr>
          <w:rFonts w:ascii="Times New Roman" w:hAnsi="Times New Roman"/>
          <w:color w:val="auto"/>
          <w:szCs w:val="24"/>
        </w:rPr>
        <w:tab/>
      </w:r>
    </w:p>
    <w:p>
      <w:pPr>
        <w:ind w:firstLine="480"/>
        <w:rPr>
          <w:rFonts w:ascii="Times New Roman" w:hAnsi="Times New Roman"/>
          <w:color w:val="auto"/>
          <w:szCs w:val="24"/>
        </w:rPr>
      </w:pPr>
      <w:r>
        <w:rPr>
          <w:rFonts w:ascii="Times New Roman" w:hAnsi="Times New Roman"/>
          <w:color w:val="auto"/>
          <w:szCs w:val="24"/>
        </w:rPr>
        <w:t>建设地点：</w:t>
      </w:r>
      <w:r>
        <w:rPr>
          <w:rFonts w:ascii="Times New Roman" w:hAnsi="Times New Roman"/>
          <w:color w:val="auto"/>
        </w:rPr>
        <w:t>温州市龙港</w:t>
      </w:r>
      <w:r>
        <w:rPr>
          <w:rFonts w:hint="eastAsia" w:ascii="Times New Roman" w:hAnsi="Times New Roman"/>
          <w:color w:val="auto"/>
        </w:rPr>
        <w:t>临港产业基地启动区东塘路385-441号内4号楼</w:t>
      </w:r>
      <w:r>
        <w:rPr>
          <w:rFonts w:ascii="Times New Roman" w:hAnsi="Times New Roman"/>
          <w:color w:val="auto"/>
        </w:rPr>
        <w:t>厂房</w:t>
      </w:r>
      <w:r>
        <w:rPr>
          <w:rFonts w:hint="eastAsia" w:ascii="Times New Roman" w:hAnsi="Times New Roman"/>
          <w:color w:val="auto"/>
        </w:rPr>
        <w:t>。</w:t>
      </w:r>
    </w:p>
    <w:p>
      <w:pPr>
        <w:ind w:firstLine="480"/>
        <w:rPr>
          <w:rFonts w:ascii="Times New Roman" w:hAnsi="Times New Roman"/>
          <w:color w:val="auto"/>
          <w:szCs w:val="24"/>
        </w:rPr>
      </w:pPr>
      <w:r>
        <w:rPr>
          <w:rFonts w:ascii="Times New Roman" w:hAnsi="Times New Roman"/>
          <w:color w:val="auto"/>
          <w:szCs w:val="24"/>
        </w:rPr>
        <w:t>主要建设内容及生产规模：企业租赁</w:t>
      </w:r>
      <w:r>
        <w:rPr>
          <w:rFonts w:hint="eastAsia" w:ascii="Times New Roman" w:hAnsi="Times New Roman"/>
          <w:color w:val="auto"/>
        </w:rPr>
        <w:t>总建筑面积约3120m</w:t>
      </w:r>
      <w:r>
        <w:rPr>
          <w:rFonts w:hint="eastAsia" w:ascii="Times New Roman" w:hAnsi="Times New Roman"/>
          <w:color w:val="auto"/>
          <w:vertAlign w:val="superscript"/>
        </w:rPr>
        <w:t>2</w:t>
      </w:r>
      <w:r>
        <w:rPr>
          <w:rFonts w:ascii="Times New Roman" w:hAnsi="Times New Roman"/>
          <w:color w:val="auto"/>
        </w:rPr>
        <w:t>，主要从事</w:t>
      </w:r>
      <w:r>
        <w:rPr>
          <w:rFonts w:hint="eastAsia" w:ascii="Times New Roman" w:hAnsi="Times New Roman"/>
          <w:color w:val="auto"/>
        </w:rPr>
        <w:t>废塑料再生造粒</w:t>
      </w:r>
      <w:r>
        <w:rPr>
          <w:rFonts w:ascii="Times New Roman" w:hAnsi="Times New Roman"/>
          <w:color w:val="auto"/>
        </w:rPr>
        <w:t>，</w:t>
      </w:r>
      <w:r>
        <w:rPr>
          <w:rFonts w:hint="eastAsia" w:ascii="Times New Roman" w:hAnsi="Times New Roman"/>
          <w:color w:val="auto"/>
        </w:rPr>
        <w:t>项目建成后形成年产3.2万吨塑料粒子的生产规模（成品均为塑料粒子）</w:t>
      </w:r>
      <w:r>
        <w:rPr>
          <w:rFonts w:ascii="Times New Roman" w:hAnsi="Times New Roman"/>
          <w:color w:val="auto"/>
        </w:rPr>
        <w:t>。</w:t>
      </w:r>
    </w:p>
    <w:p>
      <w:pPr>
        <w:ind w:firstLine="480"/>
        <w:rPr>
          <w:rFonts w:ascii="Times New Roman" w:hAnsi="Times New Roman"/>
          <w:color w:val="auto"/>
          <w:szCs w:val="24"/>
        </w:rPr>
      </w:pPr>
      <w:r>
        <w:rPr>
          <w:rFonts w:ascii="Times New Roman" w:hAnsi="Times New Roman"/>
          <w:color w:val="auto"/>
          <w:szCs w:val="24"/>
        </w:rPr>
        <w:t>投资总额：本项目总投资约</w:t>
      </w:r>
      <w:r>
        <w:rPr>
          <w:rFonts w:hint="eastAsia" w:ascii="Times New Roman" w:hAnsi="Times New Roman"/>
          <w:color w:val="auto"/>
        </w:rPr>
        <w:t>1000</w:t>
      </w:r>
      <w:r>
        <w:rPr>
          <w:rFonts w:ascii="Times New Roman" w:hAnsi="Times New Roman"/>
          <w:color w:val="auto"/>
          <w:szCs w:val="24"/>
        </w:rPr>
        <w:t>万，</w:t>
      </w:r>
      <w:r>
        <w:rPr>
          <w:rFonts w:hint="eastAsia" w:ascii="Times New Roman" w:hAnsi="Times New Roman"/>
          <w:color w:val="auto"/>
          <w:szCs w:val="24"/>
        </w:rPr>
        <w:t>其中环保投资为46万元</w:t>
      </w:r>
      <w:r>
        <w:rPr>
          <w:rFonts w:ascii="Times New Roman" w:hAnsi="Times New Roman"/>
          <w:color w:val="auto"/>
          <w:szCs w:val="24"/>
        </w:rPr>
        <w:t>。</w:t>
      </w:r>
    </w:p>
    <w:p>
      <w:pPr>
        <w:ind w:firstLine="480"/>
        <w:rPr>
          <w:rFonts w:ascii="Times New Roman" w:hAnsi="Times New Roman"/>
          <w:color w:val="auto"/>
          <w:szCs w:val="24"/>
        </w:rPr>
      </w:pPr>
      <w:r>
        <w:rPr>
          <w:rFonts w:ascii="Times New Roman" w:hAnsi="Times New Roman"/>
          <w:color w:val="auto"/>
          <w:szCs w:val="24"/>
        </w:rPr>
        <w:t>定员及班制：项目劳动定员</w:t>
      </w:r>
      <w:r>
        <w:rPr>
          <w:rFonts w:hint="eastAsia" w:ascii="Times New Roman" w:hAnsi="Times New Roman"/>
          <w:color w:val="auto"/>
          <w:szCs w:val="24"/>
        </w:rPr>
        <w:t>54</w:t>
      </w:r>
      <w:r>
        <w:rPr>
          <w:rFonts w:ascii="Times New Roman" w:hAnsi="Times New Roman"/>
          <w:color w:val="auto"/>
          <w:szCs w:val="24"/>
        </w:rPr>
        <w:t>人，工作制度为</w:t>
      </w:r>
      <w:r>
        <w:rPr>
          <w:rFonts w:hint="eastAsia" w:ascii="Times New Roman" w:hAnsi="Times New Roman"/>
          <w:color w:val="auto"/>
        </w:rPr>
        <w:t>三</w:t>
      </w:r>
      <w:r>
        <w:rPr>
          <w:rFonts w:ascii="Times New Roman" w:hAnsi="Times New Roman"/>
          <w:color w:val="auto"/>
        </w:rPr>
        <w:t>班制，</w:t>
      </w:r>
      <w:r>
        <w:rPr>
          <w:rFonts w:hint="eastAsia" w:ascii="Times New Roman" w:hAnsi="Times New Roman"/>
          <w:color w:val="auto"/>
        </w:rPr>
        <w:t>24</w:t>
      </w:r>
      <w:r>
        <w:rPr>
          <w:rFonts w:ascii="Times New Roman" w:hAnsi="Times New Roman"/>
          <w:color w:val="auto"/>
        </w:rPr>
        <w:t>小时</w:t>
      </w:r>
      <w:r>
        <w:rPr>
          <w:rFonts w:hint="eastAsia" w:ascii="Times New Roman" w:hAnsi="Times New Roman"/>
          <w:color w:val="auto"/>
        </w:rPr>
        <w:t>，</w:t>
      </w:r>
      <w:r>
        <w:rPr>
          <w:rFonts w:ascii="Times New Roman" w:hAnsi="Times New Roman"/>
          <w:color w:val="auto"/>
        </w:rPr>
        <w:t>年工作时间3</w:t>
      </w:r>
      <w:r>
        <w:rPr>
          <w:rFonts w:hint="eastAsia" w:ascii="Times New Roman" w:hAnsi="Times New Roman"/>
          <w:color w:val="auto"/>
        </w:rPr>
        <w:t>3</w:t>
      </w:r>
      <w:r>
        <w:rPr>
          <w:rFonts w:ascii="Times New Roman" w:hAnsi="Times New Roman"/>
          <w:color w:val="auto"/>
        </w:rPr>
        <w:t>0天</w:t>
      </w:r>
      <w:r>
        <w:rPr>
          <w:rFonts w:hint="eastAsia" w:ascii="Times New Roman" w:hAnsi="Times New Roman"/>
          <w:color w:val="auto"/>
          <w:szCs w:val="24"/>
        </w:rPr>
        <w:t>，厂区内不设食宿</w:t>
      </w:r>
      <w:r>
        <w:rPr>
          <w:rFonts w:ascii="Times New Roman" w:hAnsi="Times New Roman"/>
          <w:color w:val="auto"/>
          <w:szCs w:val="24"/>
        </w:rPr>
        <w:t>。</w:t>
      </w:r>
    </w:p>
    <w:p>
      <w:pPr>
        <w:pStyle w:val="592"/>
        <w:numPr>
          <w:ilvl w:val="0"/>
          <w:numId w:val="15"/>
        </w:numPr>
        <w:rPr>
          <w:color w:val="auto"/>
        </w:rPr>
      </w:pPr>
      <w:bookmarkStart w:id="34" w:name="_Toc37350051"/>
      <w:r>
        <w:rPr>
          <w:color w:val="auto"/>
        </w:rPr>
        <w:t>建设项目工程组成</w:t>
      </w:r>
      <w:bookmarkEnd w:id="34"/>
    </w:p>
    <w:p>
      <w:pPr>
        <w:ind w:firstLine="480"/>
        <w:rPr>
          <w:rFonts w:ascii="Times New Roman" w:hAnsi="Times New Roman"/>
          <w:color w:val="auto"/>
          <w:szCs w:val="24"/>
        </w:rPr>
      </w:pPr>
      <w:r>
        <w:rPr>
          <w:rFonts w:hint="eastAsia" w:ascii="Times New Roman" w:hAnsi="Times New Roman"/>
          <w:color w:val="auto"/>
        </w:rPr>
        <w:t>温州旭财新材料有限公司租用州沃玛科技有限公司</w:t>
      </w:r>
      <w:r>
        <w:rPr>
          <w:rFonts w:ascii="Times New Roman" w:hAnsi="Times New Roman"/>
          <w:color w:val="auto"/>
        </w:rPr>
        <w:t>位于温州市龙港</w:t>
      </w:r>
      <w:r>
        <w:rPr>
          <w:rFonts w:hint="eastAsia" w:ascii="Times New Roman" w:hAnsi="Times New Roman"/>
          <w:color w:val="auto"/>
        </w:rPr>
        <w:t>临港产业基地启动区东塘路385-441号内4号楼</w:t>
      </w:r>
      <w:r>
        <w:rPr>
          <w:rFonts w:ascii="Times New Roman" w:hAnsi="Times New Roman"/>
          <w:color w:val="auto"/>
        </w:rPr>
        <w:t>厂房</w:t>
      </w:r>
      <w:r>
        <w:rPr>
          <w:rFonts w:hint="eastAsia" w:ascii="Times New Roman" w:hAnsi="Times New Roman"/>
          <w:color w:val="auto"/>
        </w:rPr>
        <w:t>作为生产用房，总租赁建筑面积3120平方米</w:t>
      </w:r>
      <w:r>
        <w:rPr>
          <w:rFonts w:hint="eastAsia" w:ascii="Times New Roman" w:hAnsi="Times New Roman"/>
          <w:color w:val="auto"/>
          <w:szCs w:val="24"/>
        </w:rPr>
        <w:t>，</w:t>
      </w:r>
      <w:r>
        <w:rPr>
          <w:rFonts w:ascii="Times New Roman" w:hAnsi="Times New Roman"/>
          <w:color w:val="auto"/>
          <w:szCs w:val="24"/>
        </w:rPr>
        <w:t>本项目工程组成见表3-</w:t>
      </w:r>
      <w:r>
        <w:rPr>
          <w:rFonts w:hint="eastAsia" w:ascii="Times New Roman" w:hAnsi="Times New Roman"/>
          <w:color w:val="auto"/>
          <w:szCs w:val="24"/>
        </w:rPr>
        <w:t>1</w:t>
      </w:r>
      <w:r>
        <w:rPr>
          <w:rFonts w:ascii="Times New Roman" w:hAnsi="Times New Roman"/>
          <w:color w:val="auto"/>
          <w:szCs w:val="24"/>
        </w:rPr>
        <w:t>。</w:t>
      </w:r>
    </w:p>
    <w:p>
      <w:pPr>
        <w:numPr>
          <w:ilvl w:val="0"/>
          <w:numId w:val="16"/>
        </w:numPr>
        <w:spacing w:line="240" w:lineRule="auto"/>
        <w:ind w:firstLineChars="0"/>
        <w:jc w:val="center"/>
        <w:rPr>
          <w:rFonts w:ascii="Times New Roman" w:hAnsi="Times New Roman"/>
          <w:b/>
          <w:color w:val="auto"/>
          <w:sz w:val="21"/>
        </w:rPr>
      </w:pPr>
      <w:r>
        <w:rPr>
          <w:rFonts w:ascii="Times New Roman" w:hAnsi="Times New Roman"/>
          <w:b/>
          <w:color w:val="auto"/>
          <w:sz w:val="21"/>
        </w:rPr>
        <w:t>项目工程组成</w:t>
      </w:r>
    </w:p>
    <w:tbl>
      <w:tblPr>
        <w:tblStyle w:val="83"/>
        <w:tblW w:w="85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4"/>
        <w:gridCol w:w="993"/>
        <w:gridCol w:w="850"/>
        <w:gridCol w:w="54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44" w:type="dxa"/>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工程类别</w:t>
            </w:r>
          </w:p>
        </w:tc>
        <w:tc>
          <w:tcPr>
            <w:tcW w:w="1843" w:type="dxa"/>
            <w:gridSpan w:val="2"/>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建设内容</w:t>
            </w:r>
          </w:p>
        </w:tc>
        <w:tc>
          <w:tcPr>
            <w:tcW w:w="5445" w:type="dxa"/>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用房功能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244" w:type="dxa"/>
            <w:vMerge w:val="restar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主体工程</w:t>
            </w:r>
          </w:p>
        </w:tc>
        <w:tc>
          <w:tcPr>
            <w:tcW w:w="993" w:type="dxa"/>
            <w:vMerge w:val="restart"/>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rPr>
              <w:t>4号楼</w:t>
            </w:r>
          </w:p>
        </w:tc>
        <w:tc>
          <w:tcPr>
            <w:tcW w:w="850"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1L</w:t>
            </w:r>
          </w:p>
        </w:tc>
        <w:tc>
          <w:tcPr>
            <w:tcW w:w="5445"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原材料仓库、上料破碎区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993" w:type="dxa"/>
            <w:vMerge w:val="continue"/>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50"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2L</w:t>
            </w:r>
          </w:p>
        </w:tc>
        <w:tc>
          <w:tcPr>
            <w:tcW w:w="5445" w:type="dxa"/>
            <w:tcBorders>
              <w:left w:val="single" w:color="auto" w:sz="4" w:space="0"/>
              <w:bottom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造粒车间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993" w:type="dxa"/>
            <w:vMerge w:val="continue"/>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5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3L</w:t>
            </w:r>
          </w:p>
        </w:tc>
        <w:tc>
          <w:tcPr>
            <w:tcW w:w="5445" w:type="dxa"/>
            <w:tcBorders>
              <w:top w:val="single" w:color="auto" w:sz="4" w:space="0"/>
              <w:lef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造粒车间、成品仓库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993" w:type="dxa"/>
            <w:vMerge w:val="continue"/>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5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 L</w:t>
            </w:r>
          </w:p>
        </w:tc>
        <w:tc>
          <w:tcPr>
            <w:tcW w:w="5445"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成品仓库、辅助物仓库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993" w:type="dxa"/>
            <w:vMerge w:val="continue"/>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5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 L</w:t>
            </w:r>
          </w:p>
        </w:tc>
        <w:tc>
          <w:tcPr>
            <w:tcW w:w="5445"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办公室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44" w:type="dxa"/>
            <w:vMerge w:val="restart"/>
            <w:vAlign w:val="center"/>
          </w:tcPr>
          <w:p>
            <w:pPr>
              <w:pStyle w:val="675"/>
              <w:keepNext w:val="0"/>
              <w:keepLines w:val="0"/>
              <w:suppressLineNumbers w:val="0"/>
              <w:spacing w:before="0" w:beforeAutospacing="0" w:after="0" w:afterAutospacing="0"/>
              <w:ind w:left="0" w:right="0"/>
              <w:rPr>
                <w:rFonts w:eastAsia="宋体"/>
                <w:color w:val="auto"/>
                <w:szCs w:val="21"/>
              </w:rPr>
            </w:pPr>
            <w:r>
              <w:rPr>
                <w:rFonts w:eastAsia="宋体"/>
                <w:color w:val="auto"/>
                <w:szCs w:val="21"/>
              </w:rPr>
              <w:t>环保工程</w:t>
            </w:r>
          </w:p>
        </w:tc>
        <w:tc>
          <w:tcPr>
            <w:tcW w:w="1843" w:type="dxa"/>
            <w:gridSpan w:val="2"/>
            <w:vAlign w:val="center"/>
          </w:tcPr>
          <w:p>
            <w:pPr>
              <w:pStyle w:val="675"/>
              <w:keepNext w:val="0"/>
              <w:keepLines w:val="0"/>
              <w:suppressLineNumbers w:val="0"/>
              <w:spacing w:before="0" w:beforeAutospacing="0" w:after="0" w:afterAutospacing="0"/>
              <w:ind w:left="0" w:right="0"/>
              <w:rPr>
                <w:rFonts w:eastAsia="宋体"/>
                <w:color w:val="auto"/>
                <w:szCs w:val="21"/>
              </w:rPr>
            </w:pPr>
            <w:r>
              <w:rPr>
                <w:rFonts w:eastAsia="宋体"/>
                <w:color w:val="auto"/>
                <w:szCs w:val="21"/>
              </w:rPr>
              <w:t>废气治理</w:t>
            </w:r>
          </w:p>
        </w:tc>
        <w:tc>
          <w:tcPr>
            <w:tcW w:w="54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熔融挤出废气收集后经</w:t>
            </w:r>
            <w:r>
              <w:rPr>
                <w:rFonts w:ascii="Times New Roman" w:hAnsi="Times New Roman"/>
                <w:color w:val="auto"/>
                <w:sz w:val="21"/>
              </w:rPr>
              <w:t>喷射塔+</w:t>
            </w:r>
            <w:r>
              <w:rPr>
                <w:rFonts w:hint="eastAsia" w:ascii="Times New Roman" w:hAnsi="Times New Roman"/>
                <w:color w:val="auto"/>
                <w:sz w:val="21"/>
              </w:rPr>
              <w:t>油烟净化器+</w:t>
            </w:r>
            <w:r>
              <w:rPr>
                <w:rFonts w:ascii="Times New Roman" w:hAnsi="Times New Roman"/>
                <w:color w:val="auto"/>
                <w:sz w:val="21"/>
              </w:rPr>
              <w:t>UV光氧+活性炭装置净化</w:t>
            </w:r>
            <w:r>
              <w:rPr>
                <w:rFonts w:hint="eastAsia" w:ascii="Times New Roman" w:hAnsi="Times New Roman"/>
                <w:color w:val="auto"/>
                <w:sz w:val="21"/>
              </w:rPr>
              <w:t>后通过20m高的排气筒高空排放。</w:t>
            </w:r>
            <w:r>
              <w:rPr>
                <w:rFonts w:hint="eastAsia" w:ascii="Times New Roman" w:hAnsi="Times New Roman"/>
                <w:color w:val="auto"/>
                <w:spacing w:val="-4"/>
                <w:sz w:val="21"/>
              </w:rPr>
              <w:t>破碎</w:t>
            </w:r>
            <w:r>
              <w:rPr>
                <w:rFonts w:ascii="Times New Roman" w:hAnsi="Times New Roman"/>
                <w:color w:val="auto"/>
                <w:sz w:val="21"/>
              </w:rPr>
              <w:t>粉尘收集经布袋除尘处理后</w:t>
            </w:r>
            <w:r>
              <w:rPr>
                <w:rFonts w:hint="eastAsia" w:ascii="Times New Roman" w:hAnsi="Times New Roman"/>
                <w:color w:val="auto"/>
                <w:sz w:val="21"/>
              </w:rPr>
              <w:t>高空排放（</w:t>
            </w:r>
            <w:r>
              <w:rPr>
                <w:rFonts w:ascii="Times New Roman" w:hAnsi="Times New Roman"/>
                <w:color w:val="auto"/>
                <w:sz w:val="21"/>
              </w:rPr>
              <w:t>2</w:t>
            </w:r>
            <w:r>
              <w:rPr>
                <w:rFonts w:hint="eastAsia" w:ascii="Times New Roman" w:hAnsi="Times New Roman"/>
                <w:color w:val="auto"/>
                <w:sz w:val="21"/>
              </w:rPr>
              <w:t>0</w:t>
            </w:r>
            <w:r>
              <w:rPr>
                <w:rFonts w:ascii="Times New Roman" w:hAnsi="Times New Roman"/>
                <w:color w:val="auto"/>
                <w:sz w:val="21"/>
              </w:rPr>
              <w:t>m）</w:t>
            </w:r>
            <w:r>
              <w:rPr>
                <w:rFonts w:hint="eastAsia" w:ascii="Times New Roman" w:hAnsi="Times New Roman"/>
                <w:color w:val="auto"/>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184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废水治理</w:t>
            </w:r>
          </w:p>
        </w:tc>
        <w:tc>
          <w:tcPr>
            <w:tcW w:w="54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造粒冷却水和喷射塔废水循环使用，不外排。</w:t>
            </w:r>
            <w:r>
              <w:rPr>
                <w:rFonts w:ascii="Times New Roman" w:hAnsi="Times New Roman"/>
                <w:color w:val="auto"/>
                <w:sz w:val="21"/>
              </w:rPr>
              <w:t>生活</w:t>
            </w:r>
            <w:r>
              <w:rPr>
                <w:rFonts w:hint="eastAsia" w:ascii="Times New Roman" w:hAnsi="Times New Roman"/>
                <w:color w:val="auto"/>
                <w:sz w:val="21"/>
              </w:rPr>
              <w:t>污</w:t>
            </w:r>
            <w:r>
              <w:rPr>
                <w:rFonts w:ascii="Times New Roman" w:hAnsi="Times New Roman"/>
                <w:color w:val="auto"/>
                <w:sz w:val="21"/>
              </w:rPr>
              <w:t>水</w:t>
            </w:r>
            <w:r>
              <w:rPr>
                <w:rFonts w:hint="eastAsia" w:ascii="Times New Roman" w:hAnsi="Times New Roman"/>
                <w:color w:val="auto"/>
                <w:sz w:val="21"/>
              </w:rPr>
              <w:t>经</w:t>
            </w:r>
            <w:r>
              <w:rPr>
                <w:rFonts w:ascii="Times New Roman" w:hAnsi="Times New Roman"/>
                <w:color w:val="auto"/>
                <w:sz w:val="21"/>
              </w:rPr>
              <w:t>化粪池预处理达《污水综合排放标准》（GB8978-1996）三级标准后</w:t>
            </w:r>
            <w:r>
              <w:rPr>
                <w:rFonts w:hint="eastAsia" w:ascii="Times New Roman" w:hAnsi="Times New Roman"/>
                <w:color w:val="auto"/>
                <w:sz w:val="21"/>
              </w:rPr>
              <w:t>排入污水管网，</w:t>
            </w:r>
            <w:r>
              <w:rPr>
                <w:rStyle w:val="782"/>
                <w:rFonts w:hint="default" w:ascii="Times New Roman" w:hAnsi="Times New Roman"/>
                <w:color w:val="auto"/>
                <w:sz w:val="21"/>
                <w:szCs w:val="21"/>
              </w:rPr>
              <w:t>最终进入苍南县临港产业基地启动区污水处理厂处理达标后排放</w:t>
            </w:r>
            <w:r>
              <w:rPr>
                <w:rFonts w:hint="eastAsia" w:ascii="Times New Roman" w:hAnsi="Times New Roman"/>
                <w:color w:val="auto"/>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1843" w:type="dxa"/>
            <w:gridSpan w:val="2"/>
            <w:vAlign w:val="center"/>
          </w:tcPr>
          <w:p>
            <w:pPr>
              <w:pStyle w:val="36"/>
              <w:keepNext w:val="0"/>
              <w:keepLines w:val="0"/>
              <w:suppressLineNumbers w:val="0"/>
              <w:spacing w:before="0" w:beforeAutospacing="0" w:after="0" w:afterAutospacing="0"/>
              <w:ind w:left="0" w:right="0"/>
              <w:rPr>
                <w:color w:val="auto"/>
                <w:szCs w:val="21"/>
              </w:rPr>
            </w:pPr>
            <w:r>
              <w:rPr>
                <w:color w:val="auto"/>
                <w:kern w:val="2"/>
                <w:szCs w:val="21"/>
              </w:rPr>
              <w:t>噪声治理</w:t>
            </w:r>
          </w:p>
        </w:tc>
        <w:tc>
          <w:tcPr>
            <w:tcW w:w="5445" w:type="dxa"/>
            <w:vAlign w:val="center"/>
          </w:tcPr>
          <w:p>
            <w:pPr>
              <w:pStyle w:val="36"/>
              <w:keepNext w:val="0"/>
              <w:keepLines w:val="0"/>
              <w:suppressLineNumbers w:val="0"/>
              <w:spacing w:before="0" w:beforeAutospacing="0" w:after="0" w:afterAutospacing="0"/>
              <w:ind w:left="0" w:right="0"/>
              <w:jc w:val="both"/>
              <w:rPr>
                <w:color w:val="auto"/>
                <w:kern w:val="2"/>
                <w:szCs w:val="21"/>
              </w:rPr>
            </w:pPr>
            <w:r>
              <w:rPr>
                <w:color w:val="auto"/>
                <w:szCs w:val="21"/>
              </w:rPr>
              <w:t>选用低噪声设备并合理布局，适当采取隔声、减振等降噪措施</w:t>
            </w:r>
            <w:r>
              <w:rPr>
                <w:rFonts w:hint="eastAsia"/>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1843" w:type="dxa"/>
            <w:gridSpan w:val="2"/>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固废处置</w:t>
            </w:r>
          </w:p>
        </w:tc>
        <w:tc>
          <w:tcPr>
            <w:tcW w:w="5445" w:type="dxa"/>
            <w:vAlign w:val="center"/>
          </w:tcPr>
          <w:p>
            <w:pPr>
              <w:pStyle w:val="36"/>
              <w:keepNext w:val="0"/>
              <w:keepLines w:val="0"/>
              <w:suppressLineNumbers w:val="0"/>
              <w:spacing w:before="0" w:beforeAutospacing="0" w:after="0" w:afterAutospacing="0"/>
              <w:ind w:left="0" w:right="0"/>
              <w:jc w:val="both"/>
              <w:rPr>
                <w:color w:val="auto"/>
                <w:kern w:val="2"/>
                <w:szCs w:val="21"/>
              </w:rPr>
            </w:pPr>
            <w:r>
              <w:rPr>
                <w:rFonts w:hint="eastAsia"/>
                <w:color w:val="auto"/>
                <w:kern w:val="2"/>
                <w:szCs w:val="21"/>
              </w:rPr>
              <w:t>分类收集，危险固废交由资质单位处置；一般生产固废由相关单位回收综合利用；</w:t>
            </w:r>
            <w:r>
              <w:rPr>
                <w:color w:val="auto"/>
              </w:rPr>
              <w:t>项目挤出机废弃过滤网由废塑料加工单位回收进行滤网再生</w:t>
            </w:r>
            <w:r>
              <w:rPr>
                <w:rFonts w:hint="eastAsia"/>
                <w:color w:val="auto"/>
              </w:rPr>
              <w:t>；</w:t>
            </w:r>
            <w:r>
              <w:rPr>
                <w:rFonts w:hint="eastAsia"/>
                <w:color w:val="auto"/>
                <w:kern w:val="2"/>
                <w:szCs w:val="21"/>
              </w:rPr>
              <w:t>收集的粉尘和生活垃圾由环卫部门统一清运处理。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44" w:type="dxa"/>
            <w:vMerge w:val="restar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公用工程</w:t>
            </w:r>
          </w:p>
        </w:tc>
        <w:tc>
          <w:tcPr>
            <w:tcW w:w="184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给水</w:t>
            </w:r>
          </w:p>
        </w:tc>
        <w:tc>
          <w:tcPr>
            <w:tcW w:w="54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生活、消防、生产用水由市政给水管接入。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184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排水</w:t>
            </w:r>
          </w:p>
        </w:tc>
        <w:tc>
          <w:tcPr>
            <w:tcW w:w="54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项目排水实行雨污分流，雨水排入附近的</w:t>
            </w:r>
            <w:r>
              <w:rPr>
                <w:rFonts w:hint="eastAsia" w:ascii="Times New Roman" w:hAnsi="Times New Roman"/>
                <w:color w:val="auto"/>
                <w:sz w:val="21"/>
              </w:rPr>
              <w:t>河道</w:t>
            </w:r>
            <w:r>
              <w:rPr>
                <w:rFonts w:ascii="Times New Roman" w:hAnsi="Times New Roman"/>
                <w:color w:val="auto"/>
                <w:sz w:val="21"/>
              </w:rPr>
              <w:t>，</w:t>
            </w:r>
            <w:r>
              <w:rPr>
                <w:rFonts w:ascii="Times New Roman" w:hAnsi="Times New Roman"/>
                <w:color w:val="auto"/>
                <w:kern w:val="0"/>
                <w:sz w:val="21"/>
              </w:rPr>
              <w:t>生活</w:t>
            </w:r>
            <w:r>
              <w:rPr>
                <w:rFonts w:hint="eastAsia" w:ascii="Times New Roman" w:hAnsi="Times New Roman"/>
                <w:color w:val="auto"/>
                <w:kern w:val="0"/>
                <w:sz w:val="21"/>
              </w:rPr>
              <w:t>污</w:t>
            </w:r>
            <w:r>
              <w:rPr>
                <w:rFonts w:ascii="Times New Roman" w:hAnsi="Times New Roman"/>
                <w:color w:val="auto"/>
                <w:kern w:val="0"/>
                <w:sz w:val="21"/>
              </w:rPr>
              <w:t>水</w:t>
            </w:r>
            <w:r>
              <w:rPr>
                <w:rFonts w:hint="eastAsia" w:ascii="Times New Roman" w:hAnsi="Times New Roman"/>
                <w:color w:val="auto"/>
                <w:kern w:val="0"/>
                <w:sz w:val="21"/>
              </w:rPr>
              <w:t>经</w:t>
            </w:r>
            <w:r>
              <w:rPr>
                <w:rFonts w:ascii="Times New Roman" w:hAnsi="Times New Roman"/>
                <w:color w:val="auto"/>
                <w:kern w:val="0"/>
                <w:sz w:val="21"/>
              </w:rPr>
              <w:t>化粪池预处理达《污水综合排放标准》（GB8978-1996）三级标准后纳入市政污水管网，最终进入苍南县临港产业基地启动区污水处理厂处理达标后排放</w:t>
            </w:r>
            <w:r>
              <w:rPr>
                <w:rFonts w:hint="eastAsia" w:ascii="Times New Roman" w:hAnsi="Times New Roman"/>
                <w:color w:val="auto"/>
                <w:kern w:val="0"/>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44" w:type="dxa"/>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184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供电</w:t>
            </w:r>
          </w:p>
        </w:tc>
        <w:tc>
          <w:tcPr>
            <w:tcW w:w="54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本项目供电由</w:t>
            </w:r>
            <w:r>
              <w:rPr>
                <w:rFonts w:hint="eastAsia" w:ascii="Times New Roman" w:hAnsi="Times New Roman"/>
                <w:color w:val="auto"/>
                <w:sz w:val="21"/>
              </w:rPr>
              <w:t>市政</w:t>
            </w:r>
            <w:r>
              <w:rPr>
                <w:rFonts w:ascii="Times New Roman" w:hAnsi="Times New Roman"/>
                <w:color w:val="auto"/>
                <w:sz w:val="21"/>
              </w:rPr>
              <w:t>电网供应。</w:t>
            </w:r>
          </w:p>
        </w:tc>
      </w:tr>
    </w:tbl>
    <w:p>
      <w:pPr>
        <w:pStyle w:val="592"/>
        <w:numPr>
          <w:ilvl w:val="0"/>
          <w:numId w:val="15"/>
        </w:numPr>
        <w:rPr>
          <w:color w:val="auto"/>
        </w:rPr>
      </w:pPr>
      <w:bookmarkStart w:id="35" w:name="_Toc37350052"/>
      <w:r>
        <w:rPr>
          <w:color w:val="auto"/>
        </w:rPr>
        <w:t>产品方案</w:t>
      </w:r>
      <w:bookmarkEnd w:id="35"/>
    </w:p>
    <w:p>
      <w:pPr>
        <w:ind w:firstLine="480"/>
        <w:rPr>
          <w:rFonts w:ascii="Times New Roman" w:hAnsi="Times New Roman"/>
          <w:color w:val="auto"/>
        </w:rPr>
      </w:pPr>
      <w:r>
        <w:rPr>
          <w:rFonts w:ascii="Times New Roman" w:hAnsi="Times New Roman"/>
          <w:color w:val="auto"/>
          <w:szCs w:val="24"/>
        </w:rPr>
        <w:t>项目建成后，</w:t>
      </w:r>
      <w:r>
        <w:rPr>
          <w:rFonts w:hint="eastAsia" w:ascii="Times New Roman" w:hAnsi="Times New Roman"/>
          <w:color w:val="auto"/>
        </w:rPr>
        <w:t>形成年产3.2万吨塑料粒子的生产规模（成品均为塑料粒子），企业产出的塑料粒子主要作为下游拉管厂、箱包厂、塑料篮子制造厂等的生产原料。</w:t>
      </w:r>
    </w:p>
    <w:p>
      <w:pPr>
        <w:numPr>
          <w:ilvl w:val="0"/>
          <w:numId w:val="16"/>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产品方案</w:t>
      </w:r>
    </w:p>
    <w:tbl>
      <w:tblPr>
        <w:tblStyle w:val="8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2"/>
        <w:gridCol w:w="5985"/>
        <w:gridCol w:w="1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序号</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原料名称</w:t>
            </w:r>
          </w:p>
        </w:tc>
        <w:tc>
          <w:tcPr>
            <w:tcW w:w="933"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年产量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聚乙烯复合颗粒</w:t>
            </w:r>
          </w:p>
        </w:tc>
        <w:tc>
          <w:tcPr>
            <w:tcW w:w="933"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8000t/a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2</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聚丙烯复合颗粒</w:t>
            </w:r>
          </w:p>
        </w:tc>
        <w:tc>
          <w:tcPr>
            <w:tcW w:w="933"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6400t/a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3</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聚乙烯颗粒</w:t>
            </w:r>
          </w:p>
        </w:tc>
        <w:tc>
          <w:tcPr>
            <w:tcW w:w="933"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2500</w:t>
            </w:r>
            <w:r>
              <w:rPr>
                <w:rFonts w:hint="eastAsia"/>
                <w:color w:val="auto"/>
                <w:kern w:val="2"/>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4</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聚丙烯颗粒</w:t>
            </w:r>
          </w:p>
        </w:tc>
        <w:tc>
          <w:tcPr>
            <w:tcW w:w="933"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6400</w:t>
            </w:r>
            <w:r>
              <w:rPr>
                <w:rFonts w:hint="eastAsia"/>
                <w:color w:val="auto"/>
                <w:kern w:val="2"/>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5</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PA颗粒</w:t>
            </w:r>
          </w:p>
        </w:tc>
        <w:tc>
          <w:tcPr>
            <w:tcW w:w="933"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1400</w:t>
            </w:r>
            <w:r>
              <w:rPr>
                <w:rFonts w:hint="eastAsia"/>
                <w:color w:val="auto"/>
                <w:kern w:val="2"/>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6</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ABS改性颗粒</w:t>
            </w:r>
          </w:p>
        </w:tc>
        <w:tc>
          <w:tcPr>
            <w:tcW w:w="933"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1800</w:t>
            </w:r>
            <w:r>
              <w:rPr>
                <w:rFonts w:hint="eastAsia"/>
                <w:color w:val="auto"/>
                <w:kern w:val="2"/>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7</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PS聚苯乙烯</w:t>
            </w:r>
          </w:p>
        </w:tc>
        <w:tc>
          <w:tcPr>
            <w:tcW w:w="933"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1500</w:t>
            </w:r>
            <w:r>
              <w:rPr>
                <w:rFonts w:hint="eastAsia"/>
                <w:color w:val="auto"/>
                <w:kern w:val="2"/>
                <w:szCs w:val="21"/>
              </w:rPr>
              <w:t xml:space="preserve"> 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8</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PC改性颗粒</w:t>
            </w:r>
          </w:p>
        </w:tc>
        <w:tc>
          <w:tcPr>
            <w:tcW w:w="933"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1800</w:t>
            </w:r>
            <w:r>
              <w:rPr>
                <w:rFonts w:hint="eastAsia"/>
                <w:color w:val="auto"/>
                <w:kern w:val="2"/>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9</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PS改性颗粒</w:t>
            </w:r>
          </w:p>
        </w:tc>
        <w:tc>
          <w:tcPr>
            <w:tcW w:w="933"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1300</w:t>
            </w:r>
            <w:r>
              <w:rPr>
                <w:rFonts w:hint="eastAsia"/>
                <w:color w:val="auto"/>
                <w:kern w:val="2"/>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10</w:t>
            </w:r>
          </w:p>
        </w:tc>
        <w:tc>
          <w:tcPr>
            <w:tcW w:w="3509"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PMMA改性颗粒</w:t>
            </w:r>
          </w:p>
        </w:tc>
        <w:tc>
          <w:tcPr>
            <w:tcW w:w="933"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900t/a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7" w:type="pct"/>
            <w:gridSpan w:val="2"/>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合计</w:t>
            </w:r>
          </w:p>
        </w:tc>
        <w:tc>
          <w:tcPr>
            <w:tcW w:w="933"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32000t/a</w:t>
            </w:r>
          </w:p>
        </w:tc>
      </w:tr>
    </w:tbl>
    <w:p>
      <w:pPr>
        <w:pStyle w:val="592"/>
        <w:numPr>
          <w:ilvl w:val="0"/>
          <w:numId w:val="15"/>
        </w:numPr>
        <w:rPr>
          <w:color w:val="auto"/>
        </w:rPr>
      </w:pPr>
      <w:bookmarkStart w:id="36" w:name="_Toc37350053"/>
      <w:r>
        <w:rPr>
          <w:color w:val="auto"/>
        </w:rPr>
        <w:t>企业平面布置</w:t>
      </w:r>
      <w:bookmarkEnd w:id="36"/>
    </w:p>
    <w:p>
      <w:pPr>
        <w:ind w:firstLine="480"/>
        <w:rPr>
          <w:rFonts w:ascii="Times New Roman" w:hAnsi="Times New Roman"/>
          <w:color w:val="auto"/>
          <w:szCs w:val="24"/>
        </w:rPr>
      </w:pPr>
      <w:r>
        <w:rPr>
          <w:rFonts w:ascii="Times New Roman" w:hAnsi="Times New Roman"/>
          <w:color w:val="auto"/>
        </w:rPr>
        <w:t>本项目位于温州市龙港</w:t>
      </w:r>
      <w:r>
        <w:rPr>
          <w:rFonts w:hint="eastAsia" w:ascii="Times New Roman" w:hAnsi="Times New Roman"/>
          <w:color w:val="auto"/>
        </w:rPr>
        <w:t>临港产业基地启动区东塘路385-441号内4号楼</w:t>
      </w:r>
      <w:r>
        <w:rPr>
          <w:rFonts w:ascii="Times New Roman" w:hAnsi="Times New Roman"/>
          <w:color w:val="auto"/>
        </w:rPr>
        <w:t>厂房</w:t>
      </w:r>
      <w:r>
        <w:rPr>
          <w:rFonts w:hint="eastAsia" w:ascii="Times New Roman" w:hAnsi="Times New Roman"/>
          <w:color w:val="auto"/>
        </w:rPr>
        <w:t>，项目厂区入口设在东侧东海大道上</w:t>
      </w:r>
      <w:r>
        <w:rPr>
          <w:rFonts w:hint="eastAsia" w:ascii="Times New Roman" w:hAnsi="Times New Roman"/>
          <w:color w:val="auto"/>
          <w:szCs w:val="24"/>
        </w:rPr>
        <w:t>，本项目四周均为其他企业厂房，企业具体平面布</w:t>
      </w:r>
      <w:r>
        <w:rPr>
          <w:rFonts w:ascii="Times New Roman" w:hAnsi="Times New Roman"/>
          <w:color w:val="auto"/>
          <w:szCs w:val="24"/>
        </w:rPr>
        <w:t>置见</w:t>
      </w:r>
      <w:r>
        <w:rPr>
          <w:rFonts w:hint="eastAsia" w:ascii="Times New Roman" w:hAnsi="Times New Roman"/>
          <w:color w:val="auto"/>
          <w:szCs w:val="24"/>
        </w:rPr>
        <w:t>下图。</w:t>
      </w:r>
    </w:p>
    <w:p>
      <w:pPr>
        <w:ind w:firstLine="480"/>
        <w:rPr>
          <w:rFonts w:ascii="Times New Roman" w:hAnsi="Times New Roman"/>
          <w:color w:val="auto"/>
        </w:rPr>
        <w:sectPr>
          <w:footerReference r:id="rId13" w:type="default"/>
          <w:type w:val="continuous"/>
          <w:pgSz w:w="11906" w:h="16838"/>
          <w:pgMar w:top="1440" w:right="1797" w:bottom="1440" w:left="1797" w:header="851" w:footer="992" w:gutter="0"/>
          <w:cols w:space="720" w:num="1"/>
          <w:docGrid w:linePitch="312" w:charSpace="0"/>
        </w:sectPr>
      </w:pPr>
    </w:p>
    <w:p>
      <w:pPr>
        <w:ind w:firstLine="0" w:firstLineChars="0"/>
        <w:rPr>
          <w:rFonts w:ascii="Times New Roman" w:hAnsi="Times New Roman"/>
          <w:color w:val="auto"/>
        </w:rPr>
        <w:sectPr>
          <w:pgSz w:w="16838" w:h="11906" w:orient="landscape"/>
          <w:pgMar w:top="1797" w:right="1440" w:bottom="1797" w:left="1440" w:header="851" w:footer="992" w:gutter="0"/>
          <w:cols w:space="720" w:num="1"/>
          <w:docGrid w:linePitch="326" w:charSpace="0"/>
        </w:sectPr>
      </w:pPr>
      <w:r>
        <w:rPr>
          <w:rFonts w:hint="default" w:ascii="Times New Roman" w:hAnsi="Times New Roman" w:eastAsia="宋体" w:cs="Times New Roman"/>
          <w:color w:val="auto"/>
          <w:kern w:val="2"/>
          <w:sz w:val="24"/>
          <w:szCs w:val="21"/>
          <w:lang w:val="en-US" w:eastAsia="zh-CN" w:bidi="ar"/>
        </w:rPr>
        <w:pict>
          <v:group id="_x0000_s5923" o:spid="_x0000_s5923" o:spt="203" style="position:absolute;left:0pt;margin-left:0pt;margin-top:0pt;height:421.95pt;width:692.65pt;mso-wrap-distance-left:9pt;mso-wrap-distance-right:9pt;z-index:-251658240;mso-width-relative:page;mso-height-relative:page;" coordorigin="1440,1797" coordsize="13853,8439" wrapcoords="21592 -2 0 0 0 21600 21592 21602 8 21602 21600 21600 21600 0 8 -2 21592 -2" editas="canvas">
            <o:lock v:ext="edit"/>
            <v:shape id="_x0000_s5924" o:spid="_x0000_s5924" o:spt="75" type="#_x0000_t75" style="position:absolute;left:1440;top:1797;height:8439;width:13853;" filled="f" o:preferrelative="f" stroked="f" coordsize="21600,21600">
              <v:path/>
              <v:fill on="f" focussize="0,0"/>
              <v:stroke on="f" joinstyle="miter"/>
              <v:imagedata o:title=""/>
              <o:lock v:ext="edit" text="t" aspectratio="t"/>
            </v:shape>
            <v:shape id="_x0000_s5925" o:spid="_x0000_s5925" o:spt="75" type="#_x0000_t75" style="position:absolute;left:2492;top:1863;height:8228;width:11638;" filled="f" o:preferrelative="t" stroked="f" coordsize="21600,21600">
              <v:path/>
              <v:fill on="f" focussize="0,0"/>
              <v:stroke on="f" joinstyle="miter"/>
              <v:imagedata r:id="rId37" o:title="总平图"/>
              <o:lock v:ext="edit" aspectratio="t"/>
            </v:shape>
            <v:shape id="_x0000_s5926" o:spid="_x0000_s5926" o:spt="75" type="#_x0000_t75" style="position:absolute;left:13696;top:2127;height:683;width:724;rotation:2302149f;" filled="f" o:preferrelative="t" stroked="f" coordsize="21600,21600">
              <v:path/>
              <v:fill on="f" focussize="0,0"/>
              <v:stroke on="f" joinstyle="miter"/>
              <v:imagedata r:id="rId38" o:title="温州风玫瑰图"/>
              <o:lock v:ext="edit" aspectratio="t"/>
            </v:shape>
            <v:shape id="_x0000_s5927" o:spid="_x0000_s5927" o:spt="202" type="#_x0000_t202" style="position:absolute;left:5948;top:9720;height:469;width:4633;"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82" w:firstLineChars="200"/>
                      <w:jc w:val="both"/>
                    </w:pPr>
                    <w:r>
                      <w:rPr>
                        <w:rFonts w:hint="eastAsia" w:ascii="Times New Roman" w:hAnsi="宋体" w:eastAsia="宋体" w:cs="Times New Roman"/>
                        <w:b/>
                        <w:bCs w:val="0"/>
                        <w:color w:val="000000"/>
                        <w:kern w:val="2"/>
                        <w:sz w:val="24"/>
                        <w:szCs w:val="21"/>
                        <w:u w:val="single"/>
                        <w:lang w:val="en-US" w:eastAsia="zh-CN" w:bidi="ar"/>
                      </w:rPr>
                      <w:t>图</w:t>
                    </w:r>
                    <w:r>
                      <w:rPr>
                        <w:rFonts w:hint="default" w:ascii="Times New Roman" w:hAnsi="宋体" w:eastAsia="宋体" w:cs="Times New Roman"/>
                        <w:b/>
                        <w:bCs w:val="0"/>
                        <w:color w:val="000000"/>
                        <w:kern w:val="2"/>
                        <w:sz w:val="24"/>
                        <w:szCs w:val="21"/>
                        <w:u w:val="single"/>
                        <w:lang w:val="en-US" w:eastAsia="zh-CN" w:bidi="ar"/>
                      </w:rPr>
                      <w:t xml:space="preserve">3-1  </w:t>
                    </w:r>
                    <w:r>
                      <w:rPr>
                        <w:rFonts w:hint="eastAsia" w:ascii="Times New Roman" w:hAnsi="宋体" w:eastAsia="宋体" w:cs="Times New Roman"/>
                        <w:b/>
                        <w:bCs w:val="0"/>
                        <w:color w:val="000000"/>
                        <w:kern w:val="2"/>
                        <w:sz w:val="24"/>
                        <w:szCs w:val="21"/>
                        <w:u w:val="single"/>
                        <w:lang w:val="en-US" w:eastAsia="zh-CN" w:bidi="ar"/>
                      </w:rPr>
                      <w:t>项目厂区平面布置图</w:t>
                    </w:r>
                  </w:p>
                </w:txbxContent>
              </v:textbox>
            </v:shape>
            <v:shape id="_x0000_s5928" o:spid="_x0000_s5928" style="position:absolute;left:4815;top:5879;height:1440;width:885;" fillcolor="#0070C0" filled="t" stroked="t" coordsize="885,1440" path="m0,0l840,15,885,1440,30,1425,0,0xe">
              <v:path arrowok="t"/>
              <v:fill on="t" opacity="28836f" focussize="0,0"/>
              <v:stroke color="#0070C0"/>
              <v:imagedata o:title=""/>
              <o:lock v:ext="edit"/>
            </v:shape>
            <v:shape id="_x0000_s5929" o:spid="_x0000_s5929" o:spt="62" type="#_x0000_t62" style="position:absolute;left:5265;top:6165;height:555;width:2040;" coordsize="21600,21600" adj="720">
              <v:path/>
              <v:fill focussize="0,0"/>
              <v:stroke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center"/>
                      <w:rPr>
                        <w:sz w:val="21"/>
                        <w:szCs w:val="21"/>
                        <w:lang w:val="en-US"/>
                      </w:rPr>
                    </w:pPr>
                    <w:r>
                      <w:rPr>
                        <w:rFonts w:hint="eastAsia" w:ascii="宋体" w:hAnsi="宋体" w:eastAsia="宋体" w:cs="Times New Roman"/>
                        <w:color w:val="000000"/>
                        <w:kern w:val="2"/>
                        <w:sz w:val="21"/>
                        <w:szCs w:val="21"/>
                        <w:lang w:val="en-US" w:eastAsia="zh-CN" w:bidi="ar"/>
                      </w:rPr>
                      <w:t>本项目所在地</w:t>
                    </w:r>
                  </w:p>
                </w:txbxContent>
              </v:textbox>
            </v:shape>
            <w10:wrap type="tight"/>
            <w10:anchorlock/>
          </v:group>
        </w:pict>
      </w:r>
    </w:p>
    <w:p>
      <w:pPr>
        <w:pStyle w:val="592"/>
        <w:numPr>
          <w:ilvl w:val="0"/>
          <w:numId w:val="15"/>
        </w:numPr>
        <w:rPr>
          <w:color w:val="auto"/>
        </w:rPr>
      </w:pPr>
      <w:bookmarkStart w:id="37" w:name="_Toc37350054"/>
      <w:bookmarkStart w:id="38" w:name="_Toc278967656"/>
      <w:r>
        <w:rPr>
          <w:color w:val="auto"/>
        </w:rPr>
        <w:t>项目原辅材料消耗</w:t>
      </w:r>
      <w:bookmarkEnd w:id="37"/>
    </w:p>
    <w:p>
      <w:pPr>
        <w:ind w:firstLine="480"/>
        <w:rPr>
          <w:rFonts w:ascii="Times New Roman" w:hAnsi="Times New Roman"/>
          <w:color w:val="auto"/>
        </w:rPr>
      </w:pPr>
      <w:r>
        <w:rPr>
          <w:rFonts w:ascii="Times New Roman" w:hAnsi="Times New Roman"/>
          <w:color w:val="auto"/>
        </w:rPr>
        <w:t>本项目主要原辅材料清单详见表3-</w:t>
      </w:r>
      <w:r>
        <w:rPr>
          <w:rFonts w:hint="eastAsia" w:ascii="Times New Roman" w:hAnsi="Times New Roman"/>
          <w:color w:val="auto"/>
        </w:rPr>
        <w:t>3</w:t>
      </w:r>
      <w:r>
        <w:rPr>
          <w:rFonts w:ascii="Times New Roman" w:hAnsi="Times New Roman"/>
          <w:color w:val="auto"/>
        </w:rPr>
        <w:t>。</w:t>
      </w:r>
    </w:p>
    <w:p>
      <w:pPr>
        <w:numPr>
          <w:ilvl w:val="0"/>
          <w:numId w:val="16"/>
        </w:numPr>
        <w:spacing w:line="240" w:lineRule="auto"/>
        <w:ind w:firstLineChars="0"/>
        <w:jc w:val="right"/>
        <w:rPr>
          <w:rFonts w:ascii="Times New Roman" w:hAnsi="Times New Roman"/>
          <w:b/>
          <w:color w:val="auto"/>
          <w:sz w:val="21"/>
        </w:rPr>
      </w:pPr>
      <w:r>
        <w:rPr>
          <w:rFonts w:ascii="Times New Roman" w:hAnsi="Times New Roman"/>
          <w:b/>
          <w:color w:val="auto"/>
          <w:sz w:val="21"/>
        </w:rPr>
        <w:t xml:space="preserve">项目主要原辅材料清单      </w:t>
      </w:r>
      <w:r>
        <w:rPr>
          <w:rFonts w:hint="eastAsia" w:ascii="Times New Roman" w:hAnsi="Times New Roman"/>
          <w:b/>
          <w:color w:val="auto"/>
          <w:sz w:val="21"/>
        </w:rPr>
        <w:t xml:space="preserve">            </w:t>
      </w:r>
      <w:r>
        <w:rPr>
          <w:rFonts w:ascii="Times New Roman" w:hAnsi="Times New Roman"/>
          <w:b/>
          <w:color w:val="auto"/>
          <w:sz w:val="21"/>
        </w:rPr>
        <w:t xml:space="preserve">  单位：t/a</w:t>
      </w:r>
    </w:p>
    <w:tbl>
      <w:tblPr>
        <w:tblStyle w:val="8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969"/>
        <w:gridCol w:w="993"/>
        <w:gridCol w:w="2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序号</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原料名称</w:t>
            </w:r>
          </w:p>
        </w:tc>
        <w:tc>
          <w:tcPr>
            <w:tcW w:w="582"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用量</w:t>
            </w:r>
            <w:r>
              <w:rPr>
                <w:rFonts w:hint="eastAsia"/>
                <w:color w:val="auto"/>
                <w:kern w:val="2"/>
                <w:szCs w:val="21"/>
              </w:rPr>
              <w:t>（t/a）</w:t>
            </w:r>
          </w:p>
        </w:tc>
        <w:tc>
          <w:tcPr>
            <w:tcW w:w="1695" w:type="pct"/>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PP/PET、PP/PA、PE/PET、PE/PA废料</w:t>
            </w:r>
          </w:p>
        </w:tc>
        <w:tc>
          <w:tcPr>
            <w:tcW w:w="582"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15000</w:t>
            </w:r>
          </w:p>
        </w:tc>
        <w:tc>
          <w:tcPr>
            <w:tcW w:w="1695" w:type="pct"/>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4种混合料分别占1/4，混合料均以PP和PE为主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2</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PP聚丙烯废料</w:t>
            </w:r>
          </w:p>
        </w:tc>
        <w:tc>
          <w:tcPr>
            <w:tcW w:w="582"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5000</w:t>
            </w:r>
          </w:p>
        </w:tc>
        <w:tc>
          <w:tcPr>
            <w:tcW w:w="1695" w:type="pct"/>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3</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PE聚乙烯废料</w:t>
            </w:r>
          </w:p>
        </w:tc>
        <w:tc>
          <w:tcPr>
            <w:tcW w:w="582"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4500</w:t>
            </w:r>
          </w:p>
        </w:tc>
        <w:tc>
          <w:tcPr>
            <w:tcW w:w="1695" w:type="pct"/>
          </w:tcPr>
          <w:p>
            <w:pPr>
              <w:pStyle w:val="36"/>
              <w:keepNext w:val="0"/>
              <w:keepLines w:val="0"/>
              <w:suppressLineNumbers w:val="0"/>
              <w:spacing w:before="0" w:beforeAutospacing="0" w:after="0" w:afterAutospacing="0"/>
              <w:ind w:left="0" w:right="0"/>
              <w:rPr>
                <w:color w:val="auto"/>
              </w:rPr>
            </w:pP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4</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PA聚酰胺</w:t>
            </w:r>
          </w:p>
        </w:tc>
        <w:tc>
          <w:tcPr>
            <w:tcW w:w="582"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1400</w:t>
            </w:r>
          </w:p>
        </w:tc>
        <w:tc>
          <w:tcPr>
            <w:tcW w:w="1695" w:type="pct"/>
          </w:tcPr>
          <w:p>
            <w:pPr>
              <w:pStyle w:val="36"/>
              <w:keepNext w:val="0"/>
              <w:keepLines w:val="0"/>
              <w:suppressLineNumbers w:val="0"/>
              <w:spacing w:before="0" w:beforeAutospacing="0" w:after="0" w:afterAutospacing="0"/>
              <w:ind w:left="0" w:right="0"/>
              <w:rPr>
                <w:color w:val="auto"/>
              </w:rPr>
            </w:pP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5</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（ABS）</w:t>
            </w:r>
            <w:r>
              <w:rPr>
                <w:color w:val="auto"/>
                <w:kern w:val="2"/>
                <w:szCs w:val="21"/>
              </w:rPr>
              <w:t>1</w:t>
            </w:r>
            <w:r>
              <w:rPr>
                <w:rFonts w:hint="eastAsia"/>
                <w:color w:val="auto"/>
                <w:kern w:val="2"/>
                <w:szCs w:val="21"/>
              </w:rPr>
              <w:t>，</w:t>
            </w:r>
            <w:r>
              <w:rPr>
                <w:color w:val="auto"/>
                <w:kern w:val="2"/>
                <w:szCs w:val="21"/>
              </w:rPr>
              <w:t>3丁二烯-丙烯腈-苯乙烯聚合物</w:t>
            </w:r>
          </w:p>
        </w:tc>
        <w:tc>
          <w:tcPr>
            <w:tcW w:w="582"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1800</w:t>
            </w:r>
          </w:p>
        </w:tc>
        <w:tc>
          <w:tcPr>
            <w:tcW w:w="1695" w:type="pct"/>
          </w:tcPr>
          <w:p>
            <w:pPr>
              <w:pStyle w:val="36"/>
              <w:keepNext w:val="0"/>
              <w:keepLines w:val="0"/>
              <w:suppressLineNumbers w:val="0"/>
              <w:spacing w:before="0" w:beforeAutospacing="0" w:after="0" w:afterAutospacing="0"/>
              <w:ind w:left="0" w:right="0"/>
              <w:rPr>
                <w:color w:val="auto"/>
              </w:rPr>
            </w:pP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6</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PC</w:t>
            </w:r>
            <w:r>
              <w:rPr>
                <w:rFonts w:hAnsi="Arial" w:cs="Arial"/>
                <w:color w:val="auto"/>
                <w:szCs w:val="21"/>
                <w:shd w:val="clear" w:color="auto" w:fill="FFFFFF"/>
              </w:rPr>
              <w:t>聚碳酸酯</w:t>
            </w:r>
          </w:p>
        </w:tc>
        <w:tc>
          <w:tcPr>
            <w:tcW w:w="582"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1900</w:t>
            </w:r>
          </w:p>
        </w:tc>
        <w:tc>
          <w:tcPr>
            <w:tcW w:w="1695" w:type="pct"/>
          </w:tcPr>
          <w:p>
            <w:pPr>
              <w:pStyle w:val="36"/>
              <w:keepNext w:val="0"/>
              <w:keepLines w:val="0"/>
              <w:suppressLineNumbers w:val="0"/>
              <w:spacing w:before="0" w:beforeAutospacing="0" w:after="0" w:afterAutospacing="0"/>
              <w:ind w:left="0" w:right="0"/>
              <w:rPr>
                <w:color w:val="auto"/>
              </w:rPr>
            </w:pP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7</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PS聚苯乙烯</w:t>
            </w:r>
          </w:p>
        </w:tc>
        <w:tc>
          <w:tcPr>
            <w:tcW w:w="582"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1300</w:t>
            </w:r>
          </w:p>
        </w:tc>
        <w:tc>
          <w:tcPr>
            <w:tcW w:w="1695" w:type="pct"/>
          </w:tcPr>
          <w:p>
            <w:pPr>
              <w:pStyle w:val="36"/>
              <w:keepNext w:val="0"/>
              <w:keepLines w:val="0"/>
              <w:suppressLineNumbers w:val="0"/>
              <w:spacing w:before="0" w:beforeAutospacing="0" w:after="0" w:afterAutospacing="0"/>
              <w:ind w:left="0" w:right="0"/>
              <w:rPr>
                <w:color w:val="auto"/>
              </w:rPr>
            </w:pP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8</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PMMA</w:t>
            </w:r>
            <w:r>
              <w:rPr>
                <w:color w:val="auto"/>
              </w:rPr>
              <w:t xml:space="preserve"> </w:t>
            </w:r>
            <w:r>
              <w:rPr>
                <w:color w:val="auto"/>
              </w:rPr>
              <w:fldChar w:fldCharType="begin"/>
            </w:r>
            <w:r>
              <w:rPr>
                <w:color w:val="auto"/>
              </w:rPr>
              <w:instrText xml:space="preserve"> HYPERLINK "https://baike.baidu.com/item/%E8%81%9A%E7%94%B2%E5%9F%BA%E4%B8%99%E7%83%AF%E9%85%B8%E7%94%B2%E9%85%AF/10402338" \t "_blank" </w:instrText>
            </w:r>
            <w:r>
              <w:rPr>
                <w:color w:val="auto"/>
              </w:rPr>
              <w:fldChar w:fldCharType="separate"/>
            </w:r>
            <w:r>
              <w:rPr>
                <w:rStyle w:val="97"/>
                <w:rFonts w:hAnsi="Arial" w:cs="Arial"/>
                <w:color w:val="auto"/>
                <w:sz w:val="21"/>
                <w:szCs w:val="21"/>
                <w:u w:val="none"/>
                <w:shd w:val="clear" w:color="auto" w:fill="FFFFFF"/>
              </w:rPr>
              <w:t>聚甲基丙烯酸甲酯</w:t>
            </w:r>
            <w:r>
              <w:rPr>
                <w:rStyle w:val="97"/>
                <w:rFonts w:hAnsi="Arial" w:cs="Arial"/>
                <w:color w:val="auto"/>
                <w:sz w:val="21"/>
                <w:szCs w:val="21"/>
                <w:u w:val="none"/>
                <w:shd w:val="clear" w:color="auto" w:fill="FFFFFF"/>
              </w:rPr>
              <w:fldChar w:fldCharType="end"/>
            </w:r>
          </w:p>
        </w:tc>
        <w:tc>
          <w:tcPr>
            <w:tcW w:w="582" w:type="pct"/>
            <w:vAlign w:val="center"/>
          </w:tcPr>
          <w:p>
            <w:pPr>
              <w:pStyle w:val="36"/>
              <w:keepNext w:val="0"/>
              <w:keepLines w:val="0"/>
              <w:suppressLineNumbers w:val="0"/>
              <w:spacing w:before="0" w:beforeAutospacing="0" w:after="0" w:afterAutospacing="0"/>
              <w:ind w:left="0" w:right="0"/>
              <w:rPr>
                <w:color w:val="auto"/>
              </w:rPr>
            </w:pPr>
            <w:r>
              <w:rPr>
                <w:rFonts w:hint="eastAsia"/>
                <w:color w:val="auto"/>
              </w:rPr>
              <w:t>1000</w:t>
            </w:r>
          </w:p>
        </w:tc>
        <w:tc>
          <w:tcPr>
            <w:tcW w:w="1695" w:type="pct"/>
          </w:tcPr>
          <w:p>
            <w:pPr>
              <w:pStyle w:val="36"/>
              <w:keepNext w:val="0"/>
              <w:keepLines w:val="0"/>
              <w:suppressLineNumbers w:val="0"/>
              <w:spacing w:before="0" w:beforeAutospacing="0" w:after="0" w:afterAutospacing="0"/>
              <w:ind w:left="0" w:right="0"/>
              <w:rPr>
                <w:color w:val="auto"/>
              </w:rPr>
            </w:pP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9</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助剂</w:t>
            </w:r>
          </w:p>
        </w:tc>
        <w:tc>
          <w:tcPr>
            <w:tcW w:w="582"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180</w:t>
            </w:r>
          </w:p>
        </w:tc>
        <w:tc>
          <w:tcPr>
            <w:tcW w:w="1695" w:type="pct"/>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碳酸钙（颗粒状）、色母（颗粒）、增强剂、增韧剂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3" w:type="pct"/>
            <w:gridSpan w:val="2"/>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合计</w:t>
            </w:r>
          </w:p>
        </w:tc>
        <w:tc>
          <w:tcPr>
            <w:tcW w:w="582" w:type="pct"/>
            <w:vAlign w:val="center"/>
          </w:tcPr>
          <w:p>
            <w:pPr>
              <w:pStyle w:val="36"/>
              <w:keepNext w:val="0"/>
              <w:keepLines w:val="0"/>
              <w:suppressLineNumbers w:val="0"/>
              <w:spacing w:before="0" w:beforeAutospacing="0" w:after="0" w:afterAutospacing="0"/>
              <w:ind w:left="0" w:right="0"/>
              <w:rPr>
                <w:color w:val="auto"/>
                <w:szCs w:val="21"/>
              </w:rPr>
            </w:pPr>
            <w:r>
              <w:rPr>
                <w:color w:val="auto"/>
                <w:szCs w:val="21"/>
              </w:rPr>
              <w:fldChar w:fldCharType="begin"/>
            </w:r>
            <w:r>
              <w:rPr>
                <w:color w:val="auto"/>
                <w:szCs w:val="21"/>
              </w:rPr>
              <w:instrText xml:space="preserve"> =SUM(ABOVE) </w:instrText>
            </w:r>
            <w:r>
              <w:rPr>
                <w:color w:val="auto"/>
                <w:szCs w:val="21"/>
              </w:rPr>
              <w:fldChar w:fldCharType="separate"/>
            </w:r>
            <w:r>
              <w:rPr>
                <w:color w:val="auto"/>
                <w:szCs w:val="21"/>
              </w:rPr>
              <w:t>32080</w:t>
            </w:r>
            <w:r>
              <w:rPr>
                <w:color w:val="auto"/>
                <w:szCs w:val="21"/>
              </w:rPr>
              <w:fldChar w:fldCharType="end"/>
            </w:r>
          </w:p>
        </w:tc>
        <w:tc>
          <w:tcPr>
            <w:tcW w:w="1695" w:type="pct"/>
          </w:tcPr>
          <w:p>
            <w:pPr>
              <w:pStyle w:val="36"/>
              <w:keepNext w:val="0"/>
              <w:keepLines w:val="0"/>
              <w:suppressLineNumbers w:val="0"/>
              <w:spacing w:before="0" w:beforeAutospacing="0" w:after="0" w:afterAutospacing="0"/>
              <w:ind w:left="0" w:right="0"/>
              <w:rPr>
                <w:color w:val="auto"/>
                <w:szCs w:val="21"/>
              </w:rPr>
            </w:pPr>
            <w:r>
              <w:rPr>
                <w:rFonts w:hint="eastAsia"/>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10</w:t>
            </w:r>
          </w:p>
        </w:tc>
        <w:tc>
          <w:tcPr>
            <w:tcW w:w="2327"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齿轮油</w:t>
            </w:r>
          </w:p>
        </w:tc>
        <w:tc>
          <w:tcPr>
            <w:tcW w:w="582"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0.2</w:t>
            </w:r>
          </w:p>
        </w:tc>
        <w:tc>
          <w:tcPr>
            <w:tcW w:w="1695" w:type="pct"/>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变速箱使用，定期更换</w:t>
            </w:r>
          </w:p>
        </w:tc>
      </w:tr>
    </w:tbl>
    <w:p>
      <w:pPr>
        <w:numPr>
          <w:ilvl w:val="0"/>
          <w:numId w:val="16"/>
        </w:numPr>
        <w:spacing w:line="240" w:lineRule="auto"/>
        <w:ind w:firstLineChars="0"/>
        <w:jc w:val="right"/>
        <w:rPr>
          <w:rFonts w:ascii="Times New Roman" w:hAnsi="Times New Roman"/>
          <w:b/>
          <w:color w:val="auto"/>
          <w:sz w:val="21"/>
        </w:rPr>
      </w:pPr>
      <w:r>
        <w:rPr>
          <w:rFonts w:ascii="Times New Roman" w:hAnsi="Times New Roman"/>
          <w:b/>
          <w:color w:val="auto"/>
          <w:sz w:val="21"/>
        </w:rPr>
        <w:t>项目主要原辅材料</w:t>
      </w:r>
      <w:r>
        <w:rPr>
          <w:rFonts w:hint="eastAsia" w:ascii="Times New Roman" w:hAnsi="Times New Roman"/>
          <w:b/>
          <w:color w:val="auto"/>
          <w:sz w:val="21"/>
        </w:rPr>
        <w:t>理化性质</w:t>
      </w:r>
      <w:r>
        <w:rPr>
          <w:rFonts w:ascii="Times New Roman" w:hAnsi="Times New Roman"/>
          <w:b/>
          <w:color w:val="auto"/>
          <w:sz w:val="21"/>
        </w:rPr>
        <w:t xml:space="preserve">      </w:t>
      </w:r>
      <w:r>
        <w:rPr>
          <w:rFonts w:hint="eastAsia" w:ascii="Times New Roman" w:hAnsi="Times New Roman"/>
          <w:b/>
          <w:color w:val="auto"/>
          <w:sz w:val="21"/>
        </w:rPr>
        <w:t xml:space="preserve">            </w:t>
      </w:r>
      <w:r>
        <w:rPr>
          <w:rFonts w:ascii="Times New Roman" w:hAnsi="Times New Roman"/>
          <w:b/>
          <w:color w:val="auto"/>
          <w:sz w:val="21"/>
        </w:rPr>
        <w:t xml:space="preserve">  单位：t/a</w:t>
      </w:r>
    </w:p>
    <w:tbl>
      <w:tblPr>
        <w:tblStyle w:val="83"/>
        <w:tblW w:w="5000"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276"/>
        <w:gridCol w:w="6577"/>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rFonts w:hint="eastAsia"/>
                <w:b/>
                <w:color w:val="auto"/>
                <w:kern w:val="2"/>
                <w:szCs w:val="21"/>
              </w:rPr>
              <w:t>PP聚丙烯</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无毒、</w:t>
            </w:r>
            <w:r>
              <w:rPr>
                <w:color w:val="auto"/>
                <w:kern w:val="2"/>
                <w:szCs w:val="21"/>
              </w:rPr>
              <w:t>无味，密度小，强度、刚度、硬度耐热性均优于低压聚乙烯</w:t>
            </w:r>
            <w:r>
              <w:rPr>
                <w:rFonts w:hint="eastAsia"/>
                <w:color w:val="auto"/>
                <w:kern w:val="2"/>
                <w:szCs w:val="21"/>
              </w:rPr>
              <w:t>，</w:t>
            </w:r>
            <w:r>
              <w:rPr>
                <w:color w:val="auto"/>
                <w:kern w:val="2"/>
                <w:szCs w:val="21"/>
              </w:rPr>
              <w:t>可在 100 度左右使用</w:t>
            </w:r>
            <w:r>
              <w:rPr>
                <w:rFonts w:hint="eastAsia"/>
                <w:color w:val="auto"/>
                <w:kern w:val="2"/>
                <w:szCs w:val="21"/>
              </w:rPr>
              <w:t>。具有良好的电性能和高频绝缘性不受湿度影</w:t>
            </w:r>
          </w:p>
          <w:p>
            <w:pPr>
              <w:pStyle w:val="36"/>
              <w:keepNext w:val="0"/>
              <w:keepLines w:val="0"/>
              <w:suppressLineNumbers w:val="0"/>
              <w:spacing w:before="0" w:beforeAutospacing="0" w:after="0" w:afterAutospacing="0"/>
              <w:ind w:left="0" w:right="0"/>
              <w:jc w:val="both"/>
              <w:rPr>
                <w:color w:val="auto"/>
                <w:kern w:val="2"/>
                <w:szCs w:val="21"/>
              </w:rPr>
            </w:pPr>
            <w:r>
              <w:rPr>
                <w:rFonts w:hint="eastAsia"/>
                <w:color w:val="auto"/>
                <w:kern w:val="2"/>
                <w:szCs w:val="21"/>
              </w:rPr>
              <w:t>响，</w:t>
            </w:r>
            <w:r>
              <w:rPr>
                <w:color w:val="auto"/>
                <w:kern w:val="2"/>
                <w:szCs w:val="21"/>
              </w:rPr>
              <w:t>但低温时变脆、不耐磨、易老化.适于制作</w:t>
            </w:r>
            <w:r>
              <w:rPr>
                <w:rFonts w:hint="eastAsia"/>
                <w:color w:val="auto"/>
                <w:kern w:val="2"/>
                <w:szCs w:val="21"/>
              </w:rPr>
              <w:t>一般机械</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聚丙烯具有燃烧性，</w:t>
            </w:r>
            <w:r>
              <w:rPr>
                <w:color w:val="auto"/>
                <w:kern w:val="2"/>
                <w:szCs w:val="21"/>
              </w:rPr>
              <w:t>可燃。其燃烧一般是由于受到外来的热而分解出可燃性气体，并与空</w:t>
            </w:r>
            <w:r>
              <w:rPr>
                <w:rFonts w:hint="eastAsia"/>
                <w:color w:val="auto"/>
                <w:kern w:val="2"/>
                <w:szCs w:val="21"/>
              </w:rPr>
              <w:t>气中的氧气相混合而着火，</w:t>
            </w:r>
            <w:r>
              <w:rPr>
                <w:color w:val="auto"/>
                <w:kern w:val="2"/>
                <w:szCs w:val="21"/>
              </w:rPr>
              <w:t xml:space="preserve"> 离火后继续燃烧，火焰的上端呈黄色，下端产呈蓝色，有少量</w:t>
            </w:r>
            <w:r>
              <w:rPr>
                <w:rFonts w:hint="eastAsia"/>
                <w:color w:val="auto"/>
                <w:kern w:val="2"/>
                <w:szCs w:val="21"/>
              </w:rPr>
              <w:t>黑烟产生，</w:t>
            </w:r>
            <w:r>
              <w:rPr>
                <w:color w:val="auto"/>
                <w:kern w:val="2"/>
                <w:szCs w:val="21"/>
              </w:rPr>
              <w:t>燃烧时发出石油味。</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2</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b/>
                <w:color w:val="auto"/>
                <w:kern w:val="2"/>
                <w:szCs w:val="21"/>
              </w:rPr>
              <w:t>PE</w:t>
            </w:r>
            <w:r>
              <w:rPr>
                <w:rFonts w:hint="eastAsia"/>
                <w:b/>
                <w:color w:val="auto"/>
                <w:kern w:val="2"/>
                <w:szCs w:val="21"/>
              </w:rPr>
              <w:t>聚乙烯</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聚乙烯无臭，</w:t>
            </w:r>
            <w:r>
              <w:rPr>
                <w:color w:val="auto"/>
                <w:kern w:val="2"/>
                <w:szCs w:val="21"/>
              </w:rPr>
              <w:t>无毒，手感似蜡，具有优良的耐低温性能(最低使用</w:t>
            </w:r>
          </w:p>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温度可达-70～-100</w:t>
            </w:r>
            <w:r>
              <w:rPr>
                <w:rFonts w:hint="eastAsia" w:ascii="宋体" w:hAnsi="宋体" w:cs="宋体"/>
                <w:color w:val="auto"/>
                <w:kern w:val="2"/>
                <w:szCs w:val="21"/>
              </w:rPr>
              <w:t>℃</w:t>
            </w:r>
            <w:r>
              <w:rPr>
                <w:color w:val="auto"/>
                <w:kern w:val="2"/>
                <w:szCs w:val="21"/>
              </w:rPr>
              <w:t>)，</w:t>
            </w:r>
            <w:r>
              <w:rPr>
                <w:rFonts w:hint="eastAsia"/>
                <w:color w:val="auto"/>
                <w:kern w:val="2"/>
                <w:szCs w:val="21"/>
              </w:rPr>
              <w:t>化学稳定性好，</w:t>
            </w:r>
            <w:r>
              <w:rPr>
                <w:color w:val="auto"/>
                <w:kern w:val="2"/>
                <w:szCs w:val="21"/>
              </w:rPr>
              <w:t xml:space="preserve"> 能耐大多数酸碱的侵蚀(不耐具有氧化性质的酸)， 常温下不溶于一般溶剂，</w:t>
            </w:r>
            <w:r>
              <w:rPr>
                <w:rFonts w:hint="eastAsia"/>
                <w:color w:val="auto"/>
                <w:kern w:val="2"/>
                <w:szCs w:val="21"/>
              </w:rPr>
              <w:t>吸水性小，</w:t>
            </w:r>
            <w:r>
              <w:rPr>
                <w:color w:val="auto"/>
                <w:kern w:val="2"/>
                <w:szCs w:val="21"/>
              </w:rPr>
              <w:t xml:space="preserve"> 但由于其为线性分子可缓慢溶于某些有机溶剂， 且不发生溶胀， 电绝缘性能优</w:t>
            </w:r>
            <w:r>
              <w:rPr>
                <w:rFonts w:hint="eastAsia"/>
                <w:color w:val="auto"/>
                <w:kern w:val="2"/>
                <w:szCs w:val="21"/>
              </w:rPr>
              <w:t>良；</w:t>
            </w:r>
            <w:r>
              <w:rPr>
                <w:color w:val="auto"/>
                <w:kern w:val="2"/>
                <w:szCs w:val="21"/>
              </w:rPr>
              <w:t xml:space="preserve"> 但聚乙烯对于环境应力(化学与机械作用)是很敏感的， 耐热老化性差。 聚乙烯的性质</w:t>
            </w:r>
            <w:r>
              <w:rPr>
                <w:rFonts w:hint="eastAsia"/>
                <w:color w:val="auto"/>
                <w:kern w:val="2"/>
                <w:szCs w:val="21"/>
              </w:rPr>
              <w:t>因品种而异，</w:t>
            </w:r>
            <w:r>
              <w:rPr>
                <w:color w:val="auto"/>
                <w:kern w:val="2"/>
                <w:szCs w:val="21"/>
              </w:rPr>
              <w:t xml:space="preserve"> 主要取决于分子结构和密度。</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聚乙烯具有燃烧性，</w:t>
            </w:r>
            <w:r>
              <w:rPr>
                <w:color w:val="auto"/>
                <w:kern w:val="2"/>
                <w:szCs w:val="21"/>
              </w:rPr>
              <w:t>可燃。其燃烧一般是由于受到外来的热而分</w:t>
            </w:r>
          </w:p>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解出可燃性气体，并与空</w:t>
            </w:r>
            <w:r>
              <w:rPr>
                <w:rFonts w:hint="eastAsia"/>
                <w:color w:val="auto"/>
                <w:kern w:val="2"/>
                <w:szCs w:val="21"/>
              </w:rPr>
              <w:t>气中的氧气相混合而着火，</w:t>
            </w:r>
            <w:r>
              <w:rPr>
                <w:color w:val="auto"/>
                <w:kern w:val="2"/>
                <w:szCs w:val="21"/>
              </w:rPr>
              <w:t>离火后继续燃烧，火焰的上端呈黄色，下端产呈蓝色，有少量</w:t>
            </w:r>
            <w:r>
              <w:rPr>
                <w:rFonts w:hint="eastAsia"/>
                <w:color w:val="auto"/>
                <w:kern w:val="2"/>
                <w:szCs w:val="21"/>
              </w:rPr>
              <w:t>黑烟产生，</w:t>
            </w:r>
            <w:r>
              <w:rPr>
                <w:color w:val="auto"/>
                <w:kern w:val="2"/>
                <w:szCs w:val="21"/>
              </w:rPr>
              <w:t xml:space="preserve"> 燃烧时发出石蜡燃烧的气味。</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3</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b/>
                <w:color w:val="auto"/>
                <w:kern w:val="2"/>
                <w:szCs w:val="21"/>
              </w:rPr>
              <w:t>PS</w:t>
            </w:r>
            <w:r>
              <w:rPr>
                <w:rFonts w:hint="eastAsia"/>
                <w:b/>
                <w:color w:val="auto"/>
                <w:kern w:val="2"/>
                <w:szCs w:val="21"/>
              </w:rPr>
              <w:t>聚苯乙烯</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聚苯乙烯是一种无色透明的热塑性塑料，</w:t>
            </w:r>
            <w:r>
              <w:rPr>
                <w:color w:val="auto"/>
                <w:kern w:val="2"/>
                <w:szCs w:val="21"/>
              </w:rPr>
              <w:t xml:space="preserve"> 具有良好的光学性能及</w:t>
            </w:r>
          </w:p>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电器性能，容易加工成型，</w:t>
            </w:r>
            <w:r>
              <w:rPr>
                <w:rFonts w:hint="eastAsia"/>
                <w:color w:val="auto"/>
                <w:kern w:val="2"/>
                <w:szCs w:val="21"/>
              </w:rPr>
              <w:t>着色性能好。</w:t>
            </w:r>
            <w:r>
              <w:rPr>
                <w:color w:val="auto"/>
                <w:kern w:val="2"/>
                <w:szCs w:val="21"/>
              </w:rPr>
              <w:t>化学稳定性较差，会被多种有机溶剂溶解，会被强酸强碱腐蚀，不抗油脂，</w:t>
            </w:r>
            <w:r>
              <w:rPr>
                <w:rFonts w:hint="eastAsia"/>
                <w:color w:val="auto"/>
                <w:kern w:val="2"/>
                <w:szCs w:val="21"/>
              </w:rPr>
              <w:t>受到紫外线照射后易变色。</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易燃，</w:t>
            </w:r>
            <w:r>
              <w:rPr>
                <w:color w:val="auto"/>
                <w:kern w:val="2"/>
                <w:szCs w:val="21"/>
              </w:rPr>
              <w:t>离火后继续燃烧，并有苯乙烯臭味放出，火焰呈黄色，冒黑烟，燃烧时软化、起泡。</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4</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b/>
                <w:color w:val="auto"/>
                <w:kern w:val="2"/>
                <w:szCs w:val="21"/>
              </w:rPr>
              <w:t>PA</w:t>
            </w:r>
            <w:r>
              <w:rPr>
                <w:rFonts w:hint="eastAsia"/>
                <w:b/>
                <w:color w:val="auto"/>
                <w:kern w:val="2"/>
                <w:szCs w:val="21"/>
              </w:rPr>
              <w:t>聚酰胺</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jc w:val="both"/>
              <w:rPr>
                <w:color w:val="auto"/>
                <w:kern w:val="2"/>
                <w:szCs w:val="21"/>
              </w:rPr>
            </w:pPr>
            <w:r>
              <w:rPr>
                <w:rFonts w:hint="eastAsia"/>
                <w:color w:val="auto"/>
                <w:kern w:val="2"/>
                <w:szCs w:val="21"/>
              </w:rPr>
              <w:t>机械强度高，</w:t>
            </w:r>
            <w:r>
              <w:rPr>
                <w:color w:val="auto"/>
                <w:kern w:val="2"/>
                <w:szCs w:val="21"/>
              </w:rPr>
              <w:t>软化点高，摩擦系数低，耐磨损，具有自润滑性，消音性，耐油，</w:t>
            </w:r>
            <w:r>
              <w:rPr>
                <w:rFonts w:hint="eastAsia"/>
                <w:color w:val="auto"/>
                <w:kern w:val="2"/>
                <w:szCs w:val="21"/>
              </w:rPr>
              <w:t>耐弱酸、</w:t>
            </w:r>
            <w:r>
              <w:rPr>
                <w:color w:val="auto"/>
                <w:kern w:val="2"/>
                <w:szCs w:val="21"/>
              </w:rPr>
              <w:t>弱碱及一般的溶剂。无毒性，但不可长期与酸碱接触。</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不易燃烧，</w:t>
            </w:r>
            <w:r>
              <w:rPr>
                <w:color w:val="auto"/>
                <w:kern w:val="2"/>
                <w:szCs w:val="21"/>
              </w:rPr>
              <w:t xml:space="preserve"> 且具有自熄性</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5</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rFonts w:hint="eastAsia"/>
                <w:b/>
                <w:color w:val="auto"/>
                <w:kern w:val="2"/>
                <w:szCs w:val="21"/>
              </w:rPr>
              <w:t>（</w:t>
            </w:r>
            <w:r>
              <w:rPr>
                <w:b/>
                <w:color w:val="auto"/>
                <w:kern w:val="2"/>
                <w:szCs w:val="21"/>
              </w:rPr>
              <w:t>ABS</w:t>
            </w:r>
            <w:r>
              <w:rPr>
                <w:rFonts w:hint="eastAsia"/>
                <w:b/>
                <w:color w:val="auto"/>
                <w:kern w:val="2"/>
                <w:szCs w:val="21"/>
              </w:rPr>
              <w:t>）</w:t>
            </w:r>
            <w:r>
              <w:rPr>
                <w:b/>
                <w:color w:val="auto"/>
                <w:kern w:val="2"/>
                <w:szCs w:val="21"/>
              </w:rPr>
              <w:t>1，</w:t>
            </w:r>
            <w:r>
              <w:rPr>
                <w:rFonts w:hint="eastAsia"/>
                <w:b/>
                <w:color w:val="auto"/>
                <w:kern w:val="2"/>
                <w:szCs w:val="21"/>
              </w:rPr>
              <w:t>3</w:t>
            </w:r>
            <w:r>
              <w:rPr>
                <w:b/>
                <w:color w:val="auto"/>
                <w:kern w:val="2"/>
                <w:szCs w:val="21"/>
              </w:rPr>
              <w:t>丁二烯-丙烯腈-苯乙烯聚合物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具有良好的抗冲击性和耐热度</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燃烧缓慢，</w:t>
            </w:r>
            <w:r>
              <w:rPr>
                <w:color w:val="auto"/>
                <w:kern w:val="2"/>
                <w:szCs w:val="21"/>
              </w:rPr>
              <w:t>火焰呈黄色，有黑烟，燃烧后塑料软化、烧焦，发出</w:t>
            </w:r>
          </w:p>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特殊的肉桂气味， 但无熔</w:t>
            </w:r>
            <w:r>
              <w:rPr>
                <w:rFonts w:hint="eastAsia"/>
                <w:color w:val="auto"/>
                <w:kern w:val="2"/>
                <w:szCs w:val="21"/>
              </w:rPr>
              <w:t>融滴落现象</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6</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rFonts w:hint="eastAsia"/>
                <w:b/>
                <w:color w:val="auto"/>
                <w:kern w:val="2"/>
                <w:szCs w:val="21"/>
              </w:rPr>
              <w:t>聚对苯二甲酸乙二酯</w:t>
            </w:r>
            <w:r>
              <w:rPr>
                <w:b/>
                <w:color w:val="auto"/>
                <w:kern w:val="2"/>
                <w:szCs w:val="21"/>
              </w:rPr>
              <w:t>(PET)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聚对苯二甲酸乙二酯是一种无色透明材料，</w:t>
            </w:r>
            <w:r>
              <w:rPr>
                <w:color w:val="auto"/>
                <w:kern w:val="2"/>
                <w:szCs w:val="21"/>
              </w:rPr>
              <w:t>具有优良的坚韧性，</w:t>
            </w:r>
          </w:p>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拉伸、 抗冲击强度、</w:t>
            </w:r>
            <w:r>
              <w:rPr>
                <w:rFonts w:hint="eastAsia"/>
                <w:color w:val="auto"/>
                <w:kern w:val="2"/>
                <w:szCs w:val="21"/>
              </w:rPr>
              <w:t>耐磨性，</w:t>
            </w:r>
            <w:r>
              <w:rPr>
                <w:color w:val="auto"/>
                <w:kern w:val="2"/>
                <w:szCs w:val="21"/>
              </w:rPr>
              <w:t>电绝缘性。 由于具有韧性佳、质量轻、 不透气、 耐酸碱等特点， 近年成为</w:t>
            </w:r>
            <w:r>
              <w:rPr>
                <w:rFonts w:hint="eastAsia"/>
                <w:color w:val="auto"/>
                <w:kern w:val="2"/>
                <w:szCs w:val="21"/>
              </w:rPr>
              <w:t>汽水、</w:t>
            </w:r>
            <w:r>
              <w:rPr>
                <w:color w:val="auto"/>
                <w:kern w:val="2"/>
                <w:szCs w:val="21"/>
              </w:rPr>
              <w:t>果汁、碳酸饮料等之常用 容器。</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易燃，</w:t>
            </w:r>
            <w:r>
              <w:rPr>
                <w:color w:val="auto"/>
                <w:kern w:val="2"/>
                <w:szCs w:val="21"/>
              </w:rPr>
              <w:t>离火后能继续燃烧， 火焰上端呈金黄色， 下端成兰色， 燃</w:t>
            </w:r>
          </w:p>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烧时材料爆裂成碎片。</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7</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rFonts w:hint="eastAsia"/>
                <w:b/>
                <w:color w:val="auto"/>
                <w:kern w:val="2"/>
                <w:szCs w:val="21"/>
              </w:rPr>
              <w:t>PC</w:t>
            </w:r>
            <w:r>
              <w:rPr>
                <w:b/>
                <w:color w:val="auto"/>
                <w:kern w:val="2"/>
                <w:szCs w:val="21"/>
              </w:rPr>
              <w:t>聚碳酸酯</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分子链中含有碳酸酯基的</w:t>
            </w:r>
            <w:r>
              <w:rPr>
                <w:color w:val="auto"/>
              </w:rPr>
              <w:fldChar w:fldCharType="begin"/>
            </w:r>
            <w:r>
              <w:rPr>
                <w:color w:val="auto"/>
              </w:rPr>
              <w:instrText xml:space="preserve"> HYPERLINK "https://baike.baidu.com/item/%E9%AB%98%E5%88%86%E5%AD%90%E8%81%9A%E5%90%88%E7%89%A9/10404353" \t "_blank" </w:instrText>
            </w:r>
            <w:r>
              <w:rPr>
                <w:color w:val="auto"/>
              </w:rPr>
              <w:fldChar w:fldCharType="separate"/>
            </w:r>
            <w:r>
              <w:rPr>
                <w:color w:val="auto"/>
                <w:kern w:val="2"/>
              </w:rPr>
              <w:t>高分子聚合物</w:t>
            </w:r>
            <w:r>
              <w:rPr>
                <w:color w:val="auto"/>
                <w:kern w:val="2"/>
              </w:rPr>
              <w:fldChar w:fldCharType="end"/>
            </w:r>
            <w:r>
              <w:rPr>
                <w:color w:val="auto"/>
                <w:kern w:val="2"/>
                <w:szCs w:val="21"/>
              </w:rPr>
              <w:t>，根据</w:t>
            </w:r>
            <w:r>
              <w:rPr>
                <w:color w:val="auto"/>
              </w:rPr>
              <w:fldChar w:fldCharType="begin"/>
            </w:r>
            <w:r>
              <w:rPr>
                <w:color w:val="auto"/>
              </w:rPr>
              <w:instrText xml:space="preserve"> HYPERLINK "https://baike.baidu.com/item/%E9%85%AF%E5%9F%BA/7606604" \t "_blank" </w:instrText>
            </w:r>
            <w:r>
              <w:rPr>
                <w:color w:val="auto"/>
              </w:rPr>
              <w:fldChar w:fldCharType="separate"/>
            </w:r>
            <w:r>
              <w:rPr>
                <w:color w:val="auto"/>
                <w:kern w:val="2"/>
              </w:rPr>
              <w:t>酯基</w:t>
            </w:r>
            <w:r>
              <w:rPr>
                <w:color w:val="auto"/>
                <w:kern w:val="2"/>
              </w:rPr>
              <w:fldChar w:fldCharType="end"/>
            </w:r>
            <w:r>
              <w:rPr>
                <w:color w:val="auto"/>
                <w:kern w:val="2"/>
                <w:szCs w:val="21"/>
              </w:rPr>
              <w:t>的结构可分为</w:t>
            </w:r>
            <w:r>
              <w:rPr>
                <w:color w:val="auto"/>
              </w:rPr>
              <w:fldChar w:fldCharType="begin"/>
            </w:r>
            <w:r>
              <w:rPr>
                <w:color w:val="auto"/>
              </w:rPr>
              <w:instrText xml:space="preserve"> HYPERLINK "https://baike.baidu.com/item/%E8%84%82%E8%82%AA%E6%97%8F/5945987" \t "_blank" </w:instrText>
            </w:r>
            <w:r>
              <w:rPr>
                <w:color w:val="auto"/>
              </w:rPr>
              <w:fldChar w:fldCharType="separate"/>
            </w:r>
            <w:r>
              <w:rPr>
                <w:color w:val="auto"/>
                <w:kern w:val="2"/>
              </w:rPr>
              <w:t>脂肪族</w:t>
            </w:r>
            <w:r>
              <w:rPr>
                <w:color w:val="auto"/>
                <w:kern w:val="2"/>
              </w:rPr>
              <w:fldChar w:fldCharType="end"/>
            </w:r>
            <w:r>
              <w:rPr>
                <w:color w:val="auto"/>
                <w:kern w:val="2"/>
                <w:szCs w:val="21"/>
              </w:rPr>
              <w:t>、芳香族、脂肪族－芳香族等多种类型。碳酸的聚酯类，</w:t>
            </w:r>
            <w:r>
              <w:rPr>
                <w:color w:val="auto"/>
              </w:rPr>
              <w:fldChar w:fldCharType="begin"/>
            </w:r>
            <w:r>
              <w:rPr>
                <w:color w:val="auto"/>
              </w:rPr>
              <w:instrText xml:space="preserve"> HYPERLINK "https://baike.baidu.com/item/%E7%A2%B3%E9%85%B8" \t "_blank" </w:instrText>
            </w:r>
            <w:r>
              <w:rPr>
                <w:color w:val="auto"/>
              </w:rPr>
              <w:fldChar w:fldCharType="separate"/>
            </w:r>
            <w:r>
              <w:rPr>
                <w:color w:val="auto"/>
                <w:kern w:val="2"/>
              </w:rPr>
              <w:t>碳酸</w:t>
            </w:r>
            <w:r>
              <w:rPr>
                <w:color w:val="auto"/>
                <w:kern w:val="2"/>
              </w:rPr>
              <w:fldChar w:fldCharType="end"/>
            </w:r>
            <w:r>
              <w:rPr>
                <w:color w:val="auto"/>
                <w:kern w:val="2"/>
                <w:szCs w:val="21"/>
              </w:rPr>
              <w:t>本身并不稳定，但其衍生物（如</w:t>
            </w:r>
            <w:r>
              <w:rPr>
                <w:color w:val="auto"/>
              </w:rPr>
              <w:fldChar w:fldCharType="begin"/>
            </w:r>
            <w:r>
              <w:rPr>
                <w:color w:val="auto"/>
              </w:rPr>
              <w:instrText xml:space="preserve"> HYPERLINK "https://baike.baidu.com/item/%E5%85%89%E6%B0%94" \t "_blank" </w:instrText>
            </w:r>
            <w:r>
              <w:rPr>
                <w:color w:val="auto"/>
              </w:rPr>
              <w:fldChar w:fldCharType="separate"/>
            </w:r>
            <w:r>
              <w:rPr>
                <w:color w:val="auto"/>
                <w:kern w:val="2"/>
              </w:rPr>
              <w:t>光气</w:t>
            </w:r>
            <w:r>
              <w:rPr>
                <w:color w:val="auto"/>
                <w:kern w:val="2"/>
              </w:rPr>
              <w:fldChar w:fldCharType="end"/>
            </w:r>
            <w:r>
              <w:rPr>
                <w:color w:val="auto"/>
                <w:kern w:val="2"/>
                <w:szCs w:val="21"/>
              </w:rPr>
              <w:t>，尿素，碳酸盐，碳酸酯）都有一定稳定性。</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具有</w:t>
            </w:r>
            <w:r>
              <w:rPr>
                <w:color w:val="auto"/>
              </w:rPr>
              <w:fldChar w:fldCharType="begin"/>
            </w:r>
            <w:r>
              <w:rPr>
                <w:color w:val="auto"/>
              </w:rPr>
              <w:instrText xml:space="preserve"> HYPERLINK "https://baike.baidu.com/item/%E9%98%BB%E7%87%83%E6%80%A7" \t "_blank" </w:instrText>
            </w:r>
            <w:r>
              <w:rPr>
                <w:color w:val="auto"/>
              </w:rPr>
              <w:fldChar w:fldCharType="separate"/>
            </w:r>
            <w:r>
              <w:rPr>
                <w:color w:val="auto"/>
                <w:kern w:val="2"/>
              </w:rPr>
              <w:t>阻燃性</w:t>
            </w:r>
            <w:r>
              <w:rPr>
                <w:color w:val="auto"/>
                <w:kern w:val="2"/>
              </w:rPr>
              <w:fldChar w:fldCharType="end"/>
            </w:r>
            <w:r>
              <w:rPr>
                <w:color w:val="auto"/>
                <w:kern w:val="2"/>
                <w:szCs w:val="21"/>
              </w:rPr>
              <w:t>。抗氧化性。</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8</w:t>
            </w: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原料名称</w:t>
            </w:r>
          </w:p>
        </w:tc>
        <w:tc>
          <w:tcPr>
            <w:tcW w:w="3856" w:type="pct"/>
            <w:vAlign w:val="center"/>
          </w:tcPr>
          <w:p>
            <w:pPr>
              <w:pStyle w:val="36"/>
              <w:keepNext w:val="0"/>
              <w:keepLines w:val="0"/>
              <w:suppressLineNumbers w:val="0"/>
              <w:spacing w:before="0" w:beforeAutospacing="0" w:after="0" w:afterAutospacing="0"/>
              <w:ind w:left="0" w:right="0"/>
              <w:rPr>
                <w:b/>
                <w:color w:val="auto"/>
                <w:kern w:val="2"/>
                <w:szCs w:val="21"/>
              </w:rPr>
            </w:pPr>
            <w:r>
              <w:rPr>
                <w:rFonts w:hint="eastAsia"/>
                <w:b/>
                <w:color w:val="auto"/>
                <w:kern w:val="2"/>
                <w:szCs w:val="21"/>
              </w:rPr>
              <w:t>PMMA</w:t>
            </w:r>
            <w:r>
              <w:rPr>
                <w:b/>
                <w:color w:val="auto"/>
                <w:kern w:val="2"/>
                <w:szCs w:val="21"/>
              </w:rPr>
              <w:t xml:space="preserve"> </w:t>
            </w:r>
            <w:r>
              <w:rPr>
                <w:color w:val="auto"/>
              </w:rPr>
              <w:fldChar w:fldCharType="begin"/>
            </w:r>
            <w:r>
              <w:rPr>
                <w:color w:val="auto"/>
              </w:rPr>
              <w:instrText xml:space="preserve"> HYPERLINK "https://baike.baidu.com/item/%E8%81%9A%E7%94%B2%E5%9F%BA%E4%B8%99%E7%83%AF%E9%85%B8%E7%94%B2%E9%85%AF/10402338" \t "_blank" </w:instrText>
            </w:r>
            <w:r>
              <w:rPr>
                <w:color w:val="auto"/>
              </w:rPr>
              <w:fldChar w:fldCharType="separate"/>
            </w:r>
            <w:r>
              <w:rPr>
                <w:b/>
                <w:color w:val="auto"/>
                <w:kern w:val="2"/>
              </w:rPr>
              <w:t>聚甲基丙烯酸甲酯</w:t>
            </w:r>
            <w:r>
              <w:rPr>
                <w:b/>
                <w:color w:val="auto"/>
                <w:kern w:val="2"/>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特性</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由甲基丙烯酸酯聚合成的</w:t>
            </w:r>
            <w:r>
              <w:rPr>
                <w:color w:val="auto"/>
              </w:rPr>
              <w:fldChar w:fldCharType="begin"/>
            </w:r>
            <w:r>
              <w:rPr>
                <w:color w:val="auto"/>
              </w:rPr>
              <w:instrText xml:space="preserve"> HYPERLINK "https://baike.baidu.com/item/%E9%AB%98%E5%88%86%E5%AD%90%E5%8C%96%E5%90%88%E7%89%A9" \t "_blank" </w:instrText>
            </w:r>
            <w:r>
              <w:rPr>
                <w:color w:val="auto"/>
              </w:rPr>
              <w:fldChar w:fldCharType="separate"/>
            </w:r>
            <w:r>
              <w:rPr>
                <w:color w:val="auto"/>
                <w:kern w:val="2"/>
              </w:rPr>
              <w:t>高分子化合物</w:t>
            </w:r>
            <w:r>
              <w:rPr>
                <w:color w:val="auto"/>
                <w:kern w:val="2"/>
              </w:rPr>
              <w:fldChar w:fldCharType="end"/>
            </w:r>
            <w:r>
              <w:rPr>
                <w:color w:val="auto"/>
                <w:kern w:val="2"/>
                <w:szCs w:val="21"/>
              </w:rPr>
              <w:t>。表面光滑、色彩艳丽，比重小，强度较大，耐腐蚀，耐湿，耐晒，绝缘性能好，隔声性好。可分管形材、棒形材、板形材三种。</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c>
          <w:tcPr>
            <w:tcW w:w="39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748"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燃烧特征</w:t>
            </w:r>
          </w:p>
        </w:tc>
        <w:tc>
          <w:tcPr>
            <w:tcW w:w="3856"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聚甲基丙烯酸甲酯的耐热性并不高，它的</w:t>
            </w:r>
            <w:r>
              <w:rPr>
                <w:color w:val="auto"/>
              </w:rPr>
              <w:fldChar w:fldCharType="begin"/>
            </w:r>
            <w:r>
              <w:rPr>
                <w:color w:val="auto"/>
              </w:rPr>
              <w:instrText xml:space="preserve"> HYPERLINK "https://baike.baidu.com/item/%E7%8E%BB%E7%92%83%E5%8C%96%E6%B8%A9%E5%BA%A6" \t "_blank" </w:instrText>
            </w:r>
            <w:r>
              <w:rPr>
                <w:color w:val="auto"/>
              </w:rPr>
              <w:fldChar w:fldCharType="separate"/>
            </w:r>
            <w:r>
              <w:rPr>
                <w:color w:val="auto"/>
                <w:kern w:val="2"/>
              </w:rPr>
              <w:t>玻璃化温度</w:t>
            </w:r>
            <w:r>
              <w:rPr>
                <w:color w:val="auto"/>
                <w:kern w:val="2"/>
              </w:rPr>
              <w:fldChar w:fldCharType="end"/>
            </w:r>
            <w:r>
              <w:rPr>
                <w:color w:val="auto"/>
                <w:kern w:val="2"/>
                <w:szCs w:val="21"/>
              </w:rPr>
              <w:t>虽然达到104</w:t>
            </w:r>
            <w:r>
              <w:rPr>
                <w:rFonts w:hint="eastAsia"/>
                <w:color w:val="auto"/>
                <w:kern w:val="2"/>
                <w:szCs w:val="21"/>
              </w:rPr>
              <w:t>℃</w:t>
            </w:r>
            <w:r>
              <w:rPr>
                <w:color w:val="auto"/>
                <w:kern w:val="2"/>
                <w:szCs w:val="21"/>
              </w:rPr>
              <w:t>，但最高连续使用温度却随工作条件不同在65</w:t>
            </w:r>
            <w:r>
              <w:rPr>
                <w:rFonts w:hint="eastAsia"/>
                <w:color w:val="auto"/>
                <w:kern w:val="2"/>
                <w:szCs w:val="21"/>
              </w:rPr>
              <w:t>℃</w:t>
            </w:r>
            <w:r>
              <w:rPr>
                <w:color w:val="auto"/>
                <w:kern w:val="2"/>
                <w:szCs w:val="21"/>
              </w:rPr>
              <w:t>-95</w:t>
            </w:r>
            <w:r>
              <w:rPr>
                <w:rFonts w:hint="eastAsia"/>
                <w:color w:val="auto"/>
                <w:kern w:val="2"/>
                <w:szCs w:val="21"/>
              </w:rPr>
              <w:t>℃</w:t>
            </w:r>
            <w:r>
              <w:rPr>
                <w:color w:val="auto"/>
                <w:kern w:val="2"/>
                <w:szCs w:val="21"/>
              </w:rPr>
              <w:t>之间改变，热变形温度约为96</w:t>
            </w:r>
            <w:r>
              <w:rPr>
                <w:rFonts w:hint="eastAsia"/>
                <w:color w:val="auto"/>
                <w:kern w:val="2"/>
                <w:szCs w:val="21"/>
              </w:rPr>
              <w:t>℃</w:t>
            </w:r>
            <w:r>
              <w:rPr>
                <w:color w:val="auto"/>
                <w:kern w:val="2"/>
                <w:szCs w:val="21"/>
              </w:rPr>
              <w:t>（1.18MPa），维卡软化点约113</w:t>
            </w:r>
            <w:r>
              <w:rPr>
                <w:rFonts w:hint="eastAsia"/>
                <w:color w:val="auto"/>
                <w:kern w:val="2"/>
                <w:szCs w:val="21"/>
              </w:rPr>
              <w:t>℃</w:t>
            </w:r>
            <w:r>
              <w:rPr>
                <w:color w:val="auto"/>
                <w:kern w:val="2"/>
                <w:szCs w:val="21"/>
              </w:rPr>
              <w:t>。可以用</w:t>
            </w:r>
            <w:r>
              <w:rPr>
                <w:color w:val="auto"/>
              </w:rPr>
              <w:fldChar w:fldCharType="begin"/>
            </w:r>
            <w:r>
              <w:rPr>
                <w:color w:val="auto"/>
              </w:rPr>
              <w:instrText xml:space="preserve"> HYPERLINK "https://baike.baidu.com/item/%E5%8D%95%E4%BD%93" \t "_blank" </w:instrText>
            </w:r>
            <w:r>
              <w:rPr>
                <w:color w:val="auto"/>
              </w:rPr>
              <w:fldChar w:fldCharType="separate"/>
            </w:r>
            <w:r>
              <w:rPr>
                <w:color w:val="auto"/>
                <w:kern w:val="2"/>
              </w:rPr>
              <w:t>单体</w:t>
            </w:r>
            <w:r>
              <w:rPr>
                <w:color w:val="auto"/>
                <w:kern w:val="2"/>
              </w:rPr>
              <w:fldChar w:fldCharType="end"/>
            </w:r>
            <w:r>
              <w:rPr>
                <w:color w:val="auto"/>
                <w:kern w:val="2"/>
                <w:szCs w:val="21"/>
              </w:rPr>
              <w:t>与甲基</w:t>
            </w:r>
            <w:r>
              <w:rPr>
                <w:color w:val="auto"/>
              </w:rPr>
              <w:fldChar w:fldCharType="begin"/>
            </w:r>
            <w:r>
              <w:rPr>
                <w:color w:val="auto"/>
              </w:rPr>
              <w:instrText xml:space="preserve"> HYPERLINK "https://baike.baidu.com/item/%E4%B8%99%E7%83%AF" \t "_blank" </w:instrText>
            </w:r>
            <w:r>
              <w:rPr>
                <w:color w:val="auto"/>
              </w:rPr>
              <w:fldChar w:fldCharType="separate"/>
            </w:r>
            <w:r>
              <w:rPr>
                <w:color w:val="auto"/>
                <w:kern w:val="2"/>
              </w:rPr>
              <w:t>丙烯</w:t>
            </w:r>
            <w:r>
              <w:rPr>
                <w:color w:val="auto"/>
                <w:kern w:val="2"/>
              </w:rPr>
              <w:fldChar w:fldCharType="end"/>
            </w:r>
            <w:r>
              <w:rPr>
                <w:color w:val="auto"/>
                <w:kern w:val="2"/>
                <w:szCs w:val="21"/>
              </w:rPr>
              <w:t>酸丙烯酯或双酯基丙烯酸乙二醇酯共聚的方法提高耐热性。聚甲基丙烯酸甲酯的耐寒性也较差，脆化温度约9.2</w:t>
            </w:r>
            <w:r>
              <w:rPr>
                <w:rFonts w:hint="eastAsia"/>
                <w:color w:val="auto"/>
                <w:kern w:val="2"/>
                <w:szCs w:val="21"/>
              </w:rPr>
              <w:t>℃</w:t>
            </w:r>
            <w:r>
              <w:rPr>
                <w:color w:val="auto"/>
                <w:kern w:val="2"/>
                <w:szCs w:val="21"/>
              </w:rPr>
              <w:t>。聚甲基丙烯酸甲酯的热稳定性属于中等，优于聚氯乙烯和聚甲醛，但不及聚烯烃和聚苯乙烯，热分解温度略高于270</w:t>
            </w:r>
            <w:r>
              <w:rPr>
                <w:rFonts w:hint="eastAsia"/>
                <w:color w:val="auto"/>
                <w:kern w:val="2"/>
                <w:szCs w:val="21"/>
              </w:rPr>
              <w:t>℃</w:t>
            </w:r>
            <w:r>
              <w:rPr>
                <w:color w:val="auto"/>
                <w:kern w:val="2"/>
                <w:szCs w:val="21"/>
              </w:rPr>
              <w:t>，其流动温度约为160</w:t>
            </w:r>
            <w:r>
              <w:rPr>
                <w:rFonts w:hint="eastAsia"/>
                <w:color w:val="auto"/>
                <w:kern w:val="2"/>
                <w:szCs w:val="21"/>
              </w:rPr>
              <w:t>℃</w:t>
            </w:r>
            <w:r>
              <w:rPr>
                <w:color w:val="auto"/>
                <w:kern w:val="2"/>
                <w:szCs w:val="21"/>
              </w:rPr>
              <w:t>，故尚有较宽的熔融加工温度范围。</w:t>
            </w:r>
          </w:p>
        </w:tc>
      </w:tr>
    </w:tbl>
    <w:p>
      <w:pPr>
        <w:ind w:firstLine="480"/>
        <w:rPr>
          <w:rFonts w:ascii="Times New Roman" w:hAnsi="Times New Roman"/>
          <w:color w:val="auto"/>
        </w:rPr>
      </w:pPr>
      <w:r>
        <w:rPr>
          <w:rFonts w:hint="eastAsia" w:ascii="Times New Roman" w:hAnsi="Times New Roman"/>
          <w:color w:val="auto"/>
        </w:rPr>
        <w:t>①原料来源情况:</w:t>
      </w:r>
    </w:p>
    <w:p>
      <w:pPr>
        <w:ind w:firstLine="480"/>
        <w:rPr>
          <w:rFonts w:ascii="Times New Roman" w:hAnsi="Times New Roman"/>
          <w:color w:val="auto"/>
        </w:rPr>
      </w:pPr>
      <w:r>
        <w:rPr>
          <w:rFonts w:hint="eastAsia" w:ascii="Times New Roman" w:hAnsi="Times New Roman"/>
          <w:color w:val="auto"/>
        </w:rPr>
        <w:t>项目再生利用所用废塑料原料均来自国内正规上游企业生产过程中产生的塑料薄膜及边角料、无纺布及边角料、废箱包塑料边角料、废塑料包装物等，不回收社会零杂塑料，形状规格不定，不涉及进口废塑料再生利用；不涉及使用废塑料类危险废物作为原料，包括被危险化学品、农药等污染的废弃塑料包装物，废弃的一次性医疗用塑料制品（如输液器、血袋），盛装农药、废染料、强酸、强碱的 废塑料等。根据《废塑料加工利用污染防治管理规定》和《废塑料回收与再生利用污染 控制技术规范》，企业不得收取沾染有危险物料的塑料，不得收取属于危险废物的塑料。同时，企业配备有专门的回收人员，保证废塑料原料的清洁度，确保废塑料能不经清洗直接用于破碎和造粒工序。</w:t>
      </w:r>
    </w:p>
    <w:p>
      <w:pPr>
        <w:ind w:firstLine="480"/>
        <w:rPr>
          <w:rFonts w:ascii="Times New Roman" w:hAnsi="Times New Roman"/>
          <w:color w:val="auto"/>
        </w:rPr>
      </w:pPr>
      <w:r>
        <w:rPr>
          <w:rFonts w:hint="eastAsia" w:ascii="Times New Roman" w:hAnsi="Times New Roman"/>
          <w:color w:val="auto"/>
        </w:rPr>
        <w:t>项目配有专门人员进行废塑料回收，回收后的废塑料按原料树脂种类进行分类存放，并严格区分废塑料来源和原用途；且本项目不回收不符合生产需要的废塑料，对各类废塑料根据生产要求、按计划回收、分期分批入库，严格控制贮存量；若在不知情的情况下回收到不符合本项目生产需要的废塑料，例如清洁度较差的废塑料，被危险化学品、农药等污染的废弃塑料包装物，废弃的一次性医疗用塑料制品（如输液器、血袋），盛装农药、废染料、强酸、强碱的废塑料等，企业需将该类废塑料暂存于专用仓库内，并委托专门单位进行处置。同时，本项目不在车间外设置堆场，回收的废塑料全部分类暂存于各生产线旁，以便生产需要，同时也能做到防雨、防晒、防渗、防尘、防扬散和防火措施等要求。原料进厂，在进入生产工序前，进行分拣，剔除非本项目需求原料以及不满足项目原料限制要求的废塑料，并记录在案，确保原料满足项目生产及环保要求。</w:t>
      </w:r>
    </w:p>
    <w:p>
      <w:pPr>
        <w:ind w:firstLine="480"/>
        <w:rPr>
          <w:rFonts w:ascii="Times New Roman" w:hAnsi="Times New Roman"/>
          <w:color w:val="auto"/>
        </w:rPr>
      </w:pPr>
      <w:r>
        <w:rPr>
          <w:rFonts w:hint="eastAsia" w:ascii="Times New Roman" w:hAnsi="Times New Roman"/>
          <w:color w:val="auto"/>
        </w:rPr>
        <w:t xml:space="preserve">②贮存要求 </w:t>
      </w:r>
    </w:p>
    <w:p>
      <w:pPr>
        <w:ind w:firstLine="480"/>
        <w:rPr>
          <w:rFonts w:ascii="Times New Roman" w:hAnsi="Times New Roman"/>
          <w:color w:val="auto"/>
        </w:rPr>
      </w:pPr>
      <w:r>
        <w:rPr>
          <w:rFonts w:hint="eastAsia" w:ascii="Times New Roman" w:hAnsi="Times New Roman"/>
          <w:color w:val="auto"/>
        </w:rPr>
        <w:t>根据《废塑料回收与再生利用污染控制技术规范（试行）》有关要求，本项目不设置露天的废塑料堆场，回收的废塑料全部分类暂存于各生产线旁，以便生产需要。</w:t>
      </w:r>
    </w:p>
    <w:p>
      <w:pPr>
        <w:pStyle w:val="592"/>
        <w:numPr>
          <w:ilvl w:val="0"/>
          <w:numId w:val="15"/>
        </w:numPr>
        <w:rPr>
          <w:color w:val="auto"/>
        </w:rPr>
      </w:pPr>
      <w:bookmarkStart w:id="39" w:name="_Toc37350055"/>
      <w:r>
        <w:rPr>
          <w:color w:val="auto"/>
        </w:rPr>
        <w:t>项目主要生产设备</w:t>
      </w:r>
      <w:bookmarkEnd w:id="39"/>
    </w:p>
    <w:p>
      <w:pPr>
        <w:ind w:firstLine="480"/>
        <w:rPr>
          <w:rFonts w:ascii="Times New Roman" w:hAnsi="Times New Roman"/>
          <w:color w:val="auto"/>
        </w:rPr>
      </w:pPr>
      <w:r>
        <w:rPr>
          <w:rFonts w:ascii="Times New Roman" w:hAnsi="Times New Roman"/>
          <w:color w:val="auto"/>
        </w:rPr>
        <w:t>本项目主要生产设备详见表3-</w:t>
      </w:r>
      <w:r>
        <w:rPr>
          <w:rFonts w:hint="eastAsia" w:ascii="Times New Roman" w:hAnsi="Times New Roman"/>
          <w:color w:val="auto"/>
        </w:rPr>
        <w:t>5</w:t>
      </w:r>
      <w:r>
        <w:rPr>
          <w:rFonts w:ascii="Times New Roman" w:hAnsi="Times New Roman"/>
          <w:color w:val="auto"/>
        </w:rPr>
        <w:t>。</w:t>
      </w:r>
    </w:p>
    <w:p>
      <w:pPr>
        <w:numPr>
          <w:ilvl w:val="0"/>
          <w:numId w:val="16"/>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本项目主要生产设备一览表</w:t>
      </w:r>
    </w:p>
    <w:bookmarkEnd w:id="38"/>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00"/>
        <w:gridCol w:w="1075"/>
        <w:gridCol w:w="773"/>
        <w:gridCol w:w="902"/>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9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设备名称</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规格型号</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数量</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单位</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造粒机</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230</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6</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切粒机</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500</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6</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破碎机</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2</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切料机</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2</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存料筒</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12</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个</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冷却水槽</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6</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5m×0.5m×0.28m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测试设备</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1</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风机</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3</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w:t>
            </w:r>
          </w:p>
        </w:tc>
        <w:tc>
          <w:tcPr>
            <w:tcW w:w="99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空压机</w:t>
            </w:r>
          </w:p>
        </w:tc>
        <w:tc>
          <w:tcPr>
            <w:tcW w:w="6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c>
          <w:tcPr>
            <w:tcW w:w="45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1</w:t>
            </w:r>
          </w:p>
        </w:tc>
        <w:tc>
          <w:tcPr>
            <w:tcW w:w="52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台</w:t>
            </w:r>
          </w:p>
        </w:tc>
        <w:tc>
          <w:tcPr>
            <w:tcW w:w="19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bl>
    <w:p>
      <w:pPr>
        <w:pStyle w:val="592"/>
        <w:numPr>
          <w:ilvl w:val="0"/>
          <w:numId w:val="15"/>
        </w:numPr>
        <w:rPr>
          <w:color w:val="auto"/>
        </w:rPr>
      </w:pPr>
      <w:bookmarkStart w:id="40" w:name="_Toc37350056"/>
      <w:r>
        <w:rPr>
          <w:rFonts w:hint="eastAsia"/>
          <w:color w:val="auto"/>
        </w:rPr>
        <w:t>设备产能匹配性分析</w:t>
      </w:r>
      <w:r>
        <w:rPr>
          <w:color w:val="auto"/>
        </w:rPr>
        <w:t>及设备先进性分析</w:t>
      </w:r>
      <w:bookmarkEnd w:id="40"/>
    </w:p>
    <w:p>
      <w:pPr>
        <w:ind w:firstLine="480"/>
        <w:rPr>
          <w:rFonts w:ascii="Times New Roman" w:hAnsi="Times New Roman"/>
          <w:color w:val="auto"/>
        </w:rPr>
      </w:pPr>
      <w:r>
        <w:rPr>
          <w:rFonts w:ascii="Times New Roman" w:hAnsi="Times New Roman"/>
          <w:color w:val="auto"/>
        </w:rPr>
        <w:t>（1）设备产能匹配性分析</w:t>
      </w:r>
    </w:p>
    <w:p>
      <w:pPr>
        <w:ind w:firstLine="480"/>
        <w:rPr>
          <w:rFonts w:ascii="Times New Roman" w:hAnsi="Times New Roman"/>
          <w:color w:val="auto"/>
        </w:rPr>
      </w:pPr>
      <w:r>
        <w:rPr>
          <w:rFonts w:ascii="Times New Roman" w:hAnsi="Times New Roman"/>
          <w:color w:val="auto"/>
        </w:rPr>
        <w:t>根据项目工艺情况和设备容量，限制造粒产能的设备是造粒机。本项目共有造粒</w:t>
      </w:r>
      <w:r>
        <w:rPr>
          <w:rFonts w:hint="eastAsia" w:ascii="Times New Roman" w:hAnsi="Times New Roman"/>
          <w:color w:val="auto"/>
        </w:rPr>
        <w:t>机6台</w:t>
      </w:r>
      <w:r>
        <w:rPr>
          <w:rFonts w:ascii="Times New Roman" w:hAnsi="Times New Roman"/>
          <w:color w:val="auto"/>
        </w:rPr>
        <w:t>，根据企业提供资料，</w:t>
      </w:r>
      <w:r>
        <w:rPr>
          <w:rFonts w:hint="eastAsia" w:ascii="Times New Roman" w:hAnsi="Times New Roman"/>
          <w:color w:val="auto"/>
        </w:rPr>
        <w:t>1台造粒机产能为0.7t/h，</w:t>
      </w:r>
      <w:r>
        <w:rPr>
          <w:rFonts w:ascii="Times New Roman" w:hAnsi="Times New Roman"/>
          <w:color w:val="auto"/>
        </w:rPr>
        <w:t>年工作日3</w:t>
      </w:r>
      <w:r>
        <w:rPr>
          <w:rFonts w:hint="eastAsia" w:ascii="Times New Roman" w:hAnsi="Times New Roman"/>
          <w:color w:val="auto"/>
        </w:rPr>
        <w:t>3</w:t>
      </w:r>
      <w:r>
        <w:rPr>
          <w:rFonts w:ascii="Times New Roman" w:hAnsi="Times New Roman"/>
          <w:color w:val="auto"/>
        </w:rPr>
        <w:t>0d，平均每天运行</w:t>
      </w:r>
      <w:r>
        <w:rPr>
          <w:rFonts w:hint="eastAsia" w:ascii="Times New Roman" w:hAnsi="Times New Roman"/>
          <w:color w:val="auto"/>
        </w:rPr>
        <w:t>24</w:t>
      </w:r>
      <w:r>
        <w:rPr>
          <w:rFonts w:ascii="Times New Roman" w:hAnsi="Times New Roman"/>
          <w:color w:val="auto"/>
        </w:rPr>
        <w:t>h，则造粒机设计产能约</w:t>
      </w:r>
      <w:r>
        <w:rPr>
          <w:rFonts w:hint="eastAsia" w:ascii="Times New Roman" w:hAnsi="Times New Roman"/>
          <w:color w:val="auto"/>
        </w:rPr>
        <w:t>33264</w:t>
      </w:r>
      <w:r>
        <w:rPr>
          <w:rFonts w:ascii="Times New Roman" w:hAnsi="Times New Roman"/>
          <w:color w:val="auto"/>
        </w:rPr>
        <w:t>t。本项目预计规模为</w:t>
      </w:r>
      <w:r>
        <w:rPr>
          <w:rFonts w:hint="eastAsia" w:ascii="Times New Roman" w:hAnsi="Times New Roman"/>
          <w:color w:val="auto"/>
        </w:rPr>
        <w:t>32000</w:t>
      </w:r>
      <w:r>
        <w:rPr>
          <w:rFonts w:ascii="Times New Roman" w:hAnsi="Times New Roman"/>
          <w:color w:val="auto"/>
        </w:rPr>
        <w:t>t，约为造粒设备设计产能的</w:t>
      </w:r>
      <w:r>
        <w:rPr>
          <w:rFonts w:hint="eastAsia" w:ascii="Times New Roman" w:hAnsi="Times New Roman"/>
          <w:color w:val="auto"/>
        </w:rPr>
        <w:t>96.2</w:t>
      </w:r>
      <w:r>
        <w:rPr>
          <w:rFonts w:ascii="Times New Roman" w:hAnsi="Times New Roman"/>
          <w:color w:val="auto"/>
        </w:rPr>
        <w:t>%，符合生产要求。</w:t>
      </w:r>
    </w:p>
    <w:p>
      <w:pPr>
        <w:ind w:firstLine="480"/>
        <w:rPr>
          <w:rFonts w:ascii="Times New Roman" w:hAnsi="Times New Roman"/>
          <w:color w:val="auto"/>
        </w:rPr>
      </w:pPr>
      <w:r>
        <w:rPr>
          <w:rFonts w:ascii="Times New Roman" w:hAnsi="Times New Roman"/>
          <w:color w:val="auto"/>
        </w:rPr>
        <w:t>（2）设备先进性分析</w:t>
      </w:r>
    </w:p>
    <w:p>
      <w:pPr>
        <w:ind w:firstLine="480"/>
        <w:rPr>
          <w:rFonts w:ascii="Times New Roman" w:hAnsi="Times New Roman"/>
          <w:color w:val="auto"/>
        </w:rPr>
      </w:pPr>
      <w:r>
        <w:rPr>
          <w:rFonts w:ascii="Times New Roman" w:hAnsi="Times New Roman"/>
          <w:color w:val="auto"/>
        </w:rPr>
        <w:t>本项目生产工艺主要为</w:t>
      </w:r>
      <w:r>
        <w:rPr>
          <w:rFonts w:hint="eastAsia" w:ascii="Times New Roman" w:hAnsi="Times New Roman"/>
          <w:color w:val="auto"/>
        </w:rPr>
        <w:t>熔融、挤出、切粒</w:t>
      </w:r>
      <w:r>
        <w:rPr>
          <w:rFonts w:ascii="Times New Roman" w:hAnsi="Times New Roman"/>
          <w:color w:val="auto"/>
        </w:rPr>
        <w:t>，生产工艺较为简单，全程自动化程度较高，从各种原料进料到形成产品的步骤、工序较少，具有一定的先进性。</w:t>
      </w:r>
    </w:p>
    <w:p>
      <w:pPr>
        <w:pStyle w:val="592"/>
        <w:numPr>
          <w:ilvl w:val="0"/>
          <w:numId w:val="15"/>
        </w:numPr>
        <w:rPr>
          <w:color w:val="auto"/>
        </w:rPr>
      </w:pPr>
      <w:bookmarkStart w:id="41" w:name="_Toc37350057"/>
      <w:r>
        <w:rPr>
          <w:color w:val="auto"/>
        </w:rPr>
        <w:t>公用工程</w:t>
      </w:r>
      <w:bookmarkEnd w:id="41"/>
    </w:p>
    <w:p>
      <w:pPr>
        <w:ind w:firstLine="482"/>
        <w:rPr>
          <w:rFonts w:ascii="Times New Roman" w:hAnsi="Times New Roman"/>
          <w:b/>
          <w:color w:val="auto"/>
        </w:rPr>
      </w:pPr>
      <w:r>
        <w:rPr>
          <w:rFonts w:ascii="Times New Roman" w:hAnsi="Times New Roman"/>
          <w:b/>
          <w:color w:val="auto"/>
        </w:rPr>
        <w:t>1、给排水</w:t>
      </w:r>
    </w:p>
    <w:p>
      <w:pPr>
        <w:ind w:firstLine="480"/>
        <w:rPr>
          <w:rFonts w:ascii="Times New Roman" w:hAnsi="Times New Roman"/>
          <w:color w:val="auto"/>
          <w:szCs w:val="24"/>
        </w:rPr>
      </w:pPr>
      <w:r>
        <w:rPr>
          <w:rFonts w:ascii="Times New Roman" w:hAnsi="Times New Roman"/>
          <w:color w:val="auto"/>
          <w:szCs w:val="24"/>
        </w:rPr>
        <w:t>水源由市政给水管网供给，采用雨、污分流制，雨水直接进入雨水管网后排放附近内河。</w:t>
      </w:r>
      <w:r>
        <w:rPr>
          <w:rFonts w:ascii="Times New Roman" w:hAnsi="Times New Roman"/>
          <w:color w:val="auto"/>
          <w:kern w:val="0"/>
          <w:szCs w:val="24"/>
        </w:rPr>
        <w:t>生活</w:t>
      </w:r>
      <w:r>
        <w:rPr>
          <w:rFonts w:hint="eastAsia" w:ascii="Times New Roman" w:hAnsi="Times New Roman"/>
          <w:color w:val="auto"/>
          <w:kern w:val="0"/>
          <w:szCs w:val="24"/>
        </w:rPr>
        <w:t>污</w:t>
      </w:r>
      <w:r>
        <w:rPr>
          <w:rFonts w:ascii="Times New Roman" w:hAnsi="Times New Roman"/>
          <w:color w:val="auto"/>
          <w:kern w:val="0"/>
          <w:szCs w:val="24"/>
        </w:rPr>
        <w:t>水</w:t>
      </w:r>
      <w:r>
        <w:rPr>
          <w:rFonts w:hint="eastAsia" w:ascii="Times New Roman" w:hAnsi="Times New Roman"/>
          <w:color w:val="auto"/>
          <w:kern w:val="0"/>
          <w:szCs w:val="24"/>
        </w:rPr>
        <w:t>经</w:t>
      </w:r>
      <w:r>
        <w:rPr>
          <w:rFonts w:ascii="Times New Roman" w:hAnsi="Times New Roman"/>
          <w:color w:val="auto"/>
          <w:kern w:val="0"/>
          <w:szCs w:val="24"/>
        </w:rPr>
        <w:t>化粪池预处理达《污水综合排放标准》（GB8978-1996）三级标准后纳入市政污水管网，最终进入苍南县临港产业基地启动区污水处理厂处理达标后排放</w:t>
      </w:r>
      <w:r>
        <w:rPr>
          <w:rFonts w:hint="eastAsia" w:ascii="Times New Roman" w:hAnsi="Times New Roman"/>
          <w:color w:val="auto"/>
          <w:kern w:val="0"/>
          <w:szCs w:val="24"/>
        </w:rPr>
        <w:t>。</w:t>
      </w:r>
      <w:r>
        <w:rPr>
          <w:rFonts w:ascii="Times New Roman" w:hAnsi="Times New Roman"/>
          <w:color w:val="auto"/>
          <w:kern w:val="0"/>
          <w:szCs w:val="24"/>
        </w:rPr>
        <w:t>污水处理厂出水执行《城镇污水处理厂污染物排放标准》（GB18918-2002）二级排放标准。</w:t>
      </w:r>
    </w:p>
    <w:p>
      <w:pPr>
        <w:ind w:firstLine="482"/>
        <w:rPr>
          <w:rFonts w:ascii="Times New Roman" w:hAnsi="Times New Roman"/>
          <w:b/>
          <w:color w:val="auto"/>
        </w:rPr>
      </w:pPr>
      <w:r>
        <w:rPr>
          <w:rFonts w:ascii="Times New Roman" w:hAnsi="Times New Roman"/>
          <w:b/>
          <w:color w:val="auto"/>
        </w:rPr>
        <w:t>2、供电</w:t>
      </w:r>
    </w:p>
    <w:p>
      <w:pPr>
        <w:ind w:firstLine="480"/>
        <w:rPr>
          <w:rFonts w:ascii="Times New Roman" w:hAnsi="Times New Roman"/>
          <w:color w:val="auto"/>
        </w:rPr>
      </w:pPr>
      <w:r>
        <w:rPr>
          <w:rFonts w:ascii="Times New Roman" w:hAnsi="Times New Roman"/>
          <w:color w:val="auto"/>
        </w:rPr>
        <w:t>本项目用电接至市政电网。</w:t>
      </w:r>
    </w:p>
    <w:p>
      <w:pPr>
        <w:pStyle w:val="592"/>
        <w:numPr>
          <w:ilvl w:val="0"/>
          <w:numId w:val="15"/>
        </w:numPr>
        <w:rPr>
          <w:color w:val="auto"/>
        </w:rPr>
      </w:pPr>
      <w:bookmarkStart w:id="42" w:name="_Toc37350058"/>
      <w:r>
        <w:rPr>
          <w:rFonts w:hint="eastAsia"/>
          <w:color w:val="auto"/>
        </w:rPr>
        <w:t>环境影响因素分析</w:t>
      </w:r>
      <w:bookmarkEnd w:id="42"/>
    </w:p>
    <w:p>
      <w:pPr>
        <w:pStyle w:val="4"/>
        <w:numPr>
          <w:ilvl w:val="0"/>
          <w:numId w:val="17"/>
        </w:numPr>
        <w:spacing w:beforeLines="0"/>
        <w:rPr>
          <w:rFonts w:ascii="Times New Roman" w:hAnsi="Times New Roman"/>
          <w:color w:val="auto"/>
          <w:sz w:val="24"/>
          <w:szCs w:val="24"/>
        </w:rPr>
      </w:pPr>
      <w:r>
        <w:rPr>
          <w:color w:val="auto"/>
        </w:rPr>
        <w:pict>
          <v:shape id="_x0000_s5653" o:spid="_x0000_s5653" o:spt="202" type="#_x0000_t202" style="position:absolute;left:0pt;margin-left:132.8pt;margin-top:22.55pt;height:21.25pt;width:78.95pt;z-index:251652096;mso-width-relative:page;mso-height-relative:page;" filled="f" stroked="f" coordsize="21600,21600">
            <v:path/>
            <v:fill on="f" focussize="0,0"/>
            <v:stroke on="f" joinstyle="miter"/>
            <v:imagedata o:title=""/>
            <o:lock v:ext="edit"/>
            <v:textbox>
              <w:txbxContent>
                <w:p>
                  <w:pPr>
                    <w:spacing w:line="240" w:lineRule="auto"/>
                    <w:ind w:firstLine="0" w:firstLineChars="0"/>
                    <w:jc w:val="center"/>
                    <w:rPr>
                      <w:rFonts w:ascii="Times New Roman" w:hAnsi="Times New Roman"/>
                      <w:sz w:val="21"/>
                    </w:rPr>
                  </w:pPr>
                  <w:r>
                    <w:rPr>
                      <w:rFonts w:hint="eastAsia" w:ascii="Times New Roman"/>
                      <w:sz w:val="21"/>
                    </w:rPr>
                    <w:t>固废</w:t>
                  </w:r>
                </w:p>
              </w:txbxContent>
            </v:textbox>
          </v:shape>
        </w:pict>
      </w:r>
      <w:r>
        <w:rPr>
          <w:rFonts w:ascii="Times New Roman" w:hAnsi="Times New Roman"/>
          <w:color w:val="auto"/>
          <w:sz w:val="24"/>
          <w:szCs w:val="24"/>
        </w:rPr>
        <w:t>工艺流程</w:t>
      </w:r>
    </w:p>
    <w:p>
      <w:pPr>
        <w:pStyle w:val="468"/>
        <w:adjustRightInd/>
        <w:spacing w:line="360" w:lineRule="auto"/>
        <w:ind w:firstLine="0"/>
        <w:jc w:val="center"/>
        <w:textAlignment w:val="auto"/>
        <w:rPr>
          <w:rFonts w:eastAsia="宋体"/>
          <w:b/>
          <w:color w:val="auto"/>
        </w:rPr>
      </w:pPr>
      <w:r>
        <w:rPr>
          <w:rFonts w:hint="eastAsia" w:ascii="宋体" w:hAnsi="宋体" w:eastAsia="宋体" w:cs="Times New Roman"/>
          <w:color w:val="auto"/>
          <w:kern w:val="2"/>
          <w:sz w:val="24"/>
          <w:szCs w:val="21"/>
          <w:lang w:val="en-US" w:eastAsia="zh-CN" w:bidi="ar"/>
        </w:rPr>
        <w:pict>
          <v:group id="_x0000_s5930" o:spid="_x0000_s5930" o:spt="203" style="position:absolute;left:0pt;margin-left:0pt;margin-top:0pt;height:197.25pt;width:445.95pt;mso-wrap-distance-left:9pt;mso-wrap-distance-right:9pt;z-index:-251658240;mso-width-relative:page;mso-height-relative:page;" coordorigin="1533,3240" coordsize="8919,3945" wrapcoords="21592 -2 0 0 0 21600 21592 21602 8 21602 21600 21600 21600 0 8 -2 21592 -2" editas="canvas">
            <o:lock v:ext="edit"/>
            <v:shape id="_x0000_s5931" o:spid="_x0000_s5931" o:spt="75" type="#_x0000_t75" style="position:absolute;left:1533;top:3240;height:3945;width:8919;" filled="f" o:preferrelative="f" stroked="f" coordsize="21600,21600">
              <v:path/>
              <v:fill on="f" focussize="0,0"/>
              <v:stroke on="f" joinstyle="miter"/>
              <v:imagedata o:title=""/>
              <o:lock v:ext="edit" text="t" aspectratio="t"/>
            </v:shape>
            <v:shape id="_x0000_s5932" o:spid="_x0000_s5932" o:spt="202" type="#_x0000_t202" style="position:absolute;left:4338;top:3761;height:857;width:106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切料</w:t>
                    </w:r>
                  </w:p>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(部分)</w:t>
                    </w:r>
                  </w:p>
                </w:txbxContent>
              </v:textbox>
            </v:shape>
            <v:shape id="_x0000_s5933" o:spid="_x0000_s5933" o:spt="202" type="#_x0000_t202" style="position:absolute;left:5638;top:3985;height:425;width:81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破碎</w:t>
                    </w:r>
                  </w:p>
                </w:txbxContent>
              </v:textbox>
            </v:shape>
            <v:shape id="_x0000_s5934" o:spid="_x0000_s5934" o:spt="32" type="#_x0000_t32" style="position:absolute;left:2660;top:4145;height:4;width:496;" o:connectortype="straight" filled="f" coordsize="21600,21600">
              <v:path arrowok="t"/>
              <v:fill on="f" focussize="0,0"/>
              <v:stroke endarrow="block"/>
              <v:imagedata o:title=""/>
              <o:lock v:ext="edit"/>
            </v:shape>
            <v:shape id="_x0000_s5935" o:spid="_x0000_s5935" o:spt="32" type="#_x0000_t32" style="position:absolute;left:5406;top:4190;height:8;width:232;" o:connectortype="straight" filled="f" coordsize="21600,21600">
              <v:path arrowok="t"/>
              <v:fill on="f" focussize="0,0"/>
              <v:stroke endarrow="block"/>
              <v:imagedata o:title=""/>
              <o:lock v:ext="edit"/>
            </v:shape>
            <v:shape id="_x0000_s5936" o:spid="_x0000_s5936" o:spt="202" type="#_x0000_t202" style="position:absolute;left:6856;top:3977;height:425;width:81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熔融</w:t>
                    </w:r>
                  </w:p>
                </w:txbxContent>
              </v:textbox>
            </v:shape>
            <v:shape id="_x0000_s5937" o:spid="_x0000_s5937" o:spt="32" type="#_x0000_t32" style="position:absolute;left:6455;top:4190;flip:y;height:8;width:401;" o:connectortype="straight" filled="f" coordsize="21600,21600">
              <v:path arrowok="t"/>
              <v:fill on="f" focussize="0,0"/>
              <v:stroke endarrow="block"/>
              <v:imagedata o:title=""/>
              <o:lock v:ext="edit"/>
            </v:shape>
            <v:shape id="_x0000_s5938" o:spid="_x0000_s5938" o:spt="202" type="#_x0000_t202" style="position:absolute;left:8120;top:3981;height:425;width:81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挤出</w:t>
                    </w:r>
                  </w:p>
                </w:txbxContent>
              </v:textbox>
            </v:shape>
            <v:shape id="_x0000_s5939" o:spid="_x0000_s5939" o:spt="32" type="#_x0000_t32" style="position:absolute;left:7673;top:4190;height:4;width:447;" o:connectortype="straight" filled="f" coordsize="21600,21600">
              <v:path arrowok="t"/>
              <v:fill on="f" focussize="0,0"/>
              <v:stroke endarrow="block"/>
              <v:imagedata o:title=""/>
              <o:lock v:ext="edit"/>
            </v:shape>
            <v:shape id="_x0000_s5940" o:spid="_x0000_s5940" o:spt="202" type="#_x0000_t202" style="position:absolute;left:1533;top:3761;height:737;width:1623;"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sz w:val="21"/>
                        <w:szCs w:val="21"/>
                        <w:lang w:val="en-US"/>
                      </w:rPr>
                    </w:pPr>
                    <w:r>
                      <w:rPr>
                        <w:rFonts w:hint="eastAsia" w:ascii="Times New Roman" w:hAnsi="Times New Roman" w:eastAsia="宋体" w:cs="Times New Roman"/>
                        <w:b/>
                        <w:bCs w:val="0"/>
                        <w:color w:val="000000"/>
                        <w:kern w:val="2"/>
                        <w:sz w:val="21"/>
                        <w:szCs w:val="21"/>
                        <w:lang w:val="en-US" w:eastAsia="zh-CN" w:bidi="ar"/>
                      </w:rPr>
                      <w:t>废塑料</w:t>
                    </w:r>
                  </w:p>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宋体" w:cs="Times New Roman"/>
                        <w:b/>
                        <w:bCs w:val="0"/>
                        <w:sz w:val="21"/>
                        <w:szCs w:val="21"/>
                        <w:lang w:val="en-US"/>
                      </w:rPr>
                    </w:pPr>
                    <w:r>
                      <w:rPr>
                        <w:rFonts w:hint="eastAsia" w:ascii="Times New Roman" w:hAnsi="Times New Roman" w:eastAsia="宋体" w:cs="Times New Roman"/>
                        <w:b/>
                        <w:bCs w:val="0"/>
                        <w:color w:val="000000"/>
                        <w:kern w:val="2"/>
                        <w:sz w:val="21"/>
                        <w:szCs w:val="21"/>
                        <w:lang w:val="en-US" w:eastAsia="zh-CN" w:bidi="ar"/>
                      </w:rPr>
                      <w:t>边角料</w:t>
                    </w:r>
                  </w:p>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p>
                </w:txbxContent>
              </v:textbox>
            </v:shape>
            <v:shape id="_x0000_s5941" o:spid="_x0000_s5941" o:spt="202" type="#_x0000_t202" style="position:absolute;left:9436;top:3971;height:425;width:81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冷却</w:t>
                    </w:r>
                  </w:p>
                </w:txbxContent>
              </v:textbox>
            </v:shape>
            <v:shape id="_x0000_s5942" o:spid="_x0000_s5942" o:spt="32" type="#_x0000_t32" style="position:absolute;left:8937;top:4184;flip:y;height:10;width:499;" o:connectortype="straight" filled="f" coordsize="21600,21600">
              <v:path arrowok="t"/>
              <v:fill on="f" focussize="0,0"/>
              <v:stroke endarrow="block"/>
              <v:imagedata o:title=""/>
              <o:lock v:ext="edit"/>
            </v:shape>
            <v:shape id="_x0000_s5943" o:spid="_x0000_s5943" o:spt="202" type="#_x0000_t202" style="position:absolute;left:9450;top:4876;height:425;width:81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切粒</w:t>
                    </w:r>
                  </w:p>
                </w:txbxContent>
              </v:textbox>
            </v:shape>
            <v:shape id="_x0000_s5944" o:spid="_x0000_s5944" o:spt="32" type="#_x0000_t32" style="position:absolute;left:9845;top:4396;height:480;width:14;" o:connectortype="straight" filled="f" coordsize="21600,21600">
              <v:path arrowok="t"/>
              <v:fill on="f" focussize="0,0"/>
              <v:stroke endarrow="block"/>
              <v:imagedata o:title=""/>
              <o:lock v:ext="edit"/>
            </v:shape>
            <v:shape id="_x0000_s5945" o:spid="_x0000_s5945" o:spt="202" type="#_x0000_t202" style="position:absolute;left:9452;top:5783;height:425;width:81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装袋</w:t>
                    </w:r>
                  </w:p>
                </w:txbxContent>
              </v:textbox>
            </v:shape>
            <v:shape id="_x0000_s5946" o:spid="_x0000_s5946" o:spt="202" type="#_x0000_t202" style="position:absolute;left:9466;top:6674;height:425;width:81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成品</w:t>
                    </w:r>
                  </w:p>
                </w:txbxContent>
              </v:textbox>
            </v:shape>
            <v:shape id="_x0000_s5947" o:spid="_x0000_s5947" o:spt="32" type="#_x0000_t32" style="position:absolute;left:9859;top:5301;height:482;width:2;" o:connectortype="straight" filled="f" coordsize="21600,21600">
              <v:path arrowok="t"/>
              <v:fill on="f" focussize="0,0"/>
              <v:stroke endarrow="block"/>
              <v:imagedata o:title=""/>
              <o:lock v:ext="edit"/>
            </v:shape>
            <v:shape id="_x0000_s5948" o:spid="_x0000_s5948" o:spt="32" type="#_x0000_t32" style="position:absolute;left:9861;top:6208;height:466;width:14;" o:connectortype="straight" filled="f" coordsize="21600,21600">
              <v:path arrowok="t"/>
              <v:fill on="f" focussize="0,0"/>
              <v:stroke endarrow="block"/>
              <v:imagedata o:title=""/>
              <o:lock v:ext="edit"/>
            </v:shape>
            <v:shape id="_x0000_s5949" o:spid="_x0000_s5949" o:spt="202" type="#_x0000_t202" style="position:absolute;left:6836;top:4920;height:425;width:86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21"/>
                        <w:szCs w:val="21"/>
                        <w:lang w:val="en-US"/>
                      </w:rPr>
                    </w:pPr>
                    <w:r>
                      <w:rPr>
                        <w:rFonts w:hint="eastAsia" w:ascii="宋体" w:hAnsi="宋体" w:eastAsia="宋体" w:cs="Times New Roman"/>
                        <w:b/>
                        <w:bCs w:val="0"/>
                        <w:color w:val="000000"/>
                        <w:kern w:val="2"/>
                        <w:sz w:val="21"/>
                        <w:szCs w:val="21"/>
                        <w:lang w:val="en-US" w:eastAsia="zh-CN" w:bidi="ar"/>
                      </w:rPr>
                      <w:t>破碎</w:t>
                    </w:r>
                  </w:p>
                </w:txbxContent>
              </v:textbox>
            </v:shape>
            <v:shape id="_x0000_s5950" o:spid="_x0000_s5950" o:spt="32" type="#_x0000_t32" style="position:absolute;left:7265;top:4402;flip:x y;height:518;width:5;" o:connectortype="straight" filled="f" coordsize="21600,21600">
              <v:path arrowok="t"/>
              <v:fill on="f" focussize="0,0"/>
              <v:stroke endarrow="block"/>
              <v:imagedata o:title=""/>
              <o:lock v:ext="edit"/>
            </v:shape>
            <v:shape id="_x0000_s5951" o:spid="_x0000_s5951" o:spt="202" type="#_x0000_t202" style="position:absolute;left:5261;top:3336;height:425;width:1579;"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rPr>
                    </w:pPr>
                    <w:r>
                      <w:rPr>
                        <w:rFonts w:hint="eastAsia" w:ascii="Times New Roman" w:hAnsi="宋体" w:eastAsia="宋体" w:cs="Times New Roman"/>
                        <w:color w:val="000000"/>
                        <w:kern w:val="2"/>
                        <w:sz w:val="21"/>
                        <w:szCs w:val="21"/>
                        <w:lang w:val="en-US" w:eastAsia="zh-CN" w:bidi="ar"/>
                      </w:rPr>
                      <w:t>废气</w:t>
                    </w:r>
                  </w:p>
                </w:txbxContent>
              </v:textbox>
            </v:shape>
            <v:shape id="_x0000_s5952" o:spid="_x0000_s5952" o:spt="32" type="#_x0000_t32" style="position:absolute;left:6047;top:3649;flip:y;height:291;width:4;" o:connectortype="straight" filled="f" coordsize="21600,21600">
              <v:path arrowok="t"/>
              <v:fill on="f" focussize="0,0"/>
              <v:stroke dashstyle="dash" endarrow="block"/>
              <v:imagedata o:title=""/>
              <o:lock v:ext="edit"/>
            </v:shape>
            <v:shape id="_x0000_s5953" o:spid="_x0000_s5953" o:spt="32" type="#_x0000_t32" style="position:absolute;left:7209;top:3665;flip:y;height:291;width:4;" o:connectortype="straight" filled="f" coordsize="21600,21600">
              <v:path arrowok="t"/>
              <v:fill on="f" focussize="0,0"/>
              <v:stroke dashstyle="dash" endarrow="block"/>
              <v:imagedata o:title=""/>
              <o:lock v:ext="edit"/>
            </v:shape>
            <v:shape id="_x0000_s5954" o:spid="_x0000_s5954" o:spt="202" type="#_x0000_t202" style="position:absolute;left:6455;top:3336;height:425;width:1579;"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rPr>
                    </w:pPr>
                    <w:r>
                      <w:rPr>
                        <w:rFonts w:hint="eastAsia" w:ascii="Times New Roman" w:hAnsi="宋体" w:eastAsia="宋体" w:cs="Times New Roman"/>
                        <w:color w:val="000000"/>
                        <w:kern w:val="2"/>
                        <w:sz w:val="21"/>
                        <w:szCs w:val="21"/>
                        <w:lang w:val="en-US" w:eastAsia="zh-CN" w:bidi="ar"/>
                      </w:rPr>
                      <w:t>废气</w:t>
                    </w:r>
                  </w:p>
                </w:txbxContent>
              </v:textbox>
            </v:shape>
            <v:shape id="_x0000_s5955" o:spid="_x0000_s5955" o:spt="202" type="#_x0000_t202" style="position:absolute;left:8034;top:4936;height:425;width:925;"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rPr>
                    </w:pPr>
                    <w:r>
                      <w:rPr>
                        <w:rFonts w:hint="eastAsia" w:ascii="Times New Roman" w:hAnsi="宋体" w:eastAsia="宋体" w:cs="Times New Roman"/>
                        <w:color w:val="000000"/>
                        <w:kern w:val="2"/>
                        <w:sz w:val="21"/>
                        <w:szCs w:val="21"/>
                        <w:lang w:val="en-US" w:eastAsia="zh-CN" w:bidi="ar"/>
                      </w:rPr>
                      <w:t>边角料</w:t>
                    </w:r>
                  </w:p>
                </w:txbxContent>
              </v:textbox>
            </v:shape>
            <v:shape id="_x0000_s5956" o:spid="_x0000_s5956" o:spt="32" type="#_x0000_t32" style="position:absolute;left:8494;top:4402;height:560;width:5;" o:connectortype="straight" filled="f" coordsize="21600,21600">
              <v:path arrowok="t"/>
              <v:fill on="f" focussize="0,0"/>
              <v:stroke endarrow="block"/>
              <v:imagedata o:title=""/>
              <o:lock v:ext="edit"/>
            </v:shape>
            <v:shape id="_x0000_s5957" o:spid="_x0000_s5957" o:spt="32" type="#_x0000_t32" style="position:absolute;left:7703;top:5133;flip:x y;height:16;width:331;" o:connectortype="straight" filled="f" coordsize="21600,21600">
              <v:path arrowok="t"/>
              <v:fill on="f" focussize="0,0"/>
              <v:stroke endarrow="block"/>
              <v:imagedata o:title=""/>
              <o:lock v:ext="edit"/>
            </v:shape>
            <v:shape id="_x0000_s5958" o:spid="_x0000_s5958" o:spt="202" type="#_x0000_t202" style="position:absolute;left:6485;top:5783;height:425;width:1579;"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rPr>
                    </w:pPr>
                    <w:r>
                      <w:rPr>
                        <w:rFonts w:hint="eastAsia" w:ascii="Times New Roman" w:hAnsi="宋体" w:eastAsia="宋体" w:cs="Times New Roman"/>
                        <w:color w:val="000000"/>
                        <w:kern w:val="2"/>
                        <w:sz w:val="21"/>
                        <w:szCs w:val="21"/>
                        <w:lang w:val="en-US" w:eastAsia="zh-CN" w:bidi="ar"/>
                      </w:rPr>
                      <w:t>粉尘</w:t>
                    </w:r>
                  </w:p>
                </w:txbxContent>
              </v:textbox>
            </v:shape>
            <v:shape id="_x0000_s5959" o:spid="_x0000_s5959" o:spt="32" type="#_x0000_t32" style="position:absolute;left:7270;top:5345;height:438;width:5;" o:connectortype="straight" filled="f" coordsize="21600,21600">
              <v:path arrowok="t"/>
              <v:fill on="f" focussize="0,0"/>
              <v:stroke dashstyle="dash" endarrow="block"/>
              <v:imagedata o:title=""/>
              <o:lock v:ext="edit"/>
            </v:shape>
            <v:shape id="_x0000_s5960" o:spid="_x0000_s5960" o:spt="202" type="#_x0000_t202" style="position:absolute;left:1835;top:6105;height:1080;width:4557;"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both"/>
                      <w:rPr>
                        <w:rFonts w:cs="宋体"/>
                        <w:b/>
                        <w:bCs w:val="0"/>
                        <w:color w:val="auto"/>
                        <w:kern w:val="0"/>
                        <w:szCs w:val="24"/>
                        <w:lang w:val="en-US"/>
                      </w:rPr>
                    </w:pPr>
                    <w:r>
                      <w:rPr>
                        <w:rFonts w:hint="eastAsia" w:ascii="宋体" w:hAnsi="宋体" w:eastAsia="宋体" w:cs="Times New Roman"/>
                        <w:b/>
                        <w:bCs w:val="0"/>
                        <w:color w:val="000000"/>
                        <w:kern w:val="2"/>
                        <w:sz w:val="21"/>
                        <w:szCs w:val="21"/>
                        <w:lang w:val="en-US" w:eastAsia="zh-CN" w:bidi="ar"/>
                      </w:rPr>
                      <w:t>注：企业</w:t>
                    </w:r>
                    <w:r>
                      <w:rPr>
                        <w:rFonts w:hint="eastAsia" w:ascii="宋体" w:hAnsi="宋体" w:eastAsia="宋体" w:cs="宋体"/>
                        <w:b/>
                        <w:bCs w:val="0"/>
                        <w:color w:val="000000"/>
                        <w:kern w:val="0"/>
                        <w:sz w:val="21"/>
                        <w:szCs w:val="21"/>
                        <w:lang w:val="en-US" w:eastAsia="zh-CN" w:bidi="ar"/>
                      </w:rPr>
                      <w:t>使用的塑料边角料均为上游正规厂家提供的生产过程中产生的不涉及有毒有害成分的边角料</w:t>
                    </w:r>
                    <w:r>
                      <w:rPr>
                        <w:rFonts w:hint="eastAsia" w:ascii="宋体" w:hAnsi="宋体" w:eastAsia="宋体" w:cs="宋体"/>
                        <w:b/>
                        <w:bCs w:val="0"/>
                        <w:color w:val="000000"/>
                        <w:kern w:val="0"/>
                        <w:sz w:val="24"/>
                        <w:szCs w:val="24"/>
                        <w:lang w:val="en-US" w:eastAsia="zh-CN" w:bidi="ar"/>
                      </w:rPr>
                      <w:t>，</w:t>
                    </w:r>
                    <w:r>
                      <w:rPr>
                        <w:rFonts w:hint="eastAsia" w:ascii="宋体" w:hAnsi="宋体" w:eastAsia="宋体" w:cs="宋体"/>
                        <w:b/>
                        <w:bCs w:val="0"/>
                        <w:color w:val="000000"/>
                        <w:kern w:val="0"/>
                        <w:sz w:val="21"/>
                        <w:szCs w:val="21"/>
                        <w:lang w:val="en-US" w:eastAsia="zh-CN" w:bidi="ar"/>
                      </w:rPr>
                      <w:t>无需进行清洗。</w:t>
                    </w:r>
                  </w:p>
                </w:txbxContent>
              </v:textbox>
            </v:shape>
            <v:shape id="_x0000_s5961" o:spid="_x0000_s5961" o:spt="202" type="#_x0000_t202" style="position:absolute;left:3156;top:3940;height:425;width:86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分拣</w:t>
                    </w:r>
                  </w:p>
                </w:txbxContent>
              </v:textbox>
            </v:shape>
            <v:shape id="_x0000_s5962" o:spid="_x0000_s5962" o:spt="32" type="#_x0000_t32" style="position:absolute;left:4014;top:4144;height:1;width:344;" o:connectortype="straight" filled="f" coordsize="21600,21600">
              <v:path arrowok="t"/>
              <v:fill on="f" focussize="0,0"/>
              <v:stroke endarrow="block"/>
              <v:imagedata o:title=""/>
              <o:lock v:ext="edit"/>
            </v:shape>
            <v:shape id="_x0000_s5963" o:spid="_x0000_s5963" o:spt="32" type="#_x0000_t32" style="position:absolute;left:4933;top:3470;flip:y;height:291;width:4;" o:connectortype="straight" filled="f" coordsize="21600,21600">
              <v:path arrowok="t"/>
              <v:fill on="f" focussize="0,0"/>
              <v:stroke dashstyle="dash" endarrow="block"/>
              <v:imagedata o:title=""/>
              <o:lock v:ext="edit"/>
            </v:shape>
            <v:shape id="_x0000_s5964" o:spid="_x0000_s5964" o:spt="32" type="#_x0000_t32" style="position:absolute;left:8499;top:3649;flip:y;height:291;width:4;" o:connectortype="straight" filled="f" coordsize="21600,21600">
              <v:path arrowok="t"/>
              <v:fill on="f" focussize="0,0"/>
              <v:stroke dashstyle="dash" endarrow="block"/>
              <v:imagedata o:title=""/>
              <o:lock v:ext="edit"/>
            </v:shape>
            <v:shape id="_x0000_s5965" o:spid="_x0000_s5965" o:spt="202" type="#_x0000_t202" style="position:absolute;left:7673;top:3336;height:425;width:1579;"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lang w:val="en-US"/>
                      </w:rPr>
                    </w:pPr>
                    <w:r>
                      <w:rPr>
                        <w:rFonts w:hint="eastAsia" w:ascii="Times New Roman" w:hAnsi="宋体" w:eastAsia="宋体" w:cs="Times New Roman"/>
                        <w:color w:val="000000"/>
                        <w:kern w:val="2"/>
                        <w:sz w:val="21"/>
                        <w:szCs w:val="21"/>
                        <w:lang w:val="en-US" w:eastAsia="zh-CN" w:bidi="ar"/>
                      </w:rPr>
                      <w:t>废气</w:t>
                    </w:r>
                  </w:p>
                </w:txbxContent>
              </v:textbox>
            </v:shape>
            <w10:wrap type="tight"/>
            <w10:anchorlock/>
          </v:group>
        </w:pict>
      </w:r>
      <w:r>
        <w:rPr>
          <w:rFonts w:eastAsia="宋体"/>
          <w:b/>
          <w:color w:val="auto"/>
          <w:u w:val="single"/>
        </w:rPr>
        <w:t>图3-3  项目生产工艺流程及产污环节示意图</w:t>
      </w:r>
    </w:p>
    <w:p>
      <w:pPr>
        <w:pStyle w:val="468"/>
        <w:adjustRightInd/>
        <w:spacing w:line="360" w:lineRule="auto"/>
        <w:ind w:firstLine="482" w:firstLineChars="200"/>
        <w:textAlignment w:val="auto"/>
        <w:rPr>
          <w:rFonts w:eastAsia="宋体"/>
          <w:b/>
          <w:color w:val="auto"/>
        </w:rPr>
      </w:pPr>
      <w:r>
        <w:rPr>
          <w:rFonts w:eastAsia="宋体"/>
          <w:b/>
          <w:color w:val="auto"/>
        </w:rPr>
        <w:t>生产工艺说明：</w:t>
      </w:r>
    </w:p>
    <w:p>
      <w:pPr>
        <w:ind w:firstLine="480"/>
        <w:rPr>
          <w:rFonts w:ascii="Times New Roman" w:hAnsi="Times New Roman"/>
          <w:color w:val="auto"/>
          <w:szCs w:val="24"/>
        </w:rPr>
      </w:pPr>
      <w:r>
        <w:rPr>
          <w:rFonts w:hint="eastAsia" w:ascii="Times New Roman" w:hAnsi="Times New Roman"/>
          <w:color w:val="auto"/>
          <w:szCs w:val="24"/>
        </w:rPr>
        <w:t>本项目原料由专门人员从上游企业进行分类回收，回收时各原料均已按照不同塑料种类进行分类，同时做好台账记录，严控制原料为不涉及进口废塑料再生利用；不涉及使用废塑料类危险废物作为原料，包括被危险化学品、农药等污染的废弃塑料包装物，废弃的一次性医疗用塑料制品（如输液器、血袋），盛装农药、废染料、强酸、强碱的废塑料等的纸塑边角料。同时，本项目不涉及废塑料清洗工艺，企业配备的专门回收人员能保证废塑料原料的清洁度，确保废塑料能不经清洗直接用于破碎和造粒工序。若在不知情的情况下回收到不符合本项目生产需要的废塑料，例如清洁度较差的废塑料，被危险化学品、农药等污染的废弃塑料包装物，废弃的一次性医疗用塑料制品（如输液器、血袋），盛装农药、废染料、强酸、强碱的废塑料等，企业需将该类废塑料暂存于专用仓库内，并委托专门单位进行处置。</w:t>
      </w:r>
    </w:p>
    <w:p>
      <w:pPr>
        <w:ind w:firstLine="480"/>
        <w:rPr>
          <w:rFonts w:ascii="Times New Roman" w:hAnsi="Times New Roman"/>
          <w:color w:val="auto"/>
          <w:szCs w:val="24"/>
        </w:rPr>
      </w:pPr>
      <w:r>
        <w:rPr>
          <w:rFonts w:hint="eastAsia" w:ascii="Times New Roman" w:hAnsi="Times New Roman"/>
          <w:color w:val="auto"/>
          <w:szCs w:val="24"/>
        </w:rPr>
        <w:t>①分拣：进入厂区后直接运送至专门的生产线旁的暂存点内，进行人工分类挑拣，虽然人工分拣比机械分选效率低，但分选效果是机械方法难以替代的，其优点是：易将非本项目生产所需的废塑料分开；较易将非塑料制品（如纸张、金属件等杂物）挑出，在原料经过严格的人工分拣后方可进入后续加工。</w:t>
      </w:r>
    </w:p>
    <w:p>
      <w:pPr>
        <w:ind w:firstLine="480"/>
        <w:rPr>
          <w:rFonts w:ascii="Times New Roman" w:hAnsi="Times New Roman"/>
          <w:color w:val="auto"/>
          <w:szCs w:val="24"/>
        </w:rPr>
      </w:pPr>
      <w:r>
        <w:rPr>
          <w:rFonts w:hint="eastAsia" w:ascii="Times New Roman" w:hAnsi="Times New Roman"/>
          <w:color w:val="auto"/>
          <w:szCs w:val="24"/>
        </w:rPr>
        <w:t>②破碎：本项目部分原料如塑料薄膜及边角料、废塑料瓶、无纺布及边角料等由于尺寸较大，无法直接用于造粒，因此需通过破碎机进行破碎，以得到较小尺寸的废塑料碎片，便于后续造粒加工。破碎机内置隔声材料，根据生产需要，通过设定破碎刀具外围的筛网孔径来控制破碎片的大小，其直径一般为</w:t>
      </w:r>
      <w:r>
        <w:rPr>
          <w:rFonts w:ascii="Times New Roman" w:hAnsi="Times New Roman"/>
          <w:color w:val="auto"/>
          <w:szCs w:val="24"/>
        </w:rPr>
        <w:t xml:space="preserve"> 3~10mm。另外，本项目部分原料为</w:t>
      </w:r>
      <w:r>
        <w:rPr>
          <w:rFonts w:hint="eastAsia" w:ascii="Times New Roman" w:hAnsi="Times New Roman"/>
          <w:color w:val="auto"/>
          <w:szCs w:val="24"/>
        </w:rPr>
        <w:t>已破碎废塑料，可直接进入造粒机加工。</w:t>
      </w:r>
    </w:p>
    <w:p>
      <w:pPr>
        <w:ind w:firstLine="480"/>
        <w:rPr>
          <w:rFonts w:ascii="Times New Roman" w:hAnsi="Times New Roman"/>
          <w:color w:val="auto"/>
          <w:szCs w:val="24"/>
        </w:rPr>
      </w:pPr>
      <w:r>
        <w:rPr>
          <w:rFonts w:hint="eastAsia" w:ascii="Times New Roman" w:hAnsi="Times New Roman"/>
          <w:color w:val="auto"/>
          <w:szCs w:val="24"/>
        </w:rPr>
        <w:t>③熔融挤出：废塑料经破碎后进入造粒机料筒，在料筒内经加热熔融后（电加热，可根据塑料种类不同调节加热温度）由螺杆挤出成条状。项目造粒机根据不同塑料类型</w:t>
      </w:r>
      <w:r>
        <w:rPr>
          <w:rFonts w:ascii="Times New Roman" w:hAnsi="Times New Roman"/>
          <w:color w:val="auto"/>
          <w:szCs w:val="24"/>
        </w:rPr>
        <w:t>分别进行投加生产，不同种塑料不混合造粒，熔融挤出过程中添加</w:t>
      </w:r>
      <w:r>
        <w:rPr>
          <w:rFonts w:hint="eastAsia" w:ascii="Times New Roman" w:hAnsi="Times New Roman"/>
          <w:color w:val="auto"/>
          <w:szCs w:val="24"/>
        </w:rPr>
        <w:t>少量</w:t>
      </w:r>
      <w:r>
        <w:rPr>
          <w:rFonts w:ascii="Times New Roman" w:hAnsi="Times New Roman"/>
          <w:color w:val="auto"/>
          <w:szCs w:val="24"/>
        </w:rPr>
        <w:t>增塑剂等助剂</w:t>
      </w:r>
      <w:r>
        <w:rPr>
          <w:rFonts w:hint="eastAsia" w:ascii="Times New Roman" w:hAnsi="Times New Roman"/>
          <w:color w:val="auto"/>
          <w:szCs w:val="24"/>
        </w:rPr>
        <w:t>。熔融挤出过程将产生一定量的残次品，经破碎机破碎后可重新用于造粒过程，另外还有熔融废气排放。</w:t>
      </w:r>
    </w:p>
    <w:p>
      <w:pPr>
        <w:ind w:firstLine="480"/>
        <w:rPr>
          <w:rFonts w:ascii="Times New Roman" w:hAnsi="Times New Roman"/>
          <w:color w:val="auto"/>
          <w:szCs w:val="24"/>
        </w:rPr>
      </w:pPr>
      <w:r>
        <w:rPr>
          <w:rFonts w:hint="eastAsia" w:ascii="Times New Roman" w:hAnsi="Times New Roman"/>
          <w:color w:val="auto"/>
          <w:szCs w:val="24"/>
        </w:rPr>
        <w:t>④冷却：废塑料经熔融挤出后，马上进入造粒机上配套的冷却水槽内，与冷却水直接接触进行冷却，冷却水循环使用，适时添加、不外排。</w:t>
      </w:r>
    </w:p>
    <w:p>
      <w:pPr>
        <w:ind w:firstLine="480"/>
        <w:rPr>
          <w:rFonts w:ascii="Times New Roman" w:hAnsi="Times New Roman"/>
          <w:color w:val="auto"/>
          <w:szCs w:val="24"/>
        </w:rPr>
      </w:pPr>
      <w:r>
        <w:rPr>
          <w:rFonts w:hint="eastAsia" w:ascii="Times New Roman" w:hAnsi="Times New Roman"/>
          <w:color w:val="auto"/>
          <w:szCs w:val="24"/>
        </w:rPr>
        <w:t>⑤切粒：冷却后的塑料条经切粒机按照所需的规格进行切粒，最后装袋入库、待售。</w:t>
      </w:r>
    </w:p>
    <w:p>
      <w:pPr>
        <w:ind w:firstLine="480"/>
        <w:rPr>
          <w:rFonts w:ascii="Times New Roman" w:hAnsi="Times New Roman"/>
          <w:color w:val="auto"/>
          <w:szCs w:val="24"/>
        </w:rPr>
      </w:pPr>
      <w:r>
        <w:rPr>
          <w:rFonts w:hint="eastAsia" w:ascii="Times New Roman" w:hAnsi="Times New Roman"/>
          <w:color w:val="auto"/>
          <w:szCs w:val="24"/>
        </w:rPr>
        <w:t>另外，本项目除部分原料如塑料薄膜及边角料、废塑料瓶、无纺布及边角料等由于尺寸较大，无法直接用于造粒，因此需通过切料后再破碎，其余除加热温度略有不同外，不同废塑料生产工艺基本一致，视下游企业对产品的要求添加助剂。</w:t>
      </w:r>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挤出热加工控制温度及塑料热解温度</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序号</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名称</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电加热温度</w:t>
            </w:r>
            <w:r>
              <w:rPr>
                <w:rFonts w:ascii="Times New Roman" w:hAnsi="Times New Roman"/>
                <w:color w:val="auto"/>
                <w:sz w:val="21"/>
              </w:rPr>
              <w:t>(</w:t>
            </w:r>
            <w:r>
              <w:rPr>
                <w:rFonts w:hint="eastAsia" w:ascii="Times New Roman" w:hAnsi="Times New Roman"/>
                <w:color w:val="auto"/>
                <w:sz w:val="21"/>
              </w:rPr>
              <w:t>℃</w:t>
            </w:r>
            <w:r>
              <w:rPr>
                <w:rFonts w:ascii="Times New Roman" w:hAnsi="Times New Roman"/>
                <w:color w:val="auto"/>
                <w:sz w:val="21"/>
              </w:rPr>
              <w:t>)</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热解温度</w:t>
            </w:r>
            <w:r>
              <w:rPr>
                <w:rFonts w:ascii="Times New Roman" w:hAnsi="Times New Roman"/>
                <w:color w:val="auto"/>
                <w:sz w:val="21"/>
              </w:rPr>
              <w:t>(</w:t>
            </w:r>
            <w:r>
              <w:rPr>
                <w:rFonts w:hint="eastAsia" w:ascii="Times New Roman" w:hAnsi="Times New Roman"/>
                <w:color w:val="auto"/>
                <w:sz w:val="21"/>
              </w:rPr>
              <w:t>℃</w:t>
            </w: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PP</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150~180</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300 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PE</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150~180</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w:t>
            </w:r>
            <w:r>
              <w:rPr>
                <w:rFonts w:hint="eastAsia" w:ascii="Times New Roman" w:hAnsi="Times New Roman"/>
                <w:color w:val="auto"/>
                <w:sz w:val="21"/>
              </w:rPr>
              <w:t>1</w:t>
            </w:r>
            <w:r>
              <w:rPr>
                <w:rFonts w:ascii="Times New Roman" w:hAnsi="Times New Roman"/>
                <w:color w:val="auto"/>
                <w:sz w:val="21"/>
              </w:rPr>
              <w:t>0 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PS</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185~215</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290 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PET</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250~270</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380 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PA</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250~270</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350 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ABS</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155~205</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240 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PC</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225~245</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340</w:t>
            </w:r>
            <w:r>
              <w:rPr>
                <w:rFonts w:ascii="Times New Roman" w:hAnsi="Times New Roman"/>
                <w:color w:val="auto"/>
                <w:sz w:val="21"/>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PMMA</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160~180</w:t>
            </w:r>
          </w:p>
        </w:tc>
        <w:tc>
          <w:tcPr>
            <w:tcW w:w="2132" w:type="dxa"/>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270</w:t>
            </w:r>
            <w:r>
              <w:rPr>
                <w:rFonts w:ascii="Times New Roman" w:hAnsi="Times New Roman"/>
                <w:color w:val="auto"/>
                <w:sz w:val="21"/>
              </w:rPr>
              <w:t>以上</w:t>
            </w:r>
          </w:p>
        </w:tc>
      </w:tr>
    </w:tbl>
    <w:p>
      <w:pPr>
        <w:pStyle w:val="4"/>
        <w:numPr>
          <w:ilvl w:val="0"/>
          <w:numId w:val="17"/>
        </w:numPr>
        <w:spacing w:beforeLines="0"/>
        <w:rPr>
          <w:rFonts w:ascii="Times New Roman" w:hAnsi="Times New Roman"/>
          <w:color w:val="auto"/>
          <w:sz w:val="24"/>
          <w:szCs w:val="24"/>
        </w:rPr>
      </w:pPr>
      <w:r>
        <w:rPr>
          <w:rFonts w:ascii="Times New Roman" w:hAnsi="Times New Roman"/>
          <w:color w:val="auto"/>
          <w:sz w:val="24"/>
          <w:szCs w:val="24"/>
        </w:rPr>
        <w:t>污染源强调查</w:t>
      </w:r>
    </w:p>
    <w:p>
      <w:pPr>
        <w:ind w:firstLine="480"/>
        <w:rPr>
          <w:rFonts w:ascii="Times New Roman" w:hAnsi="Times New Roman"/>
          <w:color w:val="auto"/>
          <w:szCs w:val="20"/>
        </w:rPr>
      </w:pPr>
      <w:r>
        <w:rPr>
          <w:rFonts w:ascii="Times New Roman" w:hAnsi="Times New Roman"/>
          <w:color w:val="auto"/>
        </w:rPr>
        <w:t>项目主要的污染因子为造粒工序的</w:t>
      </w:r>
      <w:r>
        <w:rPr>
          <w:rFonts w:hint="eastAsia" w:ascii="Times New Roman" w:hAnsi="Times New Roman"/>
          <w:color w:val="auto"/>
        </w:rPr>
        <w:t>废气</w:t>
      </w:r>
      <w:r>
        <w:rPr>
          <w:rFonts w:ascii="Times New Roman" w:hAnsi="Times New Roman"/>
          <w:color w:val="auto"/>
        </w:rPr>
        <w:t>；生产过程产生的工业固废；员工产生的生活污水和生活垃圾等</w:t>
      </w:r>
      <w:r>
        <w:rPr>
          <w:rFonts w:ascii="Times New Roman" w:hAnsi="Times New Roman"/>
          <w:color w:val="auto"/>
          <w:szCs w:val="20"/>
        </w:rPr>
        <w:t>。本项目产生的环境影响因子见表3-</w:t>
      </w:r>
      <w:r>
        <w:rPr>
          <w:rFonts w:hint="eastAsia" w:ascii="Times New Roman" w:hAnsi="Times New Roman"/>
          <w:color w:val="auto"/>
          <w:szCs w:val="20"/>
        </w:rPr>
        <w:t>7</w:t>
      </w:r>
      <w:r>
        <w:rPr>
          <w:rFonts w:ascii="Times New Roman" w:hAnsi="Times New Roman"/>
          <w:color w:val="auto"/>
          <w:szCs w:val="20"/>
        </w:rPr>
        <w:t>。</w:t>
      </w:r>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 xml:space="preserve">  </w:t>
      </w:r>
      <w:r>
        <w:rPr>
          <w:rFonts w:ascii="Times New Roman" w:hAnsi="Times New Roman"/>
          <w:b/>
          <w:color w:val="auto"/>
          <w:sz w:val="21"/>
        </w:rPr>
        <w:t>项目主要环境影响因子</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721"/>
        <w:gridCol w:w="1704"/>
        <w:gridCol w:w="4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时期</w:t>
            </w:r>
          </w:p>
        </w:tc>
        <w:tc>
          <w:tcPr>
            <w:tcW w:w="3425"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影响环境的行为</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主要环境影响因子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运</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营</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期</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w:t>
            </w: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熔融挤出</w:t>
            </w:r>
            <w:r>
              <w:rPr>
                <w:rFonts w:ascii="Times New Roman" w:hAnsi="Times New Roman"/>
                <w:color w:val="auto"/>
                <w:sz w:val="21"/>
              </w:rPr>
              <w:t>工序</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r>
              <w:rPr>
                <w:rFonts w:hint="eastAsia" w:ascii="Times New Roman" w:hAnsi="Times New Roman"/>
                <w:color w:val="auto"/>
                <w:sz w:val="21"/>
              </w:rPr>
              <w:t>、苯乙烯、</w:t>
            </w:r>
            <w:r>
              <w:rPr>
                <w:rFonts w:ascii="Times New Roman" w:hAnsi="Times New Roman"/>
                <w:color w:val="auto"/>
                <w:sz w:val="21"/>
              </w:rPr>
              <w:t>1</w:t>
            </w:r>
            <w:r>
              <w:rPr>
                <w:rFonts w:hint="eastAsia" w:ascii="Times New Roman" w:hAnsi="Times New Roman"/>
                <w:color w:val="auto"/>
                <w:sz w:val="21"/>
              </w:rPr>
              <w:t>，</w:t>
            </w:r>
            <w:r>
              <w:rPr>
                <w:rFonts w:ascii="Times New Roman" w:hAnsi="Times New Roman"/>
                <w:color w:val="auto"/>
                <w:sz w:val="21"/>
              </w:rPr>
              <w:t>3 丁二烯、丙烯腈、</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氨、甲基丙烯酸甲酯</w:t>
            </w:r>
            <w:r>
              <w:rPr>
                <w:rFonts w:hint="eastAsia" w:ascii="Times New Roman" w:hAnsi="Times New Roman"/>
                <w:color w:val="auto"/>
                <w:sz w:val="21"/>
              </w:rPr>
              <w:t>、臭气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破碎工序</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废水</w:t>
            </w: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冷却工序</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造粒冷却水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员工生活</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固废</w:t>
            </w: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原材料使用</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废包装</w:t>
            </w:r>
            <w:r>
              <w:rPr>
                <w:rFonts w:ascii="Times New Roman" w:hAnsi="Times New Roman"/>
                <w:color w:val="auto"/>
                <w:sz w:val="21"/>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滤网更换</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挤出机废弃过滤网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废气处理</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设备使用</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员工生活</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生产过程</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分拣</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一般分拣废物、危险分拣废物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color w:val="auto"/>
                <w:sz w:val="21"/>
              </w:rPr>
              <w:t>油烟处理</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粉尘收集</w:t>
            </w:r>
          </w:p>
        </w:tc>
        <w:tc>
          <w:tcPr>
            <w:tcW w:w="446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7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噪声</w:t>
            </w:r>
          </w:p>
        </w:tc>
        <w:tc>
          <w:tcPr>
            <w:tcW w:w="6164"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主要来自各类生产及配套设备噪声。</w:t>
            </w:r>
          </w:p>
        </w:tc>
      </w:tr>
    </w:tbl>
    <w:p>
      <w:pPr>
        <w:pStyle w:val="4"/>
        <w:numPr>
          <w:ilvl w:val="0"/>
          <w:numId w:val="17"/>
        </w:numPr>
        <w:spacing w:beforeLines="0"/>
        <w:rPr>
          <w:rFonts w:ascii="Times New Roman" w:hAnsi="Times New Roman"/>
          <w:color w:val="auto"/>
          <w:sz w:val="24"/>
          <w:szCs w:val="24"/>
        </w:rPr>
      </w:pPr>
      <w:r>
        <w:rPr>
          <w:rFonts w:ascii="Times New Roman" w:hAnsi="Times New Roman"/>
          <w:color w:val="auto"/>
          <w:sz w:val="24"/>
          <w:szCs w:val="24"/>
        </w:rPr>
        <w:t>工艺的环境友好性分析</w:t>
      </w:r>
    </w:p>
    <w:p>
      <w:pPr>
        <w:ind w:firstLine="480"/>
        <w:rPr>
          <w:rFonts w:ascii="Times New Roman" w:hAnsi="Times New Roman"/>
          <w:b/>
          <w:color w:val="auto"/>
        </w:rPr>
      </w:pPr>
      <w:r>
        <w:rPr>
          <w:rFonts w:hint="eastAsia" w:ascii="Times New Roman" w:hAnsi="Times New Roman"/>
          <w:color w:val="auto"/>
        </w:rPr>
        <w:t>造粒</w:t>
      </w:r>
      <w:r>
        <w:rPr>
          <w:rFonts w:ascii="Times New Roman" w:hAnsi="Times New Roman"/>
          <w:color w:val="auto"/>
        </w:rPr>
        <w:t>生产工艺较为简单，全程自动化程度较高，从各种原料进料到形成产品的步骤、工序较少，减少了污染的产生。另外，本项目造粒过程采取水冷的方式对</w:t>
      </w:r>
      <w:r>
        <w:rPr>
          <w:rFonts w:hint="eastAsia" w:ascii="Times New Roman" w:hAnsi="Times New Roman"/>
          <w:color w:val="auto"/>
        </w:rPr>
        <w:t>产品</w:t>
      </w:r>
      <w:r>
        <w:rPr>
          <w:rFonts w:ascii="Times New Roman" w:hAnsi="Times New Roman"/>
          <w:color w:val="auto"/>
        </w:rPr>
        <w:t>进行冷却</w:t>
      </w:r>
      <w:r>
        <w:rPr>
          <w:rFonts w:hint="eastAsia" w:ascii="Times New Roman" w:hAnsi="Times New Roman"/>
          <w:color w:val="auto"/>
        </w:rPr>
        <w:t>，</w:t>
      </w:r>
      <w:r>
        <w:rPr>
          <w:rFonts w:ascii="Times New Roman" w:hAnsi="Times New Roman"/>
          <w:color w:val="auto"/>
        </w:rPr>
        <w:t>造粒冷却水循环使用，无外排，定期补充，减少了污染的产生。</w:t>
      </w:r>
    </w:p>
    <w:p>
      <w:pPr>
        <w:pStyle w:val="4"/>
        <w:numPr>
          <w:ilvl w:val="0"/>
          <w:numId w:val="17"/>
        </w:numPr>
        <w:spacing w:beforeLines="0"/>
        <w:rPr>
          <w:rFonts w:ascii="Times New Roman" w:hAnsi="Times New Roman"/>
          <w:color w:val="auto"/>
          <w:sz w:val="24"/>
          <w:szCs w:val="24"/>
        </w:rPr>
      </w:pPr>
      <w:r>
        <w:rPr>
          <w:rFonts w:ascii="Times New Roman" w:hAnsi="Times New Roman"/>
          <w:color w:val="auto"/>
          <w:sz w:val="24"/>
          <w:szCs w:val="24"/>
        </w:rPr>
        <w:t>环境风险因素识别</w:t>
      </w:r>
    </w:p>
    <w:p>
      <w:pPr>
        <w:ind w:firstLine="480"/>
        <w:rPr>
          <w:rFonts w:ascii="Times New Roman" w:hAnsi="Times New Roman"/>
          <w:color w:val="auto"/>
        </w:rPr>
      </w:pPr>
      <w:r>
        <w:rPr>
          <w:rFonts w:hint="eastAsia" w:ascii="Times New Roman" w:hAnsi="Times New Roman"/>
          <w:color w:val="auto"/>
        </w:rPr>
        <w:t>对照《建设项目环境风险评价技术导则》（</w:t>
      </w:r>
      <w:r>
        <w:rPr>
          <w:rFonts w:ascii="Times New Roman" w:hAnsi="Times New Roman"/>
          <w:color w:val="auto"/>
        </w:rPr>
        <w:t>HJ169-2018）表 B.1 突发环境事件风险物质表可知，</w:t>
      </w:r>
      <w:r>
        <w:rPr>
          <w:rFonts w:hint="eastAsia" w:ascii="Times New Roman" w:hAnsi="Times New Roman"/>
          <w:color w:val="auto"/>
        </w:rPr>
        <w:t>本项目涉及表</w:t>
      </w:r>
      <w:r>
        <w:rPr>
          <w:rFonts w:ascii="Times New Roman" w:hAnsi="Times New Roman"/>
          <w:color w:val="auto"/>
        </w:rPr>
        <w:t xml:space="preserve"> B.1 中的</w:t>
      </w:r>
      <w:r>
        <w:rPr>
          <w:rFonts w:hint="eastAsia" w:ascii="Times New Roman" w:hAnsi="Times New Roman"/>
          <w:color w:val="auto"/>
        </w:rPr>
        <w:t>油类物质（废齿轮油、油烟处理收集的废油）</w:t>
      </w:r>
      <w:r>
        <w:rPr>
          <w:rFonts w:ascii="Times New Roman" w:hAnsi="Times New Roman"/>
          <w:color w:val="auto"/>
        </w:rPr>
        <w:t>。</w:t>
      </w:r>
      <w:r>
        <w:rPr>
          <w:rFonts w:hint="eastAsia" w:ascii="Times New Roman" w:hAnsi="Times New Roman"/>
          <w:color w:val="auto"/>
        </w:rPr>
        <w:t>另外，</w:t>
      </w:r>
      <w:r>
        <w:rPr>
          <w:rFonts w:ascii="Times New Roman" w:hAnsi="Times New Roman"/>
          <w:color w:val="auto"/>
        </w:rPr>
        <w:t>本项目原材料为</w:t>
      </w:r>
      <w:r>
        <w:rPr>
          <w:rFonts w:hint="eastAsia" w:ascii="Times New Roman" w:hAnsi="Times New Roman"/>
          <w:color w:val="auto"/>
        </w:rPr>
        <w:t>废塑料边角料</w:t>
      </w:r>
      <w:r>
        <w:rPr>
          <w:rFonts w:ascii="Times New Roman" w:hAnsi="Times New Roman"/>
          <w:color w:val="auto"/>
        </w:rPr>
        <w:t>，属于可燃物质，</w:t>
      </w:r>
      <w:r>
        <w:rPr>
          <w:rFonts w:ascii="Times New Roman" w:hAnsi="Times New Roman"/>
          <w:color w:val="auto"/>
          <w:szCs w:val="24"/>
        </w:rPr>
        <w:t>生产、存储过程存在潜在风险，</w:t>
      </w:r>
      <w:r>
        <w:rPr>
          <w:rFonts w:ascii="Times New Roman" w:hAnsi="Times New Roman"/>
          <w:color w:val="auto"/>
        </w:rPr>
        <w:t>可能会引发火灾。</w:t>
      </w:r>
    </w:p>
    <w:p>
      <w:pPr>
        <w:ind w:firstLine="480"/>
        <w:rPr>
          <w:rFonts w:ascii="Times New Roman" w:hAnsi="Times New Roman"/>
          <w:color w:val="auto"/>
          <w:szCs w:val="24"/>
        </w:rPr>
      </w:pPr>
      <w:r>
        <w:rPr>
          <w:rFonts w:ascii="Times New Roman" w:hAnsi="Times New Roman"/>
          <w:color w:val="auto"/>
          <w:szCs w:val="24"/>
        </w:rPr>
        <w:t>本次环评按照导则将项目厂区涉及生产设施划分如下几个单元进行风险分析。即生产车间、原材料仓库和产品仓库。</w:t>
      </w:r>
    </w:p>
    <w:p>
      <w:pPr>
        <w:ind w:firstLine="480"/>
        <w:rPr>
          <w:rFonts w:ascii="Times New Roman" w:hAnsi="Times New Roman"/>
          <w:color w:val="auto"/>
          <w:szCs w:val="24"/>
        </w:rPr>
      </w:pPr>
      <w:r>
        <w:rPr>
          <w:rFonts w:hint="eastAsia" w:ascii="Times New Roman" w:hAnsi="Times New Roman" w:cs="宋体"/>
          <w:color w:val="auto"/>
          <w:szCs w:val="24"/>
        </w:rPr>
        <w:t>①</w:t>
      </w:r>
      <w:r>
        <w:rPr>
          <w:rFonts w:ascii="Times New Roman" w:hAnsi="Times New Roman"/>
          <w:color w:val="auto"/>
          <w:szCs w:val="24"/>
        </w:rPr>
        <w:t>可以引起火灾的因素较多，如电器设备多，维护管理和使用不当，明火管理不当、吸烟或施工操作不当等，可以说火灾的潜伏性和可能性是很大的，具有较大的危害性。</w:t>
      </w:r>
    </w:p>
    <w:p>
      <w:pPr>
        <w:ind w:firstLine="480"/>
        <w:rPr>
          <w:rFonts w:ascii="Times New Roman" w:hAnsi="Times New Roman"/>
          <w:color w:val="auto"/>
          <w:szCs w:val="24"/>
        </w:rPr>
      </w:pPr>
      <w:r>
        <w:rPr>
          <w:rFonts w:hint="eastAsia" w:ascii="Times New Roman" w:hAnsi="Times New Roman" w:cs="宋体"/>
          <w:color w:val="auto"/>
          <w:szCs w:val="24"/>
        </w:rPr>
        <w:t>②</w:t>
      </w:r>
      <w:r>
        <w:rPr>
          <w:rFonts w:ascii="Times New Roman" w:hAnsi="Times New Roman"/>
          <w:color w:val="auto"/>
          <w:szCs w:val="24"/>
        </w:rPr>
        <w:t>原材料仓库和产品仓库的建筑条件差，未有防火、防</w:t>
      </w:r>
      <w:r>
        <w:rPr>
          <w:rFonts w:hint="eastAsia" w:ascii="Times New Roman" w:hAnsi="Times New Roman"/>
          <w:color w:val="auto"/>
          <w:szCs w:val="24"/>
        </w:rPr>
        <w:t>晒</w:t>
      </w:r>
      <w:r>
        <w:rPr>
          <w:rFonts w:ascii="Times New Roman" w:hAnsi="Times New Roman"/>
          <w:color w:val="auto"/>
          <w:szCs w:val="24"/>
        </w:rPr>
        <w:t>、降温措施，使物品受热造成仓库内温度过高等，也是导致火灾事故的发生的重要因素之一。</w:t>
      </w:r>
    </w:p>
    <w:p>
      <w:pPr>
        <w:ind w:firstLine="480"/>
        <w:rPr>
          <w:rFonts w:ascii="Times New Roman" w:hAnsi="Times New Roman"/>
          <w:color w:val="auto"/>
          <w:szCs w:val="24"/>
        </w:rPr>
      </w:pPr>
      <w:r>
        <w:rPr>
          <w:rFonts w:hint="eastAsia" w:ascii="Times New Roman" w:hAnsi="Times New Roman" w:cs="宋体"/>
          <w:color w:val="auto"/>
          <w:szCs w:val="24"/>
        </w:rPr>
        <w:t>③</w:t>
      </w:r>
      <w:r>
        <w:rPr>
          <w:rFonts w:ascii="Times New Roman" w:hAnsi="Times New Roman"/>
          <w:color w:val="auto"/>
          <w:szCs w:val="24"/>
        </w:rPr>
        <w:t>由于贮存装置防雷、防静电设施缺少或有缺陷，因雷击放电而产生火灾事故。</w:t>
      </w:r>
    </w:p>
    <w:p>
      <w:pPr>
        <w:ind w:firstLine="480"/>
        <w:rPr>
          <w:rFonts w:ascii="Times New Roman" w:hAnsi="Times New Roman"/>
          <w:b/>
          <w:color w:val="auto"/>
        </w:rPr>
      </w:pPr>
      <w:r>
        <w:rPr>
          <w:rFonts w:hint="eastAsia" w:ascii="Times New Roman" w:hAnsi="Times New Roman" w:cs="宋体"/>
          <w:color w:val="auto"/>
          <w:szCs w:val="24"/>
        </w:rPr>
        <w:t>④</w:t>
      </w:r>
      <w:r>
        <w:rPr>
          <w:rFonts w:ascii="Times New Roman" w:hAnsi="Times New Roman"/>
          <w:color w:val="auto"/>
          <w:szCs w:val="24"/>
        </w:rPr>
        <w:t>电气设备特别是照明和动力线路安装不当，或绝缘老化、破损引起短路活化，照明灯具烤着可燃物，静电积聚产生放电活化，均有可能引起火灾事故。</w:t>
      </w:r>
    </w:p>
    <w:p>
      <w:pPr>
        <w:ind w:firstLine="0" w:firstLineChars="0"/>
        <w:rPr>
          <w:rFonts w:ascii="Times New Roman" w:hAnsi="Times New Roman"/>
          <w:color w:val="auto"/>
        </w:rPr>
        <w:sectPr>
          <w:pgSz w:w="11906" w:h="16838"/>
          <w:pgMar w:top="1440" w:right="1797" w:bottom="1440" w:left="1797" w:header="851" w:footer="992" w:gutter="0"/>
          <w:cols w:space="720" w:num="1"/>
          <w:docGrid w:linePitch="312" w:charSpace="0"/>
        </w:sectPr>
      </w:pPr>
    </w:p>
    <w:p>
      <w:pPr>
        <w:pStyle w:val="592"/>
        <w:numPr>
          <w:ilvl w:val="0"/>
          <w:numId w:val="15"/>
        </w:numPr>
        <w:rPr>
          <w:color w:val="auto"/>
        </w:rPr>
      </w:pPr>
      <w:bookmarkStart w:id="43" w:name="_Toc37350059"/>
      <w:r>
        <w:rPr>
          <w:color w:val="auto"/>
        </w:rPr>
        <w:t>污染源强分析</w:t>
      </w:r>
      <w:bookmarkEnd w:id="43"/>
    </w:p>
    <w:p>
      <w:pPr>
        <w:pStyle w:val="4"/>
        <w:numPr>
          <w:ilvl w:val="0"/>
          <w:numId w:val="18"/>
        </w:numPr>
        <w:spacing w:beforeLines="0"/>
        <w:rPr>
          <w:rFonts w:ascii="Times New Roman" w:hAnsi="Times New Roman"/>
          <w:color w:val="auto"/>
          <w:sz w:val="24"/>
          <w:szCs w:val="24"/>
        </w:rPr>
      </w:pPr>
      <w:r>
        <w:rPr>
          <w:rFonts w:hint="eastAsia" w:ascii="Times New Roman" w:hAnsi="Times New Roman"/>
          <w:color w:val="auto"/>
          <w:sz w:val="24"/>
          <w:szCs w:val="24"/>
        </w:rPr>
        <w:t>运营期污染源分析</w:t>
      </w:r>
    </w:p>
    <w:p>
      <w:pPr>
        <w:pStyle w:val="4"/>
        <w:numPr>
          <w:ilvl w:val="0"/>
          <w:numId w:val="19"/>
        </w:numPr>
        <w:spacing w:beforeLines="0"/>
        <w:rPr>
          <w:rFonts w:ascii="Times New Roman" w:hAnsi="Times New Roman"/>
          <w:color w:val="auto"/>
          <w:sz w:val="24"/>
          <w:szCs w:val="24"/>
        </w:rPr>
      </w:pPr>
      <w:r>
        <w:rPr>
          <w:rFonts w:ascii="Times New Roman" w:hAnsi="Times New Roman"/>
          <w:color w:val="auto"/>
          <w:sz w:val="24"/>
          <w:szCs w:val="24"/>
        </w:rPr>
        <w:t>废气污染源强分析</w:t>
      </w:r>
    </w:p>
    <w:p>
      <w:pPr>
        <w:adjustRightInd w:val="0"/>
        <w:snapToGrid w:val="0"/>
        <w:ind w:firstLine="480"/>
        <w:rPr>
          <w:rFonts w:ascii="Times New Roman" w:hAnsi="Times New Roman"/>
          <w:color w:val="auto"/>
        </w:rPr>
      </w:pPr>
      <w:r>
        <w:rPr>
          <w:rFonts w:ascii="Times New Roman" w:hAnsi="Times New Roman"/>
          <w:color w:val="auto"/>
        </w:rPr>
        <w:t>本项目运营期产生的主要废气有</w:t>
      </w:r>
      <w:r>
        <w:rPr>
          <w:rFonts w:hint="eastAsia" w:ascii="Times New Roman" w:hAnsi="Times New Roman"/>
          <w:color w:val="auto"/>
        </w:rPr>
        <w:t>熔融挤出废气、粉尘和生产车间臭气</w:t>
      </w:r>
      <w:r>
        <w:rPr>
          <w:rFonts w:ascii="Times New Roman" w:hAnsi="Times New Roman"/>
          <w:color w:val="auto"/>
        </w:rPr>
        <w:t>等。</w:t>
      </w:r>
    </w:p>
    <w:p>
      <w:pPr>
        <w:ind w:firstLine="480"/>
        <w:rPr>
          <w:rFonts w:ascii="Times New Roman" w:hAnsi="Times New Roman"/>
          <w:color w:val="auto"/>
        </w:rPr>
      </w:pPr>
      <w:r>
        <w:rPr>
          <w:rFonts w:hint="eastAsia" w:ascii="Times New Roman" w:hAnsi="Times New Roman"/>
          <w:color w:val="auto"/>
        </w:rPr>
        <w:t>（1）熔融挤出废气</w:t>
      </w:r>
    </w:p>
    <w:p>
      <w:pPr>
        <w:ind w:firstLine="480"/>
        <w:rPr>
          <w:rFonts w:ascii="Times New Roman" w:hAnsi="Times New Roman"/>
          <w:color w:val="auto"/>
        </w:rPr>
      </w:pPr>
      <w:r>
        <w:rPr>
          <w:rFonts w:hint="eastAsia" w:ascii="Times New Roman" w:hAnsi="Times New Roman"/>
          <w:color w:val="auto"/>
        </w:rPr>
        <w:t>①非甲烷总烃</w:t>
      </w:r>
    </w:p>
    <w:p>
      <w:pPr>
        <w:ind w:firstLine="480"/>
        <w:rPr>
          <w:rFonts w:ascii="Times New Roman" w:hAnsi="Times New Roman"/>
          <w:color w:val="auto"/>
        </w:rPr>
      </w:pPr>
      <w:r>
        <w:rPr>
          <w:rFonts w:hint="eastAsia" w:ascii="Times New Roman" w:hAnsi="Times New Roman"/>
          <w:color w:val="auto"/>
        </w:rPr>
        <w:t>熔融挤出</w:t>
      </w:r>
      <w:r>
        <w:rPr>
          <w:rFonts w:ascii="Times New Roman" w:hAnsi="Times New Roman"/>
          <w:color w:val="auto"/>
        </w:rPr>
        <w:t>过程主要是采用挤出机在特定温度环境下进行造粒挤出。废塑料造粒温度一般略高于熔化温度，但低于分解或裂解温度。因此，塑料的造粒过程为物理熔化过程，无裂解废气产生。由于塑料内含有少量单体，在分子间的剪切挤压下发生断链、分解、降解过程中产生的游离单体废气，以酚端基化合物为主。在本项目设定的挤出温度下，塑料不易分解。但是，在固态废塑料挤出加热转化为流态塑料的过程中，会有少量异味气体挥发产生，即挥发性有机废气，由于这部分废气的成分及含量不固定，亦无相对应的具体排放标准，而其共同的特性是作为挥发性有机物质，以碳氢化合物成分为主，因此以非甲烷总烃计。</w:t>
      </w:r>
    </w:p>
    <w:p>
      <w:pPr>
        <w:ind w:firstLine="480"/>
        <w:rPr>
          <w:rFonts w:ascii="Times New Roman" w:hAnsi="Times New Roman"/>
          <w:color w:val="auto"/>
        </w:rPr>
      </w:pPr>
      <w:r>
        <w:rPr>
          <w:rFonts w:ascii="Times New Roman" w:hAnsi="Times New Roman"/>
          <w:color w:val="auto"/>
        </w:rPr>
        <w:t>参考《浙江省重点行业VOCs污染排放源排放量计算方法》中，</w:t>
      </w:r>
      <w:r>
        <w:rPr>
          <w:rFonts w:hint="eastAsia" w:ascii="Times New Roman" w:hAnsi="Times New Roman"/>
          <w:color w:val="auto"/>
        </w:rPr>
        <w:t>按</w:t>
      </w:r>
      <w:r>
        <w:rPr>
          <w:rFonts w:ascii="Times New Roman" w:hAnsi="Times New Roman"/>
          <w:color w:val="auto"/>
        </w:rPr>
        <w:t>其行业的排放系数为0.</w:t>
      </w:r>
      <w:r>
        <w:rPr>
          <w:rFonts w:hint="eastAsia" w:ascii="Times New Roman" w:hAnsi="Times New Roman"/>
          <w:color w:val="auto"/>
        </w:rPr>
        <w:t>220</w:t>
      </w:r>
      <w:r>
        <w:rPr>
          <w:rFonts w:ascii="Times New Roman" w:hAnsi="Times New Roman"/>
          <w:color w:val="auto"/>
        </w:rPr>
        <w:t>kg/t原料。项目原料约为</w:t>
      </w:r>
      <w:r>
        <w:rPr>
          <w:rFonts w:hint="eastAsia" w:ascii="Times New Roman" w:hAnsi="Times New Roman"/>
          <w:color w:val="auto"/>
        </w:rPr>
        <w:t>32080</w:t>
      </w:r>
      <w:r>
        <w:rPr>
          <w:rFonts w:ascii="Times New Roman" w:hAnsi="Times New Roman"/>
          <w:color w:val="auto"/>
        </w:rPr>
        <w:t>t/a，则非甲烷总烃产生量约</w:t>
      </w:r>
      <w:r>
        <w:rPr>
          <w:rFonts w:hint="eastAsia" w:ascii="Times New Roman" w:hAnsi="Times New Roman"/>
          <w:color w:val="auto"/>
        </w:rPr>
        <w:t>7.06</w:t>
      </w:r>
      <w:r>
        <w:rPr>
          <w:rFonts w:ascii="Times New Roman" w:hAnsi="Times New Roman"/>
          <w:color w:val="auto"/>
        </w:rPr>
        <w:t>t/a，年工作日3</w:t>
      </w:r>
      <w:r>
        <w:rPr>
          <w:rFonts w:hint="eastAsia" w:ascii="Times New Roman" w:hAnsi="Times New Roman"/>
          <w:color w:val="auto"/>
        </w:rPr>
        <w:t>3</w:t>
      </w:r>
      <w:r>
        <w:rPr>
          <w:rFonts w:ascii="Times New Roman" w:hAnsi="Times New Roman"/>
          <w:color w:val="auto"/>
        </w:rPr>
        <w:t>0d，每天工作</w:t>
      </w:r>
      <w:r>
        <w:rPr>
          <w:rFonts w:hint="eastAsia" w:ascii="Times New Roman" w:hAnsi="Times New Roman"/>
          <w:color w:val="auto"/>
        </w:rPr>
        <w:t>24</w:t>
      </w:r>
      <w:r>
        <w:rPr>
          <w:rFonts w:ascii="Times New Roman" w:hAnsi="Times New Roman"/>
          <w:color w:val="auto"/>
        </w:rPr>
        <w:t>h，则非甲烷总烃产生速率为</w:t>
      </w:r>
      <w:r>
        <w:rPr>
          <w:rFonts w:hint="eastAsia" w:ascii="Times New Roman" w:hAnsi="Times New Roman"/>
          <w:color w:val="auto"/>
        </w:rPr>
        <w:t>0.89</w:t>
      </w:r>
      <w:r>
        <w:rPr>
          <w:rFonts w:ascii="Times New Roman" w:hAnsi="Times New Roman"/>
          <w:color w:val="auto"/>
        </w:rPr>
        <w:t>kg/h。</w:t>
      </w:r>
    </w:p>
    <w:p>
      <w:pPr>
        <w:ind w:firstLine="480"/>
        <w:rPr>
          <w:rFonts w:ascii="Times New Roman" w:hAnsi="Times New Roman"/>
          <w:color w:val="auto"/>
        </w:rPr>
      </w:pPr>
      <w:r>
        <w:rPr>
          <w:rFonts w:hint="eastAsia" w:ascii="Times New Roman" w:hAnsi="Times New Roman"/>
          <w:color w:val="auto"/>
        </w:rPr>
        <w:t>②其他有机废气</w:t>
      </w:r>
    </w:p>
    <w:p>
      <w:pPr>
        <w:ind w:firstLine="480"/>
        <w:rPr>
          <w:rFonts w:ascii="Times New Roman" w:hAnsi="Times New Roman"/>
          <w:color w:val="auto"/>
        </w:rPr>
      </w:pPr>
      <w:r>
        <w:rPr>
          <w:rFonts w:hint="eastAsia" w:ascii="Times New Roman" w:hAnsi="Times New Roman"/>
          <w:color w:val="auto"/>
        </w:rPr>
        <w:t>本评价</w:t>
      </w:r>
      <w:r>
        <w:rPr>
          <w:rFonts w:ascii="Times New Roman" w:hAnsi="Times New Roman"/>
          <w:color w:val="auto"/>
        </w:rPr>
        <w:t>参考拉扎列夫的《工业生产中的有害物</w:t>
      </w:r>
      <w:r>
        <w:rPr>
          <w:rFonts w:hint="eastAsia" w:ascii="Times New Roman" w:hAnsi="Times New Roman"/>
          <w:color w:val="auto"/>
        </w:rPr>
        <w:t>质手册》</w:t>
      </w:r>
      <w:r>
        <w:rPr>
          <w:rFonts w:ascii="Times New Roman" w:hAnsi="Times New Roman"/>
          <w:color w:val="auto"/>
        </w:rPr>
        <w:t xml:space="preserve"> 中相关内容， 即塑料在加热过程中气态污染物的产生量按原料量的万分之一</w:t>
      </w:r>
      <w:r>
        <w:rPr>
          <w:rFonts w:hint="eastAsia" w:ascii="Times New Roman" w:hAnsi="Times New Roman"/>
          <w:color w:val="auto"/>
        </w:rPr>
        <w:t>左右；</w:t>
      </w:r>
      <w:r>
        <w:rPr>
          <w:rFonts w:ascii="Times New Roman" w:hAnsi="Times New Roman"/>
          <w:color w:val="auto"/>
        </w:rPr>
        <w:t>本次评价取万分之一。</w:t>
      </w:r>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 xml:space="preserve">  各类塑料粒子加工时废气产生情况</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1521"/>
        <w:gridCol w:w="2140"/>
        <w:gridCol w:w="1747"/>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粒子类别</w:t>
            </w:r>
          </w:p>
        </w:tc>
        <w:tc>
          <w:tcPr>
            <w:tcW w:w="152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加工量</w:t>
            </w:r>
            <w:r>
              <w:rPr>
                <w:rFonts w:ascii="Times New Roman" w:hAnsi="Times New Roman"/>
                <w:color w:val="auto"/>
                <w:sz w:val="21"/>
              </w:rPr>
              <w:t>(t/a)</w:t>
            </w: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评价因子</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废气产生量</w:t>
            </w:r>
            <w:r>
              <w:rPr>
                <w:rFonts w:ascii="Times New Roman" w:hAnsi="Times New Roman"/>
                <w:color w:val="auto"/>
                <w:sz w:val="21"/>
              </w:rPr>
              <w:t>(t/a)</w:t>
            </w:r>
          </w:p>
        </w:tc>
        <w:tc>
          <w:tcPr>
            <w:tcW w:w="16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ABS</w:t>
            </w:r>
          </w:p>
        </w:tc>
        <w:tc>
          <w:tcPr>
            <w:tcW w:w="152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1800</w:t>
            </w: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623"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非甲烷总烃</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PS</w:t>
            </w:r>
          </w:p>
        </w:tc>
        <w:tc>
          <w:tcPr>
            <w:tcW w:w="152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1300</w:t>
            </w: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0.065</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非甲烷总烃</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PA（已折算混合废料部分）</w:t>
            </w:r>
          </w:p>
        </w:tc>
        <w:tc>
          <w:tcPr>
            <w:tcW w:w="152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1800</w:t>
            </w: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0.09</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非甲烷总烃</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PMMA</w:t>
            </w:r>
          </w:p>
        </w:tc>
        <w:tc>
          <w:tcPr>
            <w:tcW w:w="152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1000</w:t>
            </w: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甲基丙烯酸甲酯</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非甲烷总烃</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62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合计</w:t>
            </w:r>
          </w:p>
        </w:tc>
        <w:tc>
          <w:tcPr>
            <w:tcW w:w="152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5900</w:t>
            </w: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0.11</w:t>
            </w:r>
          </w:p>
        </w:tc>
        <w:tc>
          <w:tcPr>
            <w:tcW w:w="16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6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6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0.09</w:t>
            </w:r>
          </w:p>
        </w:tc>
        <w:tc>
          <w:tcPr>
            <w:tcW w:w="16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甲基丙烯酸甲酯</w:t>
            </w:r>
          </w:p>
        </w:tc>
        <w:tc>
          <w:tcPr>
            <w:tcW w:w="17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w:t>
            </w:r>
          </w:p>
        </w:tc>
        <w:tc>
          <w:tcPr>
            <w:tcW w:w="16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0.006</w:t>
            </w:r>
          </w:p>
        </w:tc>
      </w:tr>
    </w:tbl>
    <w:p>
      <w:pPr>
        <w:spacing w:line="240" w:lineRule="auto"/>
        <w:ind w:firstLine="420"/>
        <w:rPr>
          <w:rFonts w:ascii="Times New Roman" w:hAnsi="Times New Roman"/>
          <w:color w:val="auto"/>
          <w:sz w:val="21"/>
        </w:rPr>
      </w:pPr>
      <w:r>
        <w:rPr>
          <w:rFonts w:hint="eastAsia" w:ascii="Times New Roman" w:hAnsi="Times New Roman"/>
          <w:color w:val="auto"/>
          <w:sz w:val="21"/>
        </w:rPr>
        <w:t>注：污染因子比例均以1：1计，非甲烷总烃不重复计算。</w:t>
      </w:r>
    </w:p>
    <w:p>
      <w:pPr>
        <w:ind w:firstLine="480"/>
        <w:rPr>
          <w:rFonts w:ascii="Times New Roman" w:hAnsi="Times New Roman"/>
          <w:color w:val="auto"/>
        </w:rPr>
      </w:pPr>
    </w:p>
    <w:p>
      <w:pPr>
        <w:ind w:firstLine="464"/>
        <w:rPr>
          <w:rFonts w:ascii="Times New Roman" w:hAnsi="Times New Roman"/>
          <w:color w:val="auto"/>
          <w:spacing w:val="-4"/>
        </w:rPr>
      </w:pPr>
      <w:r>
        <w:rPr>
          <w:rFonts w:ascii="Times New Roman" w:hAnsi="Times New Roman"/>
          <w:color w:val="auto"/>
          <w:spacing w:val="-4"/>
        </w:rPr>
        <w:t>本项目</w:t>
      </w:r>
      <w:r>
        <w:rPr>
          <w:rFonts w:hint="eastAsia" w:ascii="Times New Roman" w:hAnsi="Times New Roman"/>
          <w:color w:val="auto"/>
          <w:spacing w:val="-4"/>
        </w:rPr>
        <w:t>造粒车间</w:t>
      </w:r>
      <w:r>
        <w:rPr>
          <w:rFonts w:ascii="Times New Roman" w:hAnsi="Times New Roman"/>
          <w:color w:val="auto"/>
          <w:spacing w:val="-4"/>
        </w:rPr>
        <w:t>各</w:t>
      </w:r>
      <w:r>
        <w:rPr>
          <w:rFonts w:hint="eastAsia" w:ascii="Times New Roman" w:hAnsi="Times New Roman"/>
          <w:color w:val="auto"/>
          <w:spacing w:val="-4"/>
        </w:rPr>
        <w:t>熔融</w:t>
      </w:r>
      <w:r>
        <w:rPr>
          <w:rFonts w:ascii="Times New Roman" w:hAnsi="Times New Roman"/>
          <w:color w:val="auto"/>
          <w:spacing w:val="-4"/>
        </w:rPr>
        <w:t>挤出机机头上方设置集气罩，业主单位应委托有资质的单位设计并安装集气罩，收集效率不低于</w:t>
      </w:r>
      <w:r>
        <w:rPr>
          <w:rFonts w:hint="eastAsia" w:ascii="Times New Roman" w:hAnsi="Times New Roman"/>
          <w:color w:val="auto"/>
          <w:spacing w:val="-4"/>
        </w:rPr>
        <w:t>90</w:t>
      </w:r>
      <w:r>
        <w:rPr>
          <w:rFonts w:ascii="Times New Roman" w:hAnsi="Times New Roman"/>
          <w:color w:val="auto"/>
          <w:spacing w:val="-4"/>
        </w:rPr>
        <w:t>%。废气收集后经</w:t>
      </w:r>
      <w:r>
        <w:rPr>
          <w:rFonts w:ascii="Times New Roman" w:hAnsi="Times New Roman"/>
          <w:color w:val="auto"/>
        </w:rPr>
        <w:t>喷射塔+</w:t>
      </w:r>
      <w:r>
        <w:rPr>
          <w:rFonts w:hint="eastAsia" w:ascii="Times New Roman" w:hAnsi="Times New Roman"/>
          <w:color w:val="auto"/>
        </w:rPr>
        <w:t>油烟净化器+</w:t>
      </w:r>
      <w:r>
        <w:rPr>
          <w:rFonts w:ascii="Times New Roman" w:hAnsi="Times New Roman"/>
          <w:color w:val="auto"/>
        </w:rPr>
        <w:t>UV光氧+活性炭装置</w:t>
      </w:r>
      <w:r>
        <w:rPr>
          <w:rFonts w:hint="eastAsia" w:ascii="Times New Roman" w:hAnsi="Times New Roman"/>
          <w:color w:val="auto"/>
          <w:spacing w:val="-4"/>
        </w:rPr>
        <w:t>净化后通过20m高的排气筒高空排放。</w:t>
      </w:r>
    </w:p>
    <w:p>
      <w:pPr>
        <w:ind w:firstLine="480"/>
        <w:rPr>
          <w:rFonts w:ascii="Times New Roman" w:hAnsi="Times New Roman"/>
          <w:color w:val="auto"/>
        </w:rPr>
      </w:pPr>
      <w:r>
        <w:rPr>
          <w:rFonts w:ascii="Times New Roman" w:hAnsi="Times New Roman"/>
          <w:color w:val="auto"/>
          <w:szCs w:val="24"/>
        </w:rPr>
        <w:t>为了方便废气收集和处理共设计1套废气治理设施</w:t>
      </w:r>
      <w:r>
        <w:rPr>
          <w:rFonts w:hint="eastAsia" w:ascii="Times New Roman" w:hAnsi="Times New Roman"/>
          <w:color w:val="auto"/>
          <w:szCs w:val="24"/>
        </w:rPr>
        <w:t>，</w:t>
      </w:r>
      <w:r>
        <w:rPr>
          <w:rFonts w:ascii="Times New Roman" w:hAnsi="Times New Roman"/>
          <w:color w:val="auto"/>
          <w:spacing w:val="-4"/>
        </w:rPr>
        <w:t>喷射塔+UV光氧+活性炭装置净化效率</w:t>
      </w:r>
      <w:r>
        <w:rPr>
          <w:rFonts w:hint="eastAsia" w:ascii="Times New Roman" w:hAnsi="Times New Roman"/>
          <w:color w:val="auto"/>
          <w:spacing w:val="-4"/>
        </w:rPr>
        <w:t>不低于80%，以80%计</w:t>
      </w:r>
      <w:r>
        <w:rPr>
          <w:rFonts w:ascii="Times New Roman" w:hAnsi="Times New Roman"/>
          <w:color w:val="auto"/>
          <w:spacing w:val="-4"/>
        </w:rPr>
        <w:t>，造粒机每台产生废气量为</w:t>
      </w:r>
      <w:r>
        <w:rPr>
          <w:rFonts w:hint="eastAsia" w:ascii="Times New Roman" w:hAnsi="Times New Roman"/>
          <w:color w:val="auto"/>
          <w:spacing w:val="-4"/>
        </w:rPr>
        <w:t>4500</w:t>
      </w:r>
      <w:r>
        <w:rPr>
          <w:rFonts w:ascii="Times New Roman" w:hAnsi="Times New Roman"/>
          <w:color w:val="auto"/>
          <w:spacing w:val="-4"/>
        </w:rPr>
        <w:t>m</w:t>
      </w:r>
      <w:r>
        <w:rPr>
          <w:rFonts w:ascii="Times New Roman" w:hAnsi="Times New Roman"/>
          <w:color w:val="auto"/>
          <w:spacing w:val="-4"/>
          <w:vertAlign w:val="superscript"/>
        </w:rPr>
        <w:t>３</w:t>
      </w:r>
      <w:r>
        <w:rPr>
          <w:rFonts w:ascii="Times New Roman" w:hAnsi="Times New Roman"/>
          <w:color w:val="auto"/>
          <w:spacing w:val="-4"/>
        </w:rPr>
        <w:t>/h，</w:t>
      </w:r>
      <w:r>
        <w:rPr>
          <w:rFonts w:hint="eastAsia" w:ascii="Times New Roman" w:hAnsi="Times New Roman"/>
          <w:color w:val="auto"/>
          <w:spacing w:val="-4"/>
        </w:rPr>
        <w:t>6</w:t>
      </w:r>
      <w:r>
        <w:rPr>
          <w:rFonts w:ascii="Times New Roman" w:hAnsi="Times New Roman"/>
          <w:color w:val="auto"/>
          <w:spacing w:val="-4"/>
        </w:rPr>
        <w:t>台共</w:t>
      </w:r>
      <w:r>
        <w:rPr>
          <w:rFonts w:hint="eastAsia" w:ascii="Times New Roman" w:hAnsi="Times New Roman"/>
          <w:color w:val="auto"/>
          <w:spacing w:val="-4"/>
        </w:rPr>
        <w:t>27000</w:t>
      </w:r>
      <w:r>
        <w:rPr>
          <w:rFonts w:ascii="Times New Roman" w:hAnsi="Times New Roman"/>
          <w:color w:val="auto"/>
          <w:spacing w:val="-4"/>
        </w:rPr>
        <w:t>m</w:t>
      </w:r>
      <w:r>
        <w:rPr>
          <w:rFonts w:ascii="Times New Roman" w:hAnsi="Times New Roman"/>
          <w:color w:val="auto"/>
          <w:spacing w:val="-4"/>
          <w:vertAlign w:val="superscript"/>
        </w:rPr>
        <w:t>３</w:t>
      </w:r>
      <w:r>
        <w:rPr>
          <w:rFonts w:ascii="Times New Roman" w:hAnsi="Times New Roman"/>
          <w:color w:val="auto"/>
          <w:spacing w:val="-4"/>
        </w:rPr>
        <w:t>/h，考虑到设备管道较长，压力损、设备处理余量等因素，设计系统处理风量为30000 m</w:t>
      </w:r>
      <w:r>
        <w:rPr>
          <w:rFonts w:ascii="Times New Roman" w:hAnsi="Times New Roman"/>
          <w:color w:val="auto"/>
          <w:spacing w:val="-4"/>
          <w:vertAlign w:val="superscript"/>
        </w:rPr>
        <w:t>３</w:t>
      </w:r>
      <w:r>
        <w:rPr>
          <w:rFonts w:ascii="Times New Roman" w:hAnsi="Times New Roman"/>
          <w:color w:val="auto"/>
          <w:spacing w:val="-4"/>
        </w:rPr>
        <w:t>/h。</w:t>
      </w:r>
    </w:p>
    <w:p>
      <w:pPr>
        <w:ind w:firstLine="464"/>
        <w:rPr>
          <w:rFonts w:ascii="Times New Roman" w:hAnsi="Times New Roman"/>
          <w:color w:val="auto"/>
          <w:spacing w:val="-4"/>
        </w:rPr>
      </w:pPr>
      <w:r>
        <w:rPr>
          <w:rFonts w:hint="eastAsia" w:ascii="Times New Roman" w:hAnsi="Times New Roman"/>
          <w:color w:val="auto"/>
          <w:spacing w:val="-4"/>
        </w:rPr>
        <w:t>熔融挤出废气污染源源强核算结果及相关参数一览表</w:t>
      </w:r>
      <w:r>
        <w:rPr>
          <w:rFonts w:ascii="Times New Roman" w:hAnsi="Times New Roman"/>
          <w:color w:val="auto"/>
          <w:spacing w:val="-4"/>
        </w:rPr>
        <w:t>见表3-</w:t>
      </w:r>
      <w:r>
        <w:rPr>
          <w:rFonts w:hint="eastAsia" w:ascii="Times New Roman" w:hAnsi="Times New Roman"/>
          <w:color w:val="auto"/>
          <w:spacing w:val="-4"/>
        </w:rPr>
        <w:t>9、表3-10。</w:t>
      </w:r>
    </w:p>
    <w:p>
      <w:pPr>
        <w:ind w:firstLine="464"/>
        <w:rPr>
          <w:rFonts w:ascii="Times New Roman" w:hAnsi="Times New Roman"/>
          <w:color w:val="auto"/>
          <w:spacing w:val="-4"/>
        </w:rPr>
      </w:pPr>
    </w:p>
    <w:p>
      <w:pPr>
        <w:ind w:firstLine="464"/>
        <w:rPr>
          <w:rFonts w:ascii="Times New Roman" w:hAnsi="Times New Roman"/>
          <w:color w:val="auto"/>
          <w:spacing w:val="-4"/>
        </w:rPr>
      </w:pPr>
    </w:p>
    <w:p>
      <w:pPr>
        <w:ind w:firstLine="464"/>
        <w:rPr>
          <w:rFonts w:ascii="Times New Roman" w:hAnsi="Times New Roman"/>
          <w:color w:val="auto"/>
          <w:spacing w:val="-4"/>
        </w:rPr>
      </w:pPr>
    </w:p>
    <w:p>
      <w:pPr>
        <w:ind w:firstLine="464"/>
        <w:rPr>
          <w:rFonts w:ascii="Times New Roman" w:hAnsi="Times New Roman"/>
          <w:color w:val="auto"/>
          <w:spacing w:val="-4"/>
        </w:rPr>
      </w:pPr>
    </w:p>
    <w:p>
      <w:pPr>
        <w:ind w:firstLine="0" w:firstLineChars="0"/>
        <w:rPr>
          <w:rFonts w:ascii="Times New Roman" w:hAnsi="Times New Roman"/>
          <w:color w:val="auto"/>
          <w:spacing w:val="-4"/>
        </w:rPr>
        <w:sectPr>
          <w:pgSz w:w="11906" w:h="16838"/>
          <w:pgMar w:top="1440" w:right="1797" w:bottom="1440" w:left="1797" w:header="851" w:footer="992" w:gutter="0"/>
          <w:cols w:space="720" w:num="1"/>
          <w:docGrid w:linePitch="312" w:charSpace="0"/>
        </w:sectPr>
      </w:pPr>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 xml:space="preserve">  熔融挤出废气污染源源强核算结果及相关参数一览表</w:t>
      </w:r>
    </w:p>
    <w:tbl>
      <w:tblPr>
        <w:tblStyle w:val="83"/>
        <w:tblpPr w:leftFromText="180" w:rightFromText="180" w:vertAnchor="text" w:tblpXSpec="center" w:tblpY="1"/>
        <w:tblOverlap w:val="never"/>
        <w:tblW w:w="14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26"/>
        <w:gridCol w:w="850"/>
        <w:gridCol w:w="709"/>
        <w:gridCol w:w="1134"/>
        <w:gridCol w:w="992"/>
        <w:gridCol w:w="1098"/>
        <w:gridCol w:w="745"/>
        <w:gridCol w:w="1559"/>
        <w:gridCol w:w="709"/>
        <w:gridCol w:w="858"/>
        <w:gridCol w:w="1141"/>
        <w:gridCol w:w="1323"/>
        <w:gridCol w:w="1104"/>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工序/生产线</w:t>
            </w:r>
          </w:p>
        </w:tc>
        <w:tc>
          <w:tcPr>
            <w:tcW w:w="426"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装置</w:t>
            </w:r>
          </w:p>
        </w:tc>
        <w:tc>
          <w:tcPr>
            <w:tcW w:w="850"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污染源</w:t>
            </w:r>
          </w:p>
        </w:tc>
        <w:tc>
          <w:tcPr>
            <w:tcW w:w="709"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w:t>
            </w:r>
          </w:p>
        </w:tc>
        <w:tc>
          <w:tcPr>
            <w:tcW w:w="3969" w:type="dxa"/>
            <w:gridSpan w:val="4"/>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污染物产生</w:t>
            </w:r>
          </w:p>
        </w:tc>
        <w:tc>
          <w:tcPr>
            <w:tcW w:w="2268"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治理措施</w:t>
            </w:r>
          </w:p>
        </w:tc>
        <w:tc>
          <w:tcPr>
            <w:tcW w:w="4426" w:type="dxa"/>
            <w:gridSpan w:val="4"/>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污染物排放</w:t>
            </w:r>
          </w:p>
        </w:tc>
        <w:tc>
          <w:tcPr>
            <w:tcW w:w="86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核算方法</w:t>
            </w: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产生废气量（m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/h）</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产生浓度（mg/m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产生量（kg/h）</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工艺</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效率(%)</w:t>
            </w:r>
          </w:p>
        </w:tc>
        <w:tc>
          <w:tcPr>
            <w:tcW w:w="85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核算方法</w:t>
            </w: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排放废气量（m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/h）</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排放浓度（mg/m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排放量（kg/h）</w:t>
            </w:r>
          </w:p>
        </w:tc>
        <w:tc>
          <w:tcPr>
            <w:tcW w:w="86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7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造粒工序</w:t>
            </w:r>
          </w:p>
        </w:tc>
        <w:tc>
          <w:tcPr>
            <w:tcW w:w="426"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造粒机</w:t>
            </w: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排气筒</w:t>
            </w:r>
          </w:p>
        </w:tc>
        <w:tc>
          <w:tcPr>
            <w:tcW w:w="709"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非甲烷总烃</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《浙江省重点行业VOCs污染排放源排放量计算方法》</w:t>
            </w: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0.801</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喷射塔+</w:t>
            </w:r>
            <w:r>
              <w:rPr>
                <w:rFonts w:hint="eastAsia" w:ascii="Times New Roman" w:hAnsi="Times New Roman"/>
                <w:color w:val="auto"/>
                <w:sz w:val="18"/>
                <w:szCs w:val="18"/>
              </w:rPr>
              <w:t>油烟净化器+</w:t>
            </w:r>
            <w:r>
              <w:rPr>
                <w:rFonts w:ascii="Times New Roman" w:hAnsi="Times New Roman"/>
                <w:color w:val="auto"/>
                <w:sz w:val="18"/>
                <w:szCs w:val="18"/>
              </w:rPr>
              <w:t>UV光氧+活性炭装置净化处理后排放</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80</w:t>
            </w:r>
          </w:p>
        </w:tc>
        <w:tc>
          <w:tcPr>
            <w:tcW w:w="85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排污系数法</w:t>
            </w: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5.3</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0.16</w:t>
            </w:r>
          </w:p>
        </w:tc>
        <w:tc>
          <w:tcPr>
            <w:tcW w:w="86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无组织</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0.089</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0.089</w:t>
            </w:r>
          </w:p>
        </w:tc>
        <w:tc>
          <w:tcPr>
            <w:tcW w:w="86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非正常排放</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0.89</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0.89</w:t>
            </w:r>
          </w:p>
        </w:tc>
        <w:tc>
          <w:tcPr>
            <w:tcW w:w="8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7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造粒工序</w:t>
            </w:r>
          </w:p>
        </w:tc>
        <w:tc>
          <w:tcPr>
            <w:tcW w:w="426"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造粒机</w:t>
            </w: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排气筒</w:t>
            </w:r>
          </w:p>
        </w:tc>
        <w:tc>
          <w:tcPr>
            <w:tcW w:w="709"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苯乙烯</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《工业生产中的有害物</w:t>
            </w:r>
            <w:r>
              <w:rPr>
                <w:rFonts w:hint="eastAsia" w:ascii="Times New Roman" w:hAnsi="Times New Roman"/>
                <w:color w:val="auto"/>
                <w:sz w:val="18"/>
                <w:szCs w:val="18"/>
              </w:rPr>
              <w:t>质手册》</w:t>
            </w: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0.013</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喷射塔+</w:t>
            </w:r>
            <w:r>
              <w:rPr>
                <w:rFonts w:hint="eastAsia" w:ascii="Times New Roman" w:hAnsi="Times New Roman"/>
                <w:color w:val="auto"/>
                <w:sz w:val="18"/>
                <w:szCs w:val="18"/>
              </w:rPr>
              <w:t>油烟净化器+</w:t>
            </w:r>
            <w:r>
              <w:rPr>
                <w:rFonts w:ascii="Times New Roman" w:hAnsi="Times New Roman"/>
                <w:color w:val="auto"/>
                <w:sz w:val="18"/>
                <w:szCs w:val="18"/>
              </w:rPr>
              <w:t>UV光氧+活性炭装置净化处理后排放</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80</w:t>
            </w:r>
          </w:p>
        </w:tc>
        <w:tc>
          <w:tcPr>
            <w:tcW w:w="85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排污系数法</w:t>
            </w: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0.087</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0.0026</w:t>
            </w:r>
          </w:p>
        </w:tc>
        <w:tc>
          <w:tcPr>
            <w:tcW w:w="86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无组织</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0.0014</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0.0014</w:t>
            </w:r>
          </w:p>
        </w:tc>
        <w:tc>
          <w:tcPr>
            <w:tcW w:w="86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非正常排放</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0.014</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0.014</w:t>
            </w:r>
          </w:p>
        </w:tc>
        <w:tc>
          <w:tcPr>
            <w:tcW w:w="8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67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造粒工序</w:t>
            </w:r>
          </w:p>
        </w:tc>
        <w:tc>
          <w:tcPr>
            <w:tcW w:w="426"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造粒机</w:t>
            </w: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排气筒</w:t>
            </w:r>
          </w:p>
        </w:tc>
        <w:tc>
          <w:tcPr>
            <w:tcW w:w="709"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丙烯腈</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《工业生产中的有害物</w:t>
            </w:r>
            <w:r>
              <w:rPr>
                <w:rFonts w:hint="eastAsia" w:ascii="Times New Roman" w:hAnsi="Times New Roman"/>
                <w:color w:val="auto"/>
                <w:sz w:val="18"/>
                <w:szCs w:val="18"/>
              </w:rPr>
              <w:t>质手册》</w:t>
            </w: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0.0054</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喷射塔+</w:t>
            </w:r>
            <w:r>
              <w:rPr>
                <w:rFonts w:hint="eastAsia" w:ascii="Times New Roman" w:hAnsi="Times New Roman"/>
                <w:color w:val="auto"/>
                <w:sz w:val="18"/>
                <w:szCs w:val="18"/>
              </w:rPr>
              <w:t>油烟净化器+</w:t>
            </w:r>
            <w:r>
              <w:rPr>
                <w:rFonts w:ascii="Times New Roman" w:hAnsi="Times New Roman"/>
                <w:color w:val="auto"/>
                <w:sz w:val="18"/>
                <w:szCs w:val="18"/>
              </w:rPr>
              <w:t>UV光氧+活性炭装置净化处理后排放</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80</w:t>
            </w:r>
          </w:p>
        </w:tc>
        <w:tc>
          <w:tcPr>
            <w:tcW w:w="85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排污系数法</w:t>
            </w: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0.037</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0.0011</w:t>
            </w:r>
          </w:p>
        </w:tc>
        <w:tc>
          <w:tcPr>
            <w:tcW w:w="86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无组织</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0.0006</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0.0006</w:t>
            </w:r>
          </w:p>
        </w:tc>
        <w:tc>
          <w:tcPr>
            <w:tcW w:w="86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非正常排放</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0.006</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0.006</w:t>
            </w:r>
          </w:p>
        </w:tc>
        <w:tc>
          <w:tcPr>
            <w:tcW w:w="8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7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造粒工序</w:t>
            </w:r>
          </w:p>
        </w:tc>
        <w:tc>
          <w:tcPr>
            <w:tcW w:w="426"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造粒机</w:t>
            </w: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排气筒</w:t>
            </w:r>
          </w:p>
        </w:tc>
        <w:tc>
          <w:tcPr>
            <w:tcW w:w="709"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1,3丁二烯</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《工业生产中的有害物</w:t>
            </w:r>
            <w:r>
              <w:rPr>
                <w:rFonts w:hint="eastAsia" w:ascii="Times New Roman" w:hAnsi="Times New Roman"/>
                <w:color w:val="auto"/>
                <w:sz w:val="18"/>
                <w:szCs w:val="18"/>
              </w:rPr>
              <w:t>质手册》</w:t>
            </w: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0.0054</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喷射塔+</w:t>
            </w:r>
            <w:r>
              <w:rPr>
                <w:rFonts w:hint="eastAsia" w:ascii="Times New Roman" w:hAnsi="Times New Roman"/>
                <w:color w:val="auto"/>
                <w:sz w:val="18"/>
                <w:szCs w:val="18"/>
              </w:rPr>
              <w:t>油烟净化器+</w:t>
            </w:r>
            <w:r>
              <w:rPr>
                <w:rFonts w:ascii="Times New Roman" w:hAnsi="Times New Roman"/>
                <w:color w:val="auto"/>
                <w:sz w:val="18"/>
                <w:szCs w:val="18"/>
              </w:rPr>
              <w:t>UV光氧+活性炭装置净化处理后排放</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80</w:t>
            </w:r>
          </w:p>
        </w:tc>
        <w:tc>
          <w:tcPr>
            <w:tcW w:w="85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排污系数法</w:t>
            </w: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0.037</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0.0011</w:t>
            </w:r>
          </w:p>
        </w:tc>
        <w:tc>
          <w:tcPr>
            <w:tcW w:w="86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无组织</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0.0006</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0.0006</w:t>
            </w:r>
          </w:p>
        </w:tc>
        <w:tc>
          <w:tcPr>
            <w:tcW w:w="86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非正常排放</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0.006</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0.006</w:t>
            </w:r>
          </w:p>
        </w:tc>
        <w:tc>
          <w:tcPr>
            <w:tcW w:w="8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造粒工序</w:t>
            </w:r>
          </w:p>
        </w:tc>
        <w:tc>
          <w:tcPr>
            <w:tcW w:w="426"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造粒机</w:t>
            </w: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排气筒</w:t>
            </w:r>
          </w:p>
        </w:tc>
        <w:tc>
          <w:tcPr>
            <w:tcW w:w="709"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氨</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《工业生产中的有害物</w:t>
            </w:r>
            <w:r>
              <w:rPr>
                <w:rFonts w:hint="eastAsia" w:ascii="Times New Roman" w:hAnsi="Times New Roman"/>
                <w:color w:val="auto"/>
                <w:sz w:val="18"/>
                <w:szCs w:val="18"/>
              </w:rPr>
              <w:t>质手册》</w:t>
            </w: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0.0099</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喷射塔+</w:t>
            </w:r>
            <w:r>
              <w:rPr>
                <w:rFonts w:hint="eastAsia" w:ascii="Times New Roman" w:hAnsi="Times New Roman"/>
                <w:color w:val="auto"/>
                <w:sz w:val="18"/>
                <w:szCs w:val="18"/>
              </w:rPr>
              <w:t>油烟净化器+</w:t>
            </w:r>
            <w:r>
              <w:rPr>
                <w:rFonts w:ascii="Times New Roman" w:hAnsi="Times New Roman"/>
                <w:color w:val="auto"/>
                <w:sz w:val="18"/>
                <w:szCs w:val="18"/>
              </w:rPr>
              <w:t>UV光氧+活性炭装置净化处理后排放</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80</w:t>
            </w:r>
          </w:p>
        </w:tc>
        <w:tc>
          <w:tcPr>
            <w:tcW w:w="85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排污系数法</w:t>
            </w: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0.67</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0.0020</w:t>
            </w:r>
          </w:p>
        </w:tc>
        <w:tc>
          <w:tcPr>
            <w:tcW w:w="86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无组织</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0.0011</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0.0011</w:t>
            </w:r>
          </w:p>
        </w:tc>
        <w:tc>
          <w:tcPr>
            <w:tcW w:w="86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非正常排放</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0.011</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0.011</w:t>
            </w:r>
          </w:p>
        </w:tc>
        <w:tc>
          <w:tcPr>
            <w:tcW w:w="8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造粒工序</w:t>
            </w:r>
          </w:p>
        </w:tc>
        <w:tc>
          <w:tcPr>
            <w:tcW w:w="426"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造粒机</w:t>
            </w: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排气筒</w:t>
            </w:r>
          </w:p>
        </w:tc>
        <w:tc>
          <w:tcPr>
            <w:tcW w:w="709"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甲基丙烯酸甲酯</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《工业生产中的有害物</w:t>
            </w:r>
            <w:r>
              <w:rPr>
                <w:rFonts w:hint="eastAsia" w:ascii="Times New Roman" w:hAnsi="Times New Roman"/>
                <w:color w:val="auto"/>
                <w:sz w:val="18"/>
                <w:szCs w:val="18"/>
              </w:rPr>
              <w:t>质手册》</w:t>
            </w: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0.0054</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喷射塔+UV光氧+活性炭装置净化处理后排放</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80</w:t>
            </w:r>
          </w:p>
        </w:tc>
        <w:tc>
          <w:tcPr>
            <w:tcW w:w="85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排污系数法</w:t>
            </w: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0.037</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0.0011</w:t>
            </w:r>
          </w:p>
        </w:tc>
        <w:tc>
          <w:tcPr>
            <w:tcW w:w="867"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无组织</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0.0006</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0.0006</w:t>
            </w:r>
          </w:p>
        </w:tc>
        <w:tc>
          <w:tcPr>
            <w:tcW w:w="867"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26"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8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非正常排放</w:t>
            </w:r>
          </w:p>
        </w:tc>
        <w:tc>
          <w:tcPr>
            <w:tcW w:w="709"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99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09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4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0.006</w:t>
            </w:r>
          </w:p>
        </w:tc>
        <w:tc>
          <w:tcPr>
            <w:tcW w:w="155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85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114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32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110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0.006</w:t>
            </w:r>
          </w:p>
        </w:tc>
        <w:tc>
          <w:tcPr>
            <w:tcW w:w="8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r>
    </w:tbl>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 xml:space="preserve">  </w:t>
      </w:r>
      <w:r>
        <w:rPr>
          <w:rFonts w:ascii="Times New Roman" w:hAnsi="Times New Roman"/>
          <w:b/>
          <w:color w:val="auto"/>
          <w:sz w:val="21"/>
        </w:rPr>
        <w:t>项目</w:t>
      </w:r>
      <w:r>
        <w:rPr>
          <w:rFonts w:hint="eastAsia" w:ascii="Times New Roman" w:hAnsi="Times New Roman"/>
          <w:b/>
          <w:color w:val="auto"/>
          <w:sz w:val="21"/>
        </w:rPr>
        <w:t>熔融挤出废气</w:t>
      </w:r>
      <w:r>
        <w:rPr>
          <w:rFonts w:ascii="Times New Roman" w:hAnsi="Times New Roman"/>
          <w:b/>
          <w:color w:val="auto"/>
          <w:sz w:val="21"/>
        </w:rPr>
        <w:t>污染源强汇总</w:t>
      </w:r>
    </w:p>
    <w:tbl>
      <w:tblPr>
        <w:tblStyle w:val="83"/>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7"/>
        <w:gridCol w:w="234"/>
        <w:gridCol w:w="1051"/>
        <w:gridCol w:w="1097"/>
        <w:gridCol w:w="2296"/>
        <w:gridCol w:w="1115"/>
        <w:gridCol w:w="2064"/>
        <w:gridCol w:w="1073"/>
        <w:gridCol w:w="1134"/>
        <w:gridCol w:w="1276"/>
        <w:gridCol w:w="851"/>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污染工序</w:t>
            </w:r>
          </w:p>
        </w:tc>
        <w:tc>
          <w:tcPr>
            <w:tcW w:w="1285" w:type="dxa"/>
            <w:gridSpan w:val="2"/>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w:t>
            </w:r>
          </w:p>
        </w:tc>
        <w:tc>
          <w:tcPr>
            <w:tcW w:w="109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产生量</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3411" w:type="dxa"/>
            <w:gridSpan w:val="2"/>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治理措施</w:t>
            </w:r>
          </w:p>
        </w:tc>
        <w:tc>
          <w:tcPr>
            <w:tcW w:w="2064"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排气筒高度及编号</w:t>
            </w:r>
          </w:p>
        </w:tc>
        <w:tc>
          <w:tcPr>
            <w:tcW w:w="3483"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有组织排放</w:t>
            </w:r>
          </w:p>
        </w:tc>
        <w:tc>
          <w:tcPr>
            <w:tcW w:w="2017"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无组织排放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41" w:hRule="atLeast"/>
        </w:trPr>
        <w:tc>
          <w:tcPr>
            <w:tcW w:w="81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85" w:type="dxa"/>
            <w:gridSpan w:val="2"/>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9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3411" w:type="dxa"/>
            <w:gridSpan w:val="2"/>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06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7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排放量</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1134"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排放速率</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kg/h</w:t>
            </w:r>
          </w:p>
        </w:tc>
        <w:tc>
          <w:tcPr>
            <w:tcW w:w="1276"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排放浓度</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mg/m</w:t>
            </w:r>
            <w:r>
              <w:rPr>
                <w:rFonts w:ascii="Times New Roman" w:hAnsi="Times New Roman"/>
                <w:color w:val="auto"/>
                <w:sz w:val="21"/>
                <w:vertAlign w:val="superscript"/>
              </w:rPr>
              <w:t>3</w:t>
            </w:r>
          </w:p>
        </w:tc>
        <w:tc>
          <w:tcPr>
            <w:tcW w:w="851"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排放量</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1166"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排放速率</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kg/h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85" w:type="dxa"/>
            <w:gridSpan w:val="2"/>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9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29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设备及风量</w:t>
            </w:r>
          </w:p>
        </w:tc>
        <w:tc>
          <w:tcPr>
            <w:tcW w:w="111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处理效率</w:t>
            </w:r>
          </w:p>
        </w:tc>
        <w:tc>
          <w:tcPr>
            <w:tcW w:w="206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7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76"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5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6"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81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bCs/>
                <w:color w:val="auto"/>
                <w:sz w:val="21"/>
              </w:rPr>
              <w:t>造粒工序</w:t>
            </w:r>
          </w:p>
        </w:tc>
        <w:tc>
          <w:tcPr>
            <w:tcW w:w="1285"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非甲烷总烃</w:t>
            </w:r>
          </w:p>
        </w:tc>
        <w:tc>
          <w:tcPr>
            <w:tcW w:w="109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7.06</w:t>
            </w:r>
          </w:p>
        </w:tc>
        <w:tc>
          <w:tcPr>
            <w:tcW w:w="229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喷射塔+UV光氧+活性炭装置净化，总设计风量</w:t>
            </w:r>
            <w:r>
              <w:rPr>
                <w:rFonts w:hint="eastAsia" w:ascii="Times New Roman" w:hAnsi="Times New Roman"/>
                <w:color w:val="auto"/>
                <w:sz w:val="21"/>
              </w:rPr>
              <w:t>3</w:t>
            </w:r>
            <w:r>
              <w:rPr>
                <w:rFonts w:ascii="Times New Roman" w:hAnsi="Times New Roman"/>
                <w:color w:val="auto"/>
                <w:sz w:val="21"/>
              </w:rPr>
              <w:t>0000m</w:t>
            </w:r>
            <w:r>
              <w:rPr>
                <w:rFonts w:ascii="Times New Roman" w:hAnsi="Times New Roman"/>
                <w:color w:val="auto"/>
                <w:sz w:val="21"/>
                <w:vertAlign w:val="superscript"/>
              </w:rPr>
              <w:t>3</w:t>
            </w:r>
            <w:r>
              <w:rPr>
                <w:rFonts w:ascii="Times New Roman" w:hAnsi="Times New Roman"/>
                <w:color w:val="auto"/>
                <w:sz w:val="21"/>
              </w:rPr>
              <w:t xml:space="preserve">/h </w:t>
            </w:r>
          </w:p>
        </w:tc>
        <w:tc>
          <w:tcPr>
            <w:tcW w:w="111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w:t>
            </w:r>
            <w:r>
              <w:rPr>
                <w:rFonts w:ascii="Times New Roman" w:hAnsi="Times New Roman"/>
                <w:color w:val="auto"/>
                <w:sz w:val="21"/>
              </w:rPr>
              <w:t>%</w:t>
            </w:r>
          </w:p>
        </w:tc>
        <w:tc>
          <w:tcPr>
            <w:tcW w:w="2064"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r>
              <w:rPr>
                <w:rFonts w:ascii="Times New Roman" w:hAnsi="Times New Roman"/>
                <w:color w:val="auto"/>
                <w:sz w:val="21"/>
              </w:rPr>
              <w:t>排气筒，</w:t>
            </w:r>
            <w:r>
              <w:rPr>
                <w:rFonts w:hint="eastAsia" w:ascii="Times New Roman" w:hAnsi="Times New Roman"/>
                <w:color w:val="auto"/>
                <w:sz w:val="21"/>
              </w:rPr>
              <w:t>20</w:t>
            </w:r>
            <w:r>
              <w:rPr>
                <w:rFonts w:ascii="Times New Roman" w:hAnsi="Times New Roman"/>
                <w:color w:val="auto"/>
                <w:sz w:val="21"/>
              </w:rPr>
              <w:t>m</w:t>
            </w:r>
          </w:p>
        </w:tc>
        <w:tc>
          <w:tcPr>
            <w:tcW w:w="107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1.267</w:t>
            </w:r>
          </w:p>
        </w:tc>
        <w:tc>
          <w:tcPr>
            <w:tcW w:w="1134"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0.16</w:t>
            </w:r>
          </w:p>
        </w:tc>
        <w:tc>
          <w:tcPr>
            <w:tcW w:w="12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5.3</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0.705</w:t>
            </w:r>
          </w:p>
        </w:tc>
        <w:tc>
          <w:tcPr>
            <w:tcW w:w="116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81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85"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0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0.11</w:t>
            </w:r>
          </w:p>
        </w:tc>
        <w:tc>
          <w:tcPr>
            <w:tcW w:w="229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1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06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7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0.021</w:t>
            </w:r>
          </w:p>
        </w:tc>
        <w:tc>
          <w:tcPr>
            <w:tcW w:w="1134"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0.0026</w:t>
            </w:r>
          </w:p>
        </w:tc>
        <w:tc>
          <w:tcPr>
            <w:tcW w:w="12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0.087</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0.011</w:t>
            </w:r>
          </w:p>
        </w:tc>
        <w:tc>
          <w:tcPr>
            <w:tcW w:w="116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81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285"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0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229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1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06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7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c>
          <w:tcPr>
            <w:tcW w:w="1134"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2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0.0048</w:t>
            </w:r>
          </w:p>
        </w:tc>
        <w:tc>
          <w:tcPr>
            <w:tcW w:w="116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81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285"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0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229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1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06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7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c>
          <w:tcPr>
            <w:tcW w:w="1134"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2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0.0048</w:t>
            </w:r>
          </w:p>
        </w:tc>
        <w:tc>
          <w:tcPr>
            <w:tcW w:w="116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81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285"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甲基丙烯酸甲酯</w:t>
            </w:r>
          </w:p>
        </w:tc>
        <w:tc>
          <w:tcPr>
            <w:tcW w:w="10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w:t>
            </w:r>
          </w:p>
        </w:tc>
        <w:tc>
          <w:tcPr>
            <w:tcW w:w="229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1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06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7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c>
          <w:tcPr>
            <w:tcW w:w="1134"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2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0.0048</w:t>
            </w:r>
          </w:p>
        </w:tc>
        <w:tc>
          <w:tcPr>
            <w:tcW w:w="116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2102"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bCs/>
                <w:color w:val="auto"/>
                <w:sz w:val="21"/>
              </w:rPr>
              <w:t>合计</w:t>
            </w:r>
          </w:p>
        </w:tc>
        <w:tc>
          <w:tcPr>
            <w:tcW w:w="10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fldChar w:fldCharType="begin"/>
            </w:r>
            <w:r>
              <w:rPr>
                <w:rFonts w:ascii="Times New Roman" w:hAnsi="Times New Roman"/>
                <w:color w:val="auto"/>
                <w:sz w:val="21"/>
              </w:rPr>
              <w:instrText xml:space="preserve"> =SUM(ABOVE) </w:instrText>
            </w:r>
            <w:r>
              <w:rPr>
                <w:rFonts w:ascii="Times New Roman" w:hAnsi="Times New Roman"/>
                <w:color w:val="auto"/>
                <w:sz w:val="21"/>
              </w:rPr>
              <w:fldChar w:fldCharType="separate"/>
            </w:r>
            <w:r>
              <w:rPr>
                <w:rFonts w:ascii="Times New Roman" w:hAnsi="Times New Roman"/>
                <w:color w:val="auto"/>
                <w:sz w:val="21"/>
              </w:rPr>
              <w:t>7.31</w:t>
            </w:r>
            <w:r>
              <w:rPr>
                <w:rFonts w:ascii="Times New Roman" w:hAnsi="Times New Roman"/>
                <w:color w:val="auto"/>
                <w:sz w:val="21"/>
              </w:rPr>
              <w:fldChar w:fldCharType="end"/>
            </w:r>
          </w:p>
        </w:tc>
        <w:tc>
          <w:tcPr>
            <w:tcW w:w="229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11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206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07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fldChar w:fldCharType="begin"/>
            </w:r>
            <w:r>
              <w:rPr>
                <w:rFonts w:ascii="Times New Roman" w:hAnsi="Times New Roman"/>
                <w:color w:val="auto"/>
                <w:sz w:val="21"/>
              </w:rPr>
              <w:instrText xml:space="preserve"> </w:instrText>
            </w:r>
            <w:r>
              <w:rPr>
                <w:rFonts w:hint="eastAsia" w:ascii="Times New Roman" w:hAnsi="Times New Roman"/>
                <w:color w:val="auto"/>
                <w:sz w:val="21"/>
              </w:rPr>
              <w:instrText xml:space="preserve">=SUM(ABOVE)</w:instrText>
            </w:r>
            <w:r>
              <w:rPr>
                <w:rFonts w:ascii="Times New Roman" w:hAnsi="Times New Roman"/>
                <w:color w:val="auto"/>
                <w:sz w:val="21"/>
              </w:rPr>
              <w:instrText xml:space="preserve"> </w:instrText>
            </w:r>
            <w:r>
              <w:rPr>
                <w:rFonts w:ascii="Times New Roman" w:hAnsi="Times New Roman"/>
                <w:color w:val="auto"/>
                <w:sz w:val="21"/>
              </w:rPr>
              <w:fldChar w:fldCharType="end"/>
            </w:r>
            <w:r>
              <w:rPr>
                <w:rFonts w:ascii="Times New Roman" w:hAnsi="Times New Roman"/>
                <w:color w:val="auto"/>
                <w:sz w:val="21"/>
              </w:rPr>
              <w:fldChar w:fldCharType="begin"/>
            </w:r>
            <w:r>
              <w:rPr>
                <w:rFonts w:ascii="Times New Roman" w:hAnsi="Times New Roman"/>
                <w:color w:val="auto"/>
                <w:sz w:val="21"/>
              </w:rPr>
              <w:instrText xml:space="preserve"> =SUM(ABOVE) </w:instrText>
            </w:r>
            <w:r>
              <w:rPr>
                <w:rFonts w:ascii="Times New Roman" w:hAnsi="Times New Roman"/>
                <w:color w:val="auto"/>
                <w:sz w:val="21"/>
              </w:rPr>
              <w:fldChar w:fldCharType="separate"/>
            </w:r>
            <w:r>
              <w:rPr>
                <w:rFonts w:ascii="Times New Roman" w:hAnsi="Times New Roman"/>
                <w:color w:val="auto"/>
                <w:sz w:val="21"/>
              </w:rPr>
              <w:t>1.314</w:t>
            </w:r>
            <w:r>
              <w:rPr>
                <w:rFonts w:ascii="Times New Roman" w:hAnsi="Times New Roman"/>
                <w:color w:val="auto"/>
                <w:sz w:val="21"/>
              </w:rPr>
              <w:fldChar w:fldCharType="end"/>
            </w:r>
          </w:p>
        </w:tc>
        <w:tc>
          <w:tcPr>
            <w:tcW w:w="1134"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fldChar w:fldCharType="begin"/>
            </w:r>
            <w:r>
              <w:rPr>
                <w:rFonts w:ascii="Times New Roman" w:hAnsi="Times New Roman"/>
                <w:color w:val="auto"/>
                <w:sz w:val="21"/>
              </w:rPr>
              <w:instrText xml:space="preserve"> =SUM(ABOVE) </w:instrText>
            </w:r>
            <w:r>
              <w:rPr>
                <w:rFonts w:ascii="Times New Roman" w:hAnsi="Times New Roman"/>
                <w:color w:val="auto"/>
                <w:sz w:val="21"/>
              </w:rPr>
              <w:fldChar w:fldCharType="separate"/>
            </w:r>
            <w:r>
              <w:rPr>
                <w:rFonts w:ascii="Times New Roman" w:hAnsi="Times New Roman"/>
                <w:color w:val="auto"/>
                <w:sz w:val="21"/>
              </w:rPr>
              <w:t>0.16</w:t>
            </w:r>
            <w:r>
              <w:rPr>
                <w:rFonts w:hint="eastAsia" w:ascii="Times New Roman" w:hAnsi="Times New Roman"/>
                <w:color w:val="auto"/>
                <w:sz w:val="21"/>
              </w:rPr>
              <w:t>6</w:t>
            </w:r>
            <w:r>
              <w:rPr>
                <w:rFonts w:ascii="Times New Roman" w:hAnsi="Times New Roman"/>
                <w:color w:val="auto"/>
                <w:sz w:val="21"/>
              </w:rPr>
              <w:fldChar w:fldCharType="end"/>
            </w:r>
          </w:p>
        </w:tc>
        <w:tc>
          <w:tcPr>
            <w:tcW w:w="12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fldChar w:fldCharType="begin"/>
            </w:r>
            <w:r>
              <w:rPr>
                <w:rFonts w:ascii="Times New Roman" w:hAnsi="Times New Roman"/>
                <w:color w:val="auto"/>
                <w:sz w:val="21"/>
              </w:rPr>
              <w:instrText xml:space="preserve"> =SUM(ABOVE) </w:instrText>
            </w:r>
            <w:r>
              <w:rPr>
                <w:rFonts w:ascii="Times New Roman" w:hAnsi="Times New Roman"/>
                <w:color w:val="auto"/>
                <w:sz w:val="21"/>
              </w:rPr>
              <w:fldChar w:fldCharType="separate"/>
            </w:r>
            <w:r>
              <w:rPr>
                <w:rFonts w:ascii="Times New Roman" w:hAnsi="Times New Roman"/>
                <w:color w:val="auto"/>
                <w:sz w:val="21"/>
              </w:rPr>
              <w:t>0.73</w:t>
            </w:r>
            <w:r>
              <w:rPr>
                <w:rFonts w:hint="eastAsia" w:ascii="Times New Roman" w:hAnsi="Times New Roman"/>
                <w:color w:val="auto"/>
                <w:sz w:val="21"/>
              </w:rPr>
              <w:t>0</w:t>
            </w:r>
            <w:r>
              <w:rPr>
                <w:rFonts w:ascii="Times New Roman" w:hAnsi="Times New Roman"/>
                <w:color w:val="auto"/>
                <w:sz w:val="21"/>
              </w:rPr>
              <w:fldChar w:fldCharType="end"/>
            </w:r>
          </w:p>
        </w:tc>
        <w:tc>
          <w:tcPr>
            <w:tcW w:w="116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fldChar w:fldCharType="begin"/>
            </w:r>
            <w:r>
              <w:rPr>
                <w:rFonts w:ascii="Times New Roman" w:hAnsi="Times New Roman"/>
                <w:color w:val="auto"/>
                <w:sz w:val="21"/>
              </w:rPr>
              <w:instrText xml:space="preserve"> =SUM(ABOVE) </w:instrText>
            </w:r>
            <w:r>
              <w:rPr>
                <w:rFonts w:ascii="Times New Roman" w:hAnsi="Times New Roman"/>
                <w:color w:val="auto"/>
                <w:sz w:val="21"/>
              </w:rPr>
              <w:fldChar w:fldCharType="separate"/>
            </w:r>
            <w:r>
              <w:rPr>
                <w:rFonts w:ascii="Times New Roman" w:hAnsi="Times New Roman"/>
                <w:color w:val="auto"/>
                <w:sz w:val="21"/>
              </w:rPr>
              <w:t>0.092</w:t>
            </w:r>
            <w:r>
              <w:rPr>
                <w:rFonts w:ascii="Times New Roman" w:hAnsi="Times New Roman"/>
                <w:color w:val="auto"/>
                <w:sz w:val="21"/>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105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造粒工序</w:t>
            </w:r>
          </w:p>
        </w:tc>
        <w:tc>
          <w:tcPr>
            <w:tcW w:w="105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0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0.09</w:t>
            </w:r>
          </w:p>
        </w:tc>
        <w:tc>
          <w:tcPr>
            <w:tcW w:w="229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喷射塔+</w:t>
            </w:r>
            <w:r>
              <w:rPr>
                <w:rFonts w:hint="eastAsia" w:ascii="Times New Roman" w:hAnsi="Times New Roman"/>
                <w:color w:val="auto"/>
                <w:sz w:val="18"/>
                <w:szCs w:val="18"/>
              </w:rPr>
              <w:t>油烟净化器+</w:t>
            </w:r>
            <w:r>
              <w:rPr>
                <w:rFonts w:ascii="Times New Roman" w:hAnsi="Times New Roman"/>
                <w:color w:val="auto"/>
                <w:sz w:val="18"/>
                <w:szCs w:val="18"/>
              </w:rPr>
              <w:t>UV光氧+活性炭装置净化，总设计风量</w:t>
            </w:r>
            <w:r>
              <w:rPr>
                <w:rFonts w:hint="eastAsia" w:ascii="Times New Roman" w:hAnsi="Times New Roman"/>
                <w:color w:val="auto"/>
                <w:sz w:val="18"/>
                <w:szCs w:val="18"/>
              </w:rPr>
              <w:t>3</w:t>
            </w:r>
            <w:r>
              <w:rPr>
                <w:rFonts w:ascii="Times New Roman" w:hAnsi="Times New Roman"/>
                <w:color w:val="auto"/>
                <w:sz w:val="18"/>
                <w:szCs w:val="18"/>
              </w:rPr>
              <w:t>0000m</w:t>
            </w:r>
            <w:r>
              <w:rPr>
                <w:rFonts w:ascii="Times New Roman" w:hAnsi="Times New Roman"/>
                <w:color w:val="auto"/>
                <w:sz w:val="18"/>
                <w:szCs w:val="18"/>
                <w:vertAlign w:val="superscript"/>
              </w:rPr>
              <w:t>3</w:t>
            </w:r>
            <w:r>
              <w:rPr>
                <w:rFonts w:ascii="Times New Roman" w:hAnsi="Times New Roman"/>
                <w:color w:val="auto"/>
                <w:sz w:val="18"/>
                <w:szCs w:val="18"/>
              </w:rPr>
              <w:t>/h</w:t>
            </w:r>
          </w:p>
        </w:tc>
        <w:tc>
          <w:tcPr>
            <w:tcW w:w="111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w:t>
            </w:r>
            <w:r>
              <w:rPr>
                <w:rFonts w:ascii="Times New Roman" w:hAnsi="Times New Roman"/>
                <w:color w:val="auto"/>
                <w:sz w:val="21"/>
              </w:rPr>
              <w:t>%</w:t>
            </w:r>
          </w:p>
        </w:tc>
        <w:tc>
          <w:tcPr>
            <w:tcW w:w="206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r>
              <w:rPr>
                <w:rFonts w:ascii="Times New Roman" w:hAnsi="Times New Roman"/>
                <w:color w:val="auto"/>
                <w:sz w:val="21"/>
              </w:rPr>
              <w:t>排气筒，</w:t>
            </w:r>
            <w:r>
              <w:rPr>
                <w:rFonts w:hint="eastAsia" w:ascii="Times New Roman" w:hAnsi="Times New Roman"/>
                <w:color w:val="auto"/>
                <w:sz w:val="21"/>
              </w:rPr>
              <w:t>20</w:t>
            </w:r>
            <w:r>
              <w:rPr>
                <w:rFonts w:ascii="Times New Roman" w:hAnsi="Times New Roman"/>
                <w:color w:val="auto"/>
                <w:sz w:val="21"/>
              </w:rPr>
              <w:t>m</w:t>
            </w:r>
          </w:p>
        </w:tc>
        <w:tc>
          <w:tcPr>
            <w:tcW w:w="107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0.016</w:t>
            </w:r>
          </w:p>
        </w:tc>
        <w:tc>
          <w:tcPr>
            <w:tcW w:w="1134"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0.0020</w:t>
            </w:r>
          </w:p>
        </w:tc>
        <w:tc>
          <w:tcPr>
            <w:tcW w:w="12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0.67</w:t>
            </w:r>
          </w:p>
        </w:tc>
        <w:tc>
          <w:tcPr>
            <w:tcW w:w="85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c>
          <w:tcPr>
            <w:tcW w:w="116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r>
    </w:tbl>
    <w:p>
      <w:pPr>
        <w:ind w:firstLine="0" w:firstLineChars="0"/>
        <w:rPr>
          <w:rFonts w:ascii="Times New Roman" w:hAnsi="Times New Roman"/>
          <w:color w:val="auto"/>
        </w:rPr>
      </w:pPr>
    </w:p>
    <w:p>
      <w:pPr>
        <w:ind w:firstLine="0" w:firstLineChars="0"/>
        <w:rPr>
          <w:rFonts w:ascii="Times New Roman" w:hAnsi="Times New Roman"/>
          <w:color w:val="auto"/>
        </w:rPr>
        <w:sectPr>
          <w:pgSz w:w="16838" w:h="11906" w:orient="landscape"/>
          <w:pgMar w:top="1797" w:right="1440" w:bottom="1797" w:left="1440" w:header="851" w:footer="992" w:gutter="0"/>
          <w:cols w:space="720" w:num="1"/>
          <w:docGrid w:linePitch="326" w:charSpace="0"/>
        </w:sectPr>
      </w:pPr>
    </w:p>
    <w:p>
      <w:pPr>
        <w:ind w:firstLine="480"/>
        <w:rPr>
          <w:rFonts w:ascii="Times New Roman" w:hAnsi="Times New Roman"/>
          <w:color w:val="auto"/>
        </w:rPr>
      </w:pPr>
      <w:r>
        <w:rPr>
          <w:rFonts w:hint="eastAsia" w:ascii="Times New Roman" w:hAnsi="Times New Roman"/>
          <w:color w:val="auto"/>
        </w:rPr>
        <w:t>单位产品达标排放说明：</w:t>
      </w:r>
    </w:p>
    <w:p>
      <w:pPr>
        <w:ind w:firstLine="480"/>
        <w:rPr>
          <w:rFonts w:ascii="Times New Roman" w:hAnsi="Times New Roman"/>
          <w:color w:val="auto"/>
        </w:rPr>
      </w:pPr>
      <w:r>
        <w:rPr>
          <w:rFonts w:hint="eastAsia" w:ascii="Times New Roman" w:hAnsi="Times New Roman"/>
          <w:color w:val="auto"/>
        </w:rPr>
        <w:t>根据计算，本项目非甲烷总烃排放量为1.972t/a，产能为年产3.2万吨废塑料，故单位产品非甲烷总烃排放量为0.06</w:t>
      </w:r>
      <w:r>
        <w:rPr>
          <w:rFonts w:ascii="Times New Roman" w:hAnsi="Times New Roman"/>
          <w:color w:val="auto"/>
        </w:rPr>
        <w:t xml:space="preserve"> kg/t产品</w:t>
      </w:r>
      <w:r>
        <w:rPr>
          <w:rFonts w:hint="eastAsia" w:ascii="Times New Roman" w:hAnsi="Times New Roman"/>
          <w:color w:val="auto"/>
        </w:rPr>
        <w:t>，满足单位产品达标排放要求（0.3</w:t>
      </w:r>
      <w:r>
        <w:rPr>
          <w:rFonts w:ascii="Times New Roman" w:hAnsi="Times New Roman"/>
          <w:color w:val="auto"/>
        </w:rPr>
        <w:t xml:space="preserve"> kg/t产品</w:t>
      </w:r>
      <w:r>
        <w:rPr>
          <w:rFonts w:hint="eastAsia" w:ascii="Times New Roman" w:hAnsi="Times New Roman"/>
          <w:color w:val="auto"/>
        </w:rPr>
        <w:t>）。</w:t>
      </w:r>
    </w:p>
    <w:p>
      <w:pPr>
        <w:ind w:firstLine="464"/>
        <w:rPr>
          <w:rFonts w:ascii="Times New Roman" w:hAnsi="Times New Roman"/>
          <w:color w:val="auto"/>
          <w:spacing w:val="-4"/>
        </w:rPr>
      </w:pPr>
      <w:r>
        <w:rPr>
          <w:rFonts w:ascii="Times New Roman" w:hAnsi="Times New Roman"/>
          <w:color w:val="auto"/>
          <w:spacing w:val="-4"/>
        </w:rPr>
        <w:t>（</w:t>
      </w:r>
      <w:r>
        <w:rPr>
          <w:rFonts w:hint="eastAsia" w:ascii="Times New Roman" w:hAnsi="Times New Roman"/>
          <w:color w:val="auto"/>
          <w:spacing w:val="-4"/>
        </w:rPr>
        <w:t>2</w:t>
      </w:r>
      <w:r>
        <w:rPr>
          <w:rFonts w:ascii="Times New Roman" w:hAnsi="Times New Roman"/>
          <w:color w:val="auto"/>
          <w:spacing w:val="-4"/>
        </w:rPr>
        <w:t>）臭气</w:t>
      </w:r>
    </w:p>
    <w:p>
      <w:pPr>
        <w:ind w:firstLine="480"/>
        <w:rPr>
          <w:rFonts w:ascii="Times New Roman" w:hAnsi="Times New Roman"/>
          <w:color w:val="auto"/>
        </w:rPr>
      </w:pPr>
      <w:r>
        <w:rPr>
          <w:rFonts w:ascii="Times New Roman" w:hAnsi="Times New Roman"/>
          <w:color w:val="auto"/>
        </w:rPr>
        <w:t>根据与同类企业的对比分析可知，塑料制品行业在塑料加热生产过程中会产生异味。本项目造粒车间中废塑料加热期间也难以避免会产生少量臭气，其组成成分多为上述挥发性单体有机气体</w:t>
      </w:r>
      <w:r>
        <w:rPr>
          <w:rFonts w:hint="eastAsia" w:ascii="Times New Roman" w:hAnsi="Times New Roman"/>
          <w:color w:val="auto"/>
        </w:rPr>
        <w:t>，臭气产生量较少，故仅做简单分析。</w:t>
      </w:r>
    </w:p>
    <w:p>
      <w:pPr>
        <w:ind w:firstLine="480"/>
        <w:rPr>
          <w:rFonts w:ascii="Times New Roman" w:hAnsi="Times New Roman"/>
          <w:color w:val="auto"/>
        </w:rPr>
      </w:pPr>
      <w:r>
        <w:rPr>
          <w:rFonts w:hint="eastAsia" w:ascii="Times New Roman" w:hAnsi="Times New Roman"/>
          <w:color w:val="auto"/>
        </w:rPr>
        <w:t>（3）粉尘</w:t>
      </w:r>
    </w:p>
    <w:p>
      <w:pPr>
        <w:ind w:firstLine="480"/>
        <w:rPr>
          <w:rFonts w:ascii="Times New Roman" w:hAnsi="Times New Roman"/>
          <w:color w:val="auto"/>
        </w:rPr>
      </w:pPr>
      <w:r>
        <w:rPr>
          <w:rFonts w:hint="eastAsia" w:ascii="Times New Roman" w:hAnsi="Times New Roman"/>
          <w:color w:val="auto"/>
        </w:rPr>
        <w:t>本项目破碎工作时处于密闭状态，外逸粉尘较少，根据对生产规模相近的同类型企业类比可知，本项目破碎粉尘产生量约为原料用量的</w:t>
      </w:r>
      <w:r>
        <w:rPr>
          <w:rFonts w:ascii="Times New Roman" w:hAnsi="Times New Roman"/>
          <w:color w:val="auto"/>
        </w:rPr>
        <w:t xml:space="preserve"> 0.05%。本项目需破碎的塑料原料</w:t>
      </w:r>
      <w:r>
        <w:rPr>
          <w:rFonts w:hint="eastAsia" w:ascii="Times New Roman" w:hAnsi="Times New Roman"/>
          <w:color w:val="auto"/>
        </w:rPr>
        <w:t>约</w:t>
      </w:r>
      <w:r>
        <w:rPr>
          <w:rFonts w:ascii="Times New Roman" w:hAnsi="Times New Roman"/>
          <w:color w:val="auto"/>
        </w:rPr>
        <w:t xml:space="preserve"> </w:t>
      </w:r>
      <w:r>
        <w:rPr>
          <w:rFonts w:hint="eastAsia" w:ascii="Times New Roman" w:hAnsi="Times New Roman"/>
          <w:color w:val="auto"/>
        </w:rPr>
        <w:t>250</w:t>
      </w:r>
      <w:r>
        <w:rPr>
          <w:rFonts w:ascii="Times New Roman" w:hAnsi="Times New Roman"/>
          <w:color w:val="auto"/>
        </w:rPr>
        <w:t>00t/a，则粉尘产生速率为 1.</w:t>
      </w:r>
      <w:r>
        <w:rPr>
          <w:rFonts w:hint="eastAsia" w:ascii="Times New Roman" w:hAnsi="Times New Roman"/>
          <w:color w:val="auto"/>
        </w:rPr>
        <w:t>578</w:t>
      </w:r>
      <w:r>
        <w:rPr>
          <w:rFonts w:ascii="Times New Roman" w:hAnsi="Times New Roman"/>
          <w:color w:val="auto"/>
        </w:rPr>
        <w:t xml:space="preserve">kg/h，产生量为 </w:t>
      </w:r>
      <w:r>
        <w:rPr>
          <w:rFonts w:hint="eastAsia" w:ascii="Times New Roman" w:hAnsi="Times New Roman"/>
          <w:color w:val="auto"/>
        </w:rPr>
        <w:t>12.5</w:t>
      </w:r>
      <w:r>
        <w:rPr>
          <w:rFonts w:ascii="Times New Roman" w:hAnsi="Times New Roman"/>
          <w:color w:val="auto"/>
        </w:rPr>
        <w:t>t/a，粉尘收集经布袋除尘处理后</w:t>
      </w:r>
      <w:r>
        <w:rPr>
          <w:rFonts w:hint="eastAsia" w:ascii="Times New Roman" w:hAnsi="Times New Roman"/>
          <w:color w:val="auto"/>
        </w:rPr>
        <w:t>高空排放（</w:t>
      </w:r>
      <w:r>
        <w:rPr>
          <w:rFonts w:ascii="Times New Roman" w:hAnsi="Times New Roman"/>
          <w:color w:val="auto"/>
        </w:rPr>
        <w:t>2</w:t>
      </w:r>
      <w:r>
        <w:rPr>
          <w:rFonts w:hint="eastAsia" w:ascii="Times New Roman" w:hAnsi="Times New Roman"/>
          <w:color w:val="auto"/>
        </w:rPr>
        <w:t>0</w:t>
      </w:r>
      <w:r>
        <w:rPr>
          <w:rFonts w:ascii="Times New Roman" w:hAnsi="Times New Roman"/>
          <w:color w:val="auto"/>
        </w:rPr>
        <w:t>m），废气收集率不小于 85%，除尘效率不低于 9</w:t>
      </w:r>
      <w:r>
        <w:rPr>
          <w:rFonts w:hint="eastAsia" w:ascii="Times New Roman" w:hAnsi="Times New Roman"/>
          <w:color w:val="auto"/>
        </w:rPr>
        <w:t>9</w:t>
      </w:r>
      <w:r>
        <w:rPr>
          <w:rFonts w:ascii="Times New Roman" w:hAnsi="Times New Roman"/>
          <w:color w:val="auto"/>
        </w:rPr>
        <w:t>%。集气罩设置时要求</w:t>
      </w:r>
      <w:r>
        <w:rPr>
          <w:rFonts w:hint="eastAsia" w:ascii="Times New Roman" w:hAnsi="Times New Roman"/>
          <w:color w:val="auto"/>
        </w:rPr>
        <w:t>超出挤出口工段</w:t>
      </w:r>
      <w:r>
        <w:rPr>
          <w:rFonts w:ascii="Times New Roman" w:hAnsi="Times New Roman"/>
          <w:color w:val="auto"/>
        </w:rPr>
        <w:t xml:space="preserve"> 10-20cm，集气罩进气风速不低于 0.5m/s，以确保废气的收集效率能达</w:t>
      </w:r>
      <w:r>
        <w:rPr>
          <w:rFonts w:hint="eastAsia" w:ascii="Times New Roman" w:hAnsi="Times New Roman"/>
          <w:color w:val="auto"/>
        </w:rPr>
        <w:t>到</w:t>
      </w:r>
      <w:r>
        <w:rPr>
          <w:rFonts w:ascii="Times New Roman" w:hAnsi="Times New Roman"/>
          <w:color w:val="auto"/>
        </w:rPr>
        <w:t xml:space="preserve"> 85%以上。本项目共设置 2 台破碎机，每台设备集气罩面积约为 1.68m</w:t>
      </w:r>
      <w:r>
        <w:rPr>
          <w:rFonts w:ascii="Times New Roman" w:hAnsi="Times New Roman"/>
          <w:color w:val="auto"/>
          <w:vertAlign w:val="superscript"/>
        </w:rPr>
        <w:t>2</w:t>
      </w:r>
      <w:r>
        <w:rPr>
          <w:rFonts w:ascii="Times New Roman" w:hAnsi="Times New Roman"/>
          <w:color w:val="auto"/>
        </w:rPr>
        <w:t>（1.2m×1.4m），</w:t>
      </w:r>
      <w:r>
        <w:rPr>
          <w:rFonts w:hint="eastAsia" w:ascii="Times New Roman" w:hAnsi="Times New Roman"/>
          <w:color w:val="auto"/>
        </w:rPr>
        <w:t>即每台设备所需的集气风量为</w:t>
      </w:r>
      <w:r>
        <w:rPr>
          <w:rFonts w:ascii="Times New Roman" w:hAnsi="Times New Roman"/>
          <w:color w:val="auto"/>
        </w:rPr>
        <w:t xml:space="preserve"> 3000m</w:t>
      </w:r>
      <w:r>
        <w:rPr>
          <w:rFonts w:ascii="Times New Roman" w:hAnsi="Times New Roman"/>
          <w:color w:val="auto"/>
          <w:vertAlign w:val="superscript"/>
        </w:rPr>
        <w:t>3</w:t>
      </w:r>
      <w:r>
        <w:rPr>
          <w:rFonts w:ascii="Times New Roman" w:hAnsi="Times New Roman"/>
          <w:color w:val="auto"/>
        </w:rPr>
        <w:t>/h，总风量为 6000m</w:t>
      </w:r>
      <w:r>
        <w:rPr>
          <w:rFonts w:ascii="Times New Roman" w:hAnsi="Times New Roman"/>
          <w:color w:val="auto"/>
          <w:vertAlign w:val="superscript"/>
        </w:rPr>
        <w:t>3</w:t>
      </w:r>
      <w:r>
        <w:rPr>
          <w:rFonts w:ascii="Times New Roman" w:hAnsi="Times New Roman"/>
          <w:color w:val="auto"/>
        </w:rPr>
        <w:t>/h</w:t>
      </w:r>
      <w:r>
        <w:rPr>
          <w:rFonts w:hint="eastAsia" w:ascii="Times New Roman" w:hAnsi="Times New Roman"/>
          <w:color w:val="auto"/>
        </w:rPr>
        <w:t>，破碎工时以每天16小时计</w:t>
      </w:r>
      <w:r>
        <w:rPr>
          <w:rFonts w:ascii="Times New Roman" w:hAnsi="Times New Roman"/>
          <w:color w:val="auto"/>
        </w:rPr>
        <w:t>。</w:t>
      </w:r>
      <w:r>
        <w:rPr>
          <w:rFonts w:hint="eastAsia" w:ascii="Times New Roman" w:hAnsi="Times New Roman"/>
          <w:color w:val="auto"/>
        </w:rPr>
        <w:t>项目破碎作业时车间密闭，故约80%粉尘可沉降在车间内，约20%粉尘最终以无组织形式排放。则本项目破碎过程产生的颗粒物具体产排情况详见表3-11。</w:t>
      </w:r>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color w:val="auto"/>
        </w:rPr>
        <w:t xml:space="preserve">  </w:t>
      </w:r>
      <w:r>
        <w:rPr>
          <w:rFonts w:hint="eastAsia" w:ascii="Times New Roman" w:hAnsi="Times New Roman"/>
          <w:b/>
          <w:color w:val="auto"/>
          <w:sz w:val="21"/>
        </w:rPr>
        <w:t xml:space="preserve">  本项目破碎粉尘的产排情况</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92"/>
        <w:gridCol w:w="851"/>
        <w:gridCol w:w="850"/>
        <w:gridCol w:w="993"/>
        <w:gridCol w:w="992"/>
        <w:gridCol w:w="850"/>
        <w:gridCol w:w="1418"/>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污染物</w:t>
            </w:r>
          </w:p>
        </w:tc>
        <w:tc>
          <w:tcPr>
            <w:tcW w:w="99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产生工序</w:t>
            </w:r>
          </w:p>
        </w:tc>
        <w:tc>
          <w:tcPr>
            <w:tcW w:w="851"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产生量</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283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有组织排放</w:t>
            </w:r>
          </w:p>
        </w:tc>
        <w:tc>
          <w:tcPr>
            <w:tcW w:w="2268"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无组织排放</w:t>
            </w:r>
          </w:p>
        </w:tc>
        <w:tc>
          <w:tcPr>
            <w:tcW w:w="765"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9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5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5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排放量</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99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排放速率kg/h</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排放浓度mg/m</w:t>
            </w:r>
            <w:r>
              <w:rPr>
                <w:rFonts w:ascii="Times New Roman" w:hAnsi="Times New Roman"/>
                <w:color w:val="auto"/>
                <w:sz w:val="21"/>
                <w:vertAlign w:val="superscript"/>
              </w:rPr>
              <w:t>3</w:t>
            </w:r>
          </w:p>
        </w:tc>
        <w:tc>
          <w:tcPr>
            <w:tcW w:w="85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排放量</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141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排放速率</w:t>
            </w:r>
          </w:p>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kg/h</w:t>
            </w:r>
          </w:p>
        </w:tc>
        <w:tc>
          <w:tcPr>
            <w:tcW w:w="7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w:t>
            </w:r>
          </w:p>
        </w:tc>
        <w:tc>
          <w:tcPr>
            <w:tcW w:w="85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12.5</w:t>
            </w:r>
          </w:p>
        </w:tc>
        <w:tc>
          <w:tcPr>
            <w:tcW w:w="85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0.106</w:t>
            </w:r>
          </w:p>
        </w:tc>
        <w:tc>
          <w:tcPr>
            <w:tcW w:w="99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0.013</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2.17</w:t>
            </w:r>
          </w:p>
        </w:tc>
        <w:tc>
          <w:tcPr>
            <w:tcW w:w="85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0.375</w:t>
            </w:r>
          </w:p>
        </w:tc>
        <w:tc>
          <w:tcPr>
            <w:tcW w:w="141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0.071</w:t>
            </w:r>
          </w:p>
        </w:tc>
        <w:tc>
          <w:tcPr>
            <w:tcW w:w="76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2#排气筒</w:t>
            </w:r>
          </w:p>
        </w:tc>
      </w:tr>
    </w:tbl>
    <w:p>
      <w:pPr>
        <w:ind w:firstLine="480"/>
        <w:rPr>
          <w:rFonts w:ascii="Times New Roman" w:hAnsi="Times New Roman"/>
          <w:color w:val="auto"/>
        </w:rPr>
      </w:pPr>
      <w:r>
        <w:rPr>
          <w:rFonts w:hint="eastAsia" w:ascii="Times New Roman" w:hAnsi="Times New Roman"/>
          <w:color w:val="auto"/>
        </w:rPr>
        <w:t>（4）造粒油烟</w:t>
      </w:r>
    </w:p>
    <w:p>
      <w:pPr>
        <w:ind w:firstLine="480"/>
        <w:rPr>
          <w:rFonts w:ascii="Times New Roman" w:hAnsi="Times New Roman"/>
          <w:color w:val="auto"/>
        </w:rPr>
      </w:pPr>
      <w:r>
        <w:rPr>
          <w:rFonts w:hint="eastAsia" w:ascii="Times New Roman" w:hAnsi="Times New Roman"/>
          <w:color w:val="auto"/>
        </w:rPr>
        <w:t>本项目原料在熔融造粒过程</w:t>
      </w:r>
      <w:r>
        <w:rPr>
          <w:rFonts w:ascii="Times New Roman" w:hAnsi="Times New Roman"/>
          <w:color w:val="auto"/>
        </w:rPr>
        <w:t>中，</w:t>
      </w:r>
      <w:r>
        <w:rPr>
          <w:rFonts w:hint="eastAsia" w:ascii="Times New Roman" w:hAnsi="Times New Roman"/>
          <w:color w:val="auto"/>
        </w:rPr>
        <w:t>会产生少量油烟，主要成分为非甲烷总烃，不再重复计算，本环评要求本项目造粒油烟与其余造粒废气一起进入</w:t>
      </w:r>
      <w:r>
        <w:rPr>
          <w:rFonts w:ascii="Times New Roman" w:hAnsi="Times New Roman"/>
          <w:color w:val="auto"/>
        </w:rPr>
        <w:t>喷射塔+</w:t>
      </w:r>
      <w:r>
        <w:rPr>
          <w:rFonts w:hint="eastAsia" w:ascii="Times New Roman" w:hAnsi="Times New Roman"/>
          <w:color w:val="auto"/>
        </w:rPr>
        <w:t>油烟净化器+</w:t>
      </w:r>
      <w:r>
        <w:rPr>
          <w:rFonts w:ascii="Times New Roman" w:hAnsi="Times New Roman"/>
          <w:color w:val="auto"/>
        </w:rPr>
        <w:t>UV光氧+活性炭装置</w:t>
      </w:r>
      <w:r>
        <w:rPr>
          <w:rFonts w:hint="eastAsia" w:ascii="Times New Roman" w:hAnsi="Times New Roman"/>
          <w:color w:val="auto"/>
        </w:rPr>
        <w:t>净化后通过20m高的排气筒高空排放。</w:t>
      </w:r>
    </w:p>
    <w:p>
      <w:pPr>
        <w:ind w:firstLine="480"/>
        <w:rPr>
          <w:rFonts w:ascii="Times New Roman" w:hAnsi="Times New Roman"/>
          <w:color w:val="auto"/>
        </w:rPr>
      </w:pPr>
      <w:r>
        <w:rPr>
          <w:rFonts w:hint="eastAsia" w:ascii="Times New Roman" w:hAnsi="Times New Roman"/>
          <w:color w:val="auto"/>
        </w:rPr>
        <w:t>（5）</w:t>
      </w:r>
      <w:r>
        <w:rPr>
          <w:rFonts w:ascii="Times New Roman" w:hAnsi="Times New Roman"/>
          <w:color w:val="auto"/>
        </w:rPr>
        <w:t>非正常工况下废气源强</w:t>
      </w:r>
    </w:p>
    <w:p>
      <w:pPr>
        <w:ind w:firstLine="480"/>
        <w:rPr>
          <w:rFonts w:ascii="Times New Roman" w:hAnsi="Times New Roman"/>
          <w:color w:val="auto"/>
        </w:rPr>
        <w:sectPr>
          <w:pgSz w:w="11906" w:h="16838"/>
          <w:pgMar w:top="1440" w:right="1797" w:bottom="1440" w:left="1797" w:header="851" w:footer="992" w:gutter="0"/>
          <w:cols w:space="720" w:num="1"/>
          <w:docGrid w:linePitch="326" w:charSpace="0"/>
        </w:sectPr>
      </w:pPr>
      <w:r>
        <w:rPr>
          <w:rFonts w:ascii="Times New Roman" w:hAnsi="Times New Roman"/>
          <w:color w:val="auto"/>
        </w:rPr>
        <w:t>本环评考虑造粒有机废气收集治理措施未正常运行(指</w:t>
      </w:r>
      <w:r>
        <w:rPr>
          <w:rFonts w:ascii="Times New Roman" w:hAnsi="Times New Roman" w:cs="Arial"/>
          <w:color w:val="auto"/>
          <w:shd w:val="clear" w:color="auto" w:fill="FFFFFF"/>
        </w:rPr>
        <w:t>如点火开炉、设备检修、污染物排放控制指标不达标、工艺设备运转异常等情况下</w:t>
      </w:r>
      <w:r>
        <w:rPr>
          <w:rFonts w:hint="eastAsia" w:ascii="Times New Roman" w:hAnsi="Times New Roman" w:cs="Arial"/>
          <w:color w:val="auto"/>
          <w:shd w:val="clear" w:color="auto" w:fill="FFFFFF"/>
        </w:rPr>
        <w:t>无组织</w:t>
      </w:r>
      <w:r>
        <w:rPr>
          <w:rFonts w:ascii="Times New Roman" w:hAnsi="Times New Roman" w:cs="Arial"/>
          <w:color w:val="auto"/>
          <w:shd w:val="clear" w:color="auto" w:fill="FFFFFF"/>
        </w:rPr>
        <w:t>的排放</w:t>
      </w:r>
      <w:r>
        <w:rPr>
          <w:rFonts w:ascii="Times New Roman" w:hAnsi="Times New Roman"/>
          <w:color w:val="auto"/>
        </w:rPr>
        <w:t>)，导致废气按产生量无组织排放，该情况视为非正常工况，</w:t>
      </w:r>
      <w:r>
        <w:rPr>
          <w:rFonts w:hint="eastAsia" w:ascii="Times New Roman" w:hAnsi="Times New Roman"/>
          <w:color w:val="auto"/>
        </w:rPr>
        <w:t>本环评以最不利情况，计</w:t>
      </w:r>
      <w:r>
        <w:rPr>
          <w:rFonts w:ascii="Times New Roman" w:hAnsi="Times New Roman"/>
          <w:color w:val="auto"/>
        </w:rPr>
        <w:t>废气收集治理措施未正常运行</w:t>
      </w:r>
      <w:r>
        <w:rPr>
          <w:rFonts w:hint="eastAsia" w:ascii="Times New Roman" w:hAnsi="Times New Roman"/>
          <w:color w:val="auto"/>
        </w:rPr>
        <w:t>全部以无组织形式排放考虑，即</w:t>
      </w:r>
      <w:r>
        <w:rPr>
          <w:rFonts w:ascii="Times New Roman" w:hAnsi="Times New Roman"/>
          <w:color w:val="auto"/>
        </w:rPr>
        <w:t>则非正常工况下，</w:t>
      </w:r>
      <w:r>
        <w:rPr>
          <w:rFonts w:hint="eastAsia" w:ascii="Times New Roman" w:hAnsi="Times New Roman"/>
          <w:color w:val="auto"/>
        </w:rPr>
        <w:t>车间</w:t>
      </w:r>
      <w:r>
        <w:rPr>
          <w:rFonts w:ascii="Times New Roman" w:hAnsi="Times New Roman"/>
          <w:color w:val="auto"/>
        </w:rPr>
        <w:t>有机废气排放速率为</w:t>
      </w:r>
      <w:r>
        <w:rPr>
          <w:rFonts w:hint="eastAsia" w:ascii="Times New Roman" w:hAnsi="Times New Roman"/>
          <w:color w:val="auto"/>
        </w:rPr>
        <w:t>详见表3-9</w:t>
      </w:r>
      <w:r>
        <w:rPr>
          <w:rFonts w:ascii="Times New Roman" w:hAnsi="Times New Roman"/>
          <w:color w:val="auto"/>
        </w:rPr>
        <w:t>。</w:t>
      </w:r>
    </w:p>
    <w:p>
      <w:pPr>
        <w:pStyle w:val="4"/>
        <w:numPr>
          <w:ilvl w:val="0"/>
          <w:numId w:val="19"/>
        </w:numPr>
        <w:spacing w:beforeLines="0"/>
        <w:rPr>
          <w:rFonts w:ascii="Times New Roman" w:hAnsi="Times New Roman"/>
          <w:color w:val="auto"/>
          <w:sz w:val="24"/>
          <w:szCs w:val="24"/>
        </w:rPr>
      </w:pPr>
      <w:r>
        <w:rPr>
          <w:rFonts w:ascii="Times New Roman" w:hAnsi="Times New Roman"/>
          <w:color w:val="auto"/>
          <w:sz w:val="24"/>
          <w:szCs w:val="24"/>
        </w:rPr>
        <w:t>废水污染源强分析</w:t>
      </w:r>
    </w:p>
    <w:p>
      <w:pPr>
        <w:adjustRightInd w:val="0"/>
        <w:snapToGrid w:val="0"/>
        <w:ind w:firstLine="480"/>
        <w:rPr>
          <w:rFonts w:ascii="Times New Roman" w:hAnsi="Times New Roman"/>
          <w:color w:val="auto"/>
        </w:rPr>
      </w:pPr>
      <w:r>
        <w:rPr>
          <w:rFonts w:hint="eastAsia" w:ascii="Times New Roman" w:hAnsi="Times New Roman"/>
          <w:color w:val="auto"/>
        </w:rPr>
        <w:t>本项目废水主要为冷却水和生活污水。</w:t>
      </w:r>
    </w:p>
    <w:p>
      <w:pPr>
        <w:adjustRightInd w:val="0"/>
        <w:snapToGrid w:val="0"/>
        <w:ind w:firstLine="480"/>
        <w:rPr>
          <w:rFonts w:ascii="Times New Roman" w:hAnsi="Times New Roman"/>
          <w:color w:val="auto"/>
        </w:rPr>
      </w:pPr>
      <w:r>
        <w:rPr>
          <w:rFonts w:hint="eastAsia" w:ascii="Times New Roman" w:hAnsi="Times New Roman"/>
          <w:color w:val="auto"/>
        </w:rPr>
        <w:t>（1）生活污水</w:t>
      </w:r>
    </w:p>
    <w:p>
      <w:pPr>
        <w:adjustRightInd w:val="0"/>
        <w:snapToGrid w:val="0"/>
        <w:ind w:firstLine="480"/>
        <w:rPr>
          <w:rFonts w:ascii="Times New Roman" w:hAnsi="Times New Roman"/>
          <w:color w:val="auto"/>
        </w:rPr>
      </w:pPr>
      <w:r>
        <w:rPr>
          <w:rFonts w:hint="eastAsia" w:ascii="Times New Roman" w:hAnsi="Times New Roman"/>
          <w:color w:val="auto"/>
        </w:rPr>
        <w:t>本项目生活污水主要来自员工日常生活用水，本项目劳动定员54人，厂区内是不设食宿，按人均50L/d，年工作日330d，则生活用水量891t/a，排放系数按0.8计，则生活污水产生量712.8t/a。根据以往的生活污水调查资料，生活污水中的浓度为COD</w:t>
      </w:r>
      <w:r>
        <w:rPr>
          <w:rFonts w:hint="eastAsia" w:ascii="Times New Roman" w:hAnsi="Times New Roman"/>
          <w:color w:val="auto"/>
          <w:vertAlign w:val="subscript"/>
        </w:rPr>
        <w:t>Cr</w:t>
      </w:r>
      <w:r>
        <w:rPr>
          <w:rFonts w:hint="eastAsia" w:ascii="Times New Roman" w:hAnsi="Times New Roman"/>
          <w:color w:val="auto"/>
        </w:rPr>
        <w:t>500mg/L、氨氮35mg/L，则COD</w:t>
      </w:r>
      <w:r>
        <w:rPr>
          <w:rFonts w:hint="eastAsia" w:ascii="Times New Roman" w:hAnsi="Times New Roman"/>
          <w:color w:val="auto"/>
          <w:vertAlign w:val="subscript"/>
        </w:rPr>
        <w:t>Cr</w:t>
      </w:r>
      <w:r>
        <w:rPr>
          <w:rFonts w:hint="eastAsia" w:ascii="Times New Roman" w:hAnsi="Times New Roman"/>
          <w:color w:val="auto"/>
        </w:rPr>
        <w:t>及氨氮产生量为0.356t/a，0.025t/a。</w:t>
      </w:r>
    </w:p>
    <w:p>
      <w:pPr>
        <w:adjustRightInd w:val="0"/>
        <w:snapToGrid w:val="0"/>
        <w:ind w:firstLine="480"/>
        <w:rPr>
          <w:rFonts w:ascii="Times New Roman" w:hAnsi="Times New Roman"/>
          <w:color w:val="auto"/>
        </w:rPr>
      </w:pP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污水处理厂提标工程尚未验收完成，故其近期出水执行《城镇污水处理厂污染物排放标准》（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）二级排放标准，远期待验收完成执行《城镇污水处理厂污染物排放标准》（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）一级A标准。</w:t>
      </w:r>
    </w:p>
    <w:p>
      <w:pPr>
        <w:adjustRightInd w:val="0"/>
        <w:snapToGrid w:val="0"/>
        <w:ind w:firstLine="480"/>
        <w:rPr>
          <w:rFonts w:ascii="Times New Roman" w:hAnsi="Times New Roman"/>
          <w:color w:val="auto"/>
        </w:rPr>
      </w:pPr>
      <w:r>
        <w:rPr>
          <w:rFonts w:hint="eastAsia" w:ascii="Times New Roman" w:hAnsi="Times New Roman"/>
          <w:color w:val="auto"/>
        </w:rPr>
        <w:t>（2）造粒冷却水</w:t>
      </w:r>
    </w:p>
    <w:p>
      <w:pPr>
        <w:ind w:firstLine="480"/>
        <w:rPr>
          <w:rFonts w:ascii="Times New Roman" w:hAnsi="Times New Roman"/>
          <w:color w:val="auto"/>
        </w:rPr>
      </w:pPr>
      <w:r>
        <w:rPr>
          <w:rFonts w:hint="eastAsia" w:ascii="Times New Roman" w:hAnsi="Times New Roman"/>
          <w:color w:val="auto"/>
        </w:rPr>
        <w:t>本项目造粒流水线在原料经熔融挤出后需进入水槽冷却，以便后续加工。每个</w:t>
      </w:r>
      <w:r>
        <w:rPr>
          <w:rFonts w:ascii="Times New Roman" w:hAnsi="Times New Roman"/>
          <w:color w:val="auto"/>
        </w:rPr>
        <w:t>生</w:t>
      </w:r>
      <w:r>
        <w:rPr>
          <w:rFonts w:hint="eastAsia" w:ascii="Times New Roman" w:hAnsi="Times New Roman"/>
          <w:color w:val="auto"/>
        </w:rPr>
        <w:t>产线（共6个）冷却水槽水量约为</w:t>
      </w:r>
      <w:r>
        <w:rPr>
          <w:rFonts w:ascii="Times New Roman" w:hAnsi="Times New Roman"/>
          <w:color w:val="auto"/>
        </w:rPr>
        <w:t xml:space="preserve"> 0.</w:t>
      </w:r>
      <w:r>
        <w:rPr>
          <w:rFonts w:hint="eastAsia" w:ascii="Times New Roman" w:hAnsi="Times New Roman"/>
          <w:color w:val="auto"/>
        </w:rPr>
        <w:t>63</w:t>
      </w:r>
      <w:r>
        <w:rPr>
          <w:rFonts w:ascii="Times New Roman" w:hAnsi="Times New Roman"/>
          <w:color w:val="auto"/>
        </w:rPr>
        <w:t xml:space="preserve">t （冷却水槽尺寸为 </w:t>
      </w:r>
      <w:r>
        <w:rPr>
          <w:rFonts w:hint="eastAsia" w:ascii="Times New Roman" w:hAnsi="Times New Roman"/>
          <w:color w:val="auto"/>
        </w:rPr>
        <w:t>5</w:t>
      </w:r>
      <w:r>
        <w:rPr>
          <w:rFonts w:ascii="Times New Roman" w:hAnsi="Times New Roman"/>
          <w:color w:val="auto"/>
        </w:rPr>
        <w:t>m×0.5m×0.</w:t>
      </w:r>
      <w:r>
        <w:rPr>
          <w:rFonts w:hint="eastAsia" w:ascii="Times New Roman" w:hAnsi="Times New Roman"/>
          <w:color w:val="auto"/>
        </w:rPr>
        <w:t>28</w:t>
      </w:r>
      <w:r>
        <w:rPr>
          <w:rFonts w:ascii="Times New Roman" w:hAnsi="Times New Roman"/>
          <w:color w:val="auto"/>
        </w:rPr>
        <w:t xml:space="preserve">m，有效容积按 90%计），即本项目冷却水量为 </w:t>
      </w:r>
      <w:r>
        <w:rPr>
          <w:rFonts w:hint="eastAsia" w:ascii="Times New Roman" w:hAnsi="Times New Roman"/>
          <w:color w:val="auto"/>
        </w:rPr>
        <w:t>3.78</w:t>
      </w:r>
      <w:r>
        <w:rPr>
          <w:rFonts w:ascii="Times New Roman" w:hAnsi="Times New Roman"/>
          <w:color w:val="auto"/>
        </w:rPr>
        <w:t>t。冷却水循环使用，无外排</w:t>
      </w:r>
      <w:r>
        <w:rPr>
          <w:rFonts w:hint="eastAsia" w:ascii="Times New Roman" w:hAnsi="Times New Roman"/>
          <w:color w:val="auto"/>
        </w:rPr>
        <w:t>。另外，在冷却过程中存在一定的损耗，需定期补充清水，</w:t>
      </w:r>
      <w:r>
        <w:rPr>
          <w:rFonts w:ascii="Times New Roman" w:hAnsi="Times New Roman"/>
          <w:color w:val="auto"/>
        </w:rPr>
        <w:t>6 条生产</w:t>
      </w:r>
      <w:r>
        <w:rPr>
          <w:rFonts w:hint="eastAsia" w:ascii="Times New Roman" w:hAnsi="Times New Roman"/>
          <w:color w:val="auto"/>
        </w:rPr>
        <w:t>线的冷却水补充量约为</w:t>
      </w:r>
      <w:r>
        <w:rPr>
          <w:rFonts w:ascii="Times New Roman" w:hAnsi="Times New Roman"/>
          <w:color w:val="auto"/>
        </w:rPr>
        <w:t xml:space="preserve"> 0.2t/d、66t/a。</w:t>
      </w:r>
    </w:p>
    <w:p>
      <w:pPr>
        <w:ind w:firstLine="480"/>
        <w:rPr>
          <w:rFonts w:ascii="Times New Roman" w:hAnsi="Times New Roman"/>
          <w:color w:val="auto"/>
        </w:rPr>
      </w:pPr>
      <w:r>
        <w:rPr>
          <w:rFonts w:hint="eastAsia" w:ascii="Times New Roman" w:hAnsi="Times New Roman"/>
          <w:color w:val="auto"/>
        </w:rPr>
        <w:t>（3）喷射塔废水</w:t>
      </w:r>
    </w:p>
    <w:p>
      <w:pPr>
        <w:ind w:firstLine="480"/>
        <w:rPr>
          <w:rFonts w:ascii="Times New Roman" w:hAnsi="Times New Roman"/>
          <w:color w:val="auto"/>
        </w:rPr>
      </w:pPr>
      <w:r>
        <w:rPr>
          <w:rFonts w:hint="eastAsia" w:ascii="Times New Roman" w:hAnsi="Times New Roman"/>
          <w:color w:val="auto"/>
        </w:rPr>
        <w:t>本项目熔融挤出时有少量氨气排放，经楼顶喷射塔吸收后排放。喷射废水循环使用，定期补充新鲜水，循环水量约0.2t/a，新鲜水补充量为0.01t/d，3.3t/a，COD浓度约100mg/l，氨氮15 mg/l。</w:t>
      </w:r>
    </w:p>
    <w:p>
      <w:pPr>
        <w:ind w:firstLine="480"/>
        <w:rPr>
          <w:rFonts w:ascii="Times New Roman" w:hAnsi="Times New Roman"/>
          <w:color w:val="auto"/>
        </w:rPr>
      </w:pPr>
      <w:r>
        <w:rPr>
          <w:rFonts w:hint="eastAsia" w:ascii="Times New Roman" w:hAnsi="Times New Roman"/>
          <w:color w:val="auto"/>
        </w:rPr>
        <w:t>（4）初期雨水</w:t>
      </w:r>
    </w:p>
    <w:p>
      <w:pPr>
        <w:ind w:firstLine="480"/>
        <w:rPr>
          <w:rFonts w:ascii="Times New Roman" w:hAnsi="Times New Roman"/>
          <w:color w:val="auto"/>
        </w:rPr>
      </w:pPr>
      <w:r>
        <w:rPr>
          <w:rFonts w:hint="eastAsia" w:ascii="Times New Roman" w:hAnsi="Times New Roman"/>
          <w:color w:val="auto"/>
        </w:rPr>
        <w:t>根据《废塑料回收与再生利用污染控制技术规范（试行）》（HJ/T364-2007）有关要求，建设项目废塑料贮存场所必须为封闭或半封闭型设施，应有防雨、防晒防渗、防尘、防扬散和防火措施，本项目建设原料贮存场所，生产装置均在车间内，半成品或产品放入车间或成品仓库内，因此本环评不考虑初期雨水。</w:t>
      </w:r>
    </w:p>
    <w:p>
      <w:pPr>
        <w:adjustRightInd w:val="0"/>
        <w:snapToGrid w:val="0"/>
        <w:ind w:firstLine="480"/>
        <w:rPr>
          <w:rFonts w:ascii="Times New Roman" w:hAnsi="Times New Roman"/>
          <w:color w:val="auto"/>
        </w:rPr>
      </w:pPr>
      <w:r>
        <w:rPr>
          <w:rFonts w:hint="eastAsia" w:ascii="Times New Roman" w:hAnsi="Times New Roman"/>
          <w:color w:val="auto"/>
        </w:rPr>
        <w:t>（5）废水汇总</w:t>
      </w:r>
    </w:p>
    <w:p>
      <w:pPr>
        <w:adjustRightInd w:val="0"/>
        <w:snapToGrid w:val="0"/>
        <w:ind w:firstLine="480"/>
        <w:rPr>
          <w:rFonts w:ascii="Times New Roman" w:hAnsi="Times New Roman"/>
          <w:color w:val="auto"/>
        </w:rPr>
      </w:pPr>
      <w:r>
        <w:rPr>
          <w:rFonts w:ascii="Times New Roman" w:hAnsi="Times New Roman"/>
          <w:color w:val="auto"/>
        </w:rPr>
        <w:t>本项目造粒冷却循环系统水循环使用不外排</w:t>
      </w:r>
      <w:r>
        <w:rPr>
          <w:rFonts w:hint="eastAsia" w:ascii="Times New Roman" w:hAnsi="Times New Roman"/>
          <w:color w:val="auto"/>
          <w:kern w:val="0"/>
          <w:szCs w:val="20"/>
        </w:rPr>
        <w:t>，定期补充新鲜水；</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p>
    <w:p>
      <w:pPr>
        <w:adjustRightInd w:val="0"/>
        <w:snapToGrid w:val="0"/>
        <w:ind w:firstLine="480"/>
        <w:rPr>
          <w:rFonts w:ascii="Times New Roman" w:hAnsi="Times New Roman"/>
          <w:color w:val="auto"/>
        </w:rPr>
      </w:pPr>
      <w:r>
        <w:rPr>
          <w:rFonts w:ascii="Times New Roman" w:hAnsi="Times New Roman"/>
          <w:color w:val="auto"/>
        </w:rPr>
        <w:t>项目</w:t>
      </w:r>
      <w:r>
        <w:rPr>
          <w:rFonts w:hint="eastAsia" w:ascii="Times New Roman" w:hAnsi="Times New Roman"/>
          <w:color w:val="auto"/>
        </w:rPr>
        <w:t>废水</w:t>
      </w:r>
      <w:r>
        <w:rPr>
          <w:rFonts w:ascii="Times New Roman" w:hAnsi="Times New Roman"/>
          <w:color w:val="auto"/>
        </w:rPr>
        <w:t>污染物产生和排放情况详见表3-</w:t>
      </w:r>
      <w:r>
        <w:rPr>
          <w:rFonts w:hint="eastAsia" w:ascii="Times New Roman" w:hAnsi="Times New Roman"/>
          <w:color w:val="auto"/>
        </w:rPr>
        <w:t>12</w:t>
      </w:r>
      <w:r>
        <w:rPr>
          <w:rFonts w:ascii="Times New Roman" w:hAnsi="Times New Roman"/>
          <w:color w:val="auto"/>
        </w:rPr>
        <w:t>。</w:t>
      </w:r>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项目废水</w:t>
      </w:r>
      <w:r>
        <w:rPr>
          <w:rFonts w:ascii="Times New Roman" w:hAnsi="Times New Roman"/>
          <w:b/>
          <w:color w:val="auto"/>
          <w:sz w:val="21"/>
        </w:rPr>
        <w:t>产生及排放情况</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749"/>
        <w:gridCol w:w="1237"/>
        <w:gridCol w:w="960"/>
        <w:gridCol w:w="1237"/>
        <w:gridCol w:w="960"/>
        <w:gridCol w:w="1237"/>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gridSpan w:val="2"/>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污染物名称</w:t>
            </w:r>
          </w:p>
        </w:tc>
        <w:tc>
          <w:tcPr>
            <w:tcW w:w="1288"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产生情况</w:t>
            </w:r>
          </w:p>
        </w:tc>
        <w:tc>
          <w:tcPr>
            <w:tcW w:w="1288" w:type="pct"/>
            <w:gridSpan w:val="2"/>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纳管情况</w:t>
            </w:r>
          </w:p>
        </w:tc>
        <w:tc>
          <w:tcPr>
            <w:tcW w:w="1284"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环境</w:t>
            </w:r>
            <w:r>
              <w:rPr>
                <w:rFonts w:ascii="Times New Roman" w:hAnsi="Times New Roman"/>
                <w:color w:val="auto"/>
                <w:sz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25"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浓度</w:t>
            </w:r>
          </w:p>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（mg/L）</w:t>
            </w:r>
          </w:p>
        </w:tc>
        <w:tc>
          <w:tcPr>
            <w:tcW w:w="563"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产生量</w:t>
            </w:r>
          </w:p>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725"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浓度</w:t>
            </w:r>
          </w:p>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（mg/L）</w:t>
            </w:r>
          </w:p>
        </w:tc>
        <w:tc>
          <w:tcPr>
            <w:tcW w:w="563"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纳管</w:t>
            </w:r>
            <w:r>
              <w:rPr>
                <w:rFonts w:ascii="Times New Roman" w:hAnsi="Times New Roman"/>
                <w:color w:val="auto"/>
                <w:sz w:val="21"/>
              </w:rPr>
              <w:t>量</w:t>
            </w:r>
          </w:p>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c>
          <w:tcPr>
            <w:tcW w:w="725"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浓度</w:t>
            </w:r>
          </w:p>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（mg/L）</w:t>
            </w:r>
          </w:p>
        </w:tc>
        <w:tc>
          <w:tcPr>
            <w:tcW w:w="559"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w:t>
            </w:r>
            <w:r>
              <w:rPr>
                <w:rFonts w:ascii="Times New Roman" w:hAnsi="Times New Roman"/>
                <w:color w:val="auto"/>
                <w:sz w:val="21"/>
              </w:rPr>
              <w:t>量</w:t>
            </w:r>
          </w:p>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生活污水</w:t>
            </w:r>
          </w:p>
        </w:tc>
        <w:tc>
          <w:tcPr>
            <w:tcW w:w="439"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水量</w:t>
            </w:r>
          </w:p>
        </w:tc>
        <w:tc>
          <w:tcPr>
            <w:tcW w:w="7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56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c>
          <w:tcPr>
            <w:tcW w:w="725"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563"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c>
          <w:tcPr>
            <w:tcW w:w="7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5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39"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p>
        </w:tc>
        <w:tc>
          <w:tcPr>
            <w:tcW w:w="7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500</w:t>
            </w:r>
          </w:p>
        </w:tc>
        <w:tc>
          <w:tcPr>
            <w:tcW w:w="56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0.356</w:t>
            </w:r>
          </w:p>
        </w:tc>
        <w:tc>
          <w:tcPr>
            <w:tcW w:w="725"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350</w:t>
            </w:r>
          </w:p>
        </w:tc>
        <w:tc>
          <w:tcPr>
            <w:tcW w:w="563"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0.249</w:t>
            </w:r>
          </w:p>
        </w:tc>
        <w:tc>
          <w:tcPr>
            <w:tcW w:w="7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100</w:t>
            </w:r>
          </w:p>
        </w:tc>
        <w:tc>
          <w:tcPr>
            <w:tcW w:w="5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39" w:type="pct"/>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7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w:t>
            </w:r>
          </w:p>
        </w:tc>
        <w:tc>
          <w:tcPr>
            <w:tcW w:w="56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c>
          <w:tcPr>
            <w:tcW w:w="725"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w:t>
            </w:r>
          </w:p>
        </w:tc>
        <w:tc>
          <w:tcPr>
            <w:tcW w:w="563"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c>
          <w:tcPr>
            <w:tcW w:w="7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25</w:t>
            </w:r>
          </w:p>
        </w:tc>
        <w:tc>
          <w:tcPr>
            <w:tcW w:w="5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0.018</w:t>
            </w:r>
          </w:p>
        </w:tc>
      </w:tr>
    </w:tbl>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项目废水污染源源强核算结果及相关参数一览表</w:t>
      </w:r>
    </w:p>
    <w:tbl>
      <w:tblPr>
        <w:tblStyle w:val="83"/>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680"/>
        <w:gridCol w:w="374"/>
        <w:gridCol w:w="758"/>
        <w:gridCol w:w="708"/>
        <w:gridCol w:w="710"/>
        <w:gridCol w:w="567"/>
        <w:gridCol w:w="425"/>
        <w:gridCol w:w="425"/>
        <w:gridCol w:w="994"/>
        <w:gridCol w:w="710"/>
        <w:gridCol w:w="954"/>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污染源</w:t>
            </w:r>
          </w:p>
        </w:tc>
        <w:tc>
          <w:tcPr>
            <w:tcW w:w="395"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w:t>
            </w:r>
          </w:p>
        </w:tc>
        <w:tc>
          <w:tcPr>
            <w:tcW w:w="1480" w:type="pct"/>
            <w:gridSpan w:val="4"/>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污染物产生</w:t>
            </w:r>
          </w:p>
        </w:tc>
        <w:tc>
          <w:tcPr>
            <w:tcW w:w="576" w:type="pct"/>
            <w:gridSpan w:val="2"/>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治理措施</w:t>
            </w:r>
          </w:p>
        </w:tc>
        <w:tc>
          <w:tcPr>
            <w:tcW w:w="1790" w:type="pct"/>
            <w:gridSpan w:val="4"/>
            <w:vAlign w:val="center"/>
          </w:tcPr>
          <w:p>
            <w:pPr>
              <w:keepNext w:val="0"/>
              <w:keepLines w:val="0"/>
              <w:suppressLineNumbers w:val="0"/>
              <w:spacing w:before="0" w:beforeAutospacing="0" w:after="0" w:afterAutospacing="0"/>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污染物排放</w:t>
            </w:r>
          </w:p>
        </w:tc>
        <w:tc>
          <w:tcPr>
            <w:tcW w:w="407" w:type="pct"/>
            <w:vAlign w:val="center"/>
          </w:tcPr>
          <w:p>
            <w:pPr>
              <w:keepNext w:val="0"/>
              <w:keepLines w:val="0"/>
              <w:suppressLineNumbers w:val="0"/>
              <w:adjustRightInd w:val="0"/>
              <w:snapToGrid w:val="0"/>
              <w:spacing w:before="0" w:beforeAutospacing="0" w:after="0" w:afterAutospacing="0"/>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9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21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核算方法</w:t>
            </w:r>
          </w:p>
        </w:tc>
        <w:tc>
          <w:tcPr>
            <w:tcW w:w="44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产生废水量m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/h</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产生浓度mg/L</w:t>
            </w:r>
          </w:p>
        </w:tc>
        <w:tc>
          <w:tcPr>
            <w:tcW w:w="4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产生量kg/h</w:t>
            </w:r>
          </w:p>
        </w:tc>
        <w:tc>
          <w:tcPr>
            <w:tcW w:w="329"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工艺</w:t>
            </w:r>
          </w:p>
        </w:tc>
        <w:tc>
          <w:tcPr>
            <w:tcW w:w="24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效率/%</w:t>
            </w:r>
          </w:p>
        </w:tc>
        <w:tc>
          <w:tcPr>
            <w:tcW w:w="24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核算方法</w:t>
            </w:r>
          </w:p>
        </w:tc>
        <w:tc>
          <w:tcPr>
            <w:tcW w:w="57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排放废水量m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/h</w:t>
            </w:r>
          </w:p>
        </w:tc>
        <w:tc>
          <w:tcPr>
            <w:tcW w:w="41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排放浓度mg/L</w:t>
            </w:r>
          </w:p>
        </w:tc>
        <w:tc>
          <w:tcPr>
            <w:tcW w:w="55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排放量kg/h</w:t>
            </w:r>
          </w:p>
        </w:tc>
        <w:tc>
          <w:tcPr>
            <w:tcW w:w="407"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生活污水</w:t>
            </w:r>
          </w:p>
        </w:tc>
        <w:tc>
          <w:tcPr>
            <w:tcW w:w="3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水量</w:t>
            </w:r>
          </w:p>
        </w:tc>
        <w:tc>
          <w:tcPr>
            <w:tcW w:w="217"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类比法</w:t>
            </w:r>
          </w:p>
        </w:tc>
        <w:tc>
          <w:tcPr>
            <w:tcW w:w="44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0.09</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90</w:t>
            </w:r>
          </w:p>
        </w:tc>
        <w:tc>
          <w:tcPr>
            <w:tcW w:w="329"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化粪池</w:t>
            </w:r>
          </w:p>
        </w:tc>
        <w:tc>
          <w:tcPr>
            <w:tcW w:w="24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247"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类比法</w:t>
            </w:r>
          </w:p>
        </w:tc>
        <w:tc>
          <w:tcPr>
            <w:tcW w:w="57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0.09</w:t>
            </w:r>
          </w:p>
        </w:tc>
        <w:tc>
          <w:tcPr>
            <w:tcW w:w="41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55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90</w:t>
            </w:r>
          </w:p>
        </w:tc>
        <w:tc>
          <w:tcPr>
            <w:tcW w:w="40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COD</w:t>
            </w:r>
          </w:p>
        </w:tc>
        <w:tc>
          <w:tcPr>
            <w:tcW w:w="217"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4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500</w:t>
            </w:r>
          </w:p>
        </w:tc>
        <w:tc>
          <w:tcPr>
            <w:tcW w:w="4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0.045</w:t>
            </w:r>
          </w:p>
        </w:tc>
        <w:tc>
          <w:tcPr>
            <w:tcW w:w="329"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24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30%</w:t>
            </w:r>
          </w:p>
        </w:tc>
        <w:tc>
          <w:tcPr>
            <w:tcW w:w="24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57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1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350</w:t>
            </w:r>
          </w:p>
        </w:tc>
        <w:tc>
          <w:tcPr>
            <w:tcW w:w="55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0.032</w:t>
            </w:r>
          </w:p>
        </w:tc>
        <w:tc>
          <w:tcPr>
            <w:tcW w:w="40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氨氮</w:t>
            </w:r>
          </w:p>
        </w:tc>
        <w:tc>
          <w:tcPr>
            <w:tcW w:w="217"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4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35</w:t>
            </w:r>
          </w:p>
        </w:tc>
        <w:tc>
          <w:tcPr>
            <w:tcW w:w="4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0.003</w:t>
            </w:r>
          </w:p>
        </w:tc>
        <w:tc>
          <w:tcPr>
            <w:tcW w:w="329"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24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24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57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1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35</w:t>
            </w:r>
          </w:p>
        </w:tc>
        <w:tc>
          <w:tcPr>
            <w:tcW w:w="55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0.003</w:t>
            </w:r>
          </w:p>
        </w:tc>
        <w:tc>
          <w:tcPr>
            <w:tcW w:w="40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bl>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综合污水处理厂</w:t>
      </w:r>
      <w:r>
        <w:rPr>
          <w:rFonts w:ascii="Times New Roman" w:hAnsi="Times New Roman"/>
          <w:b/>
          <w:color w:val="auto"/>
          <w:sz w:val="21"/>
        </w:rPr>
        <w:t>废水</w:t>
      </w:r>
      <w:r>
        <w:rPr>
          <w:rFonts w:hint="eastAsia" w:ascii="Times New Roman" w:hAnsi="Times New Roman"/>
          <w:b/>
          <w:color w:val="auto"/>
          <w:sz w:val="21"/>
        </w:rPr>
        <w:t>污染源源强核算结果及相关参数一览表</w:t>
      </w:r>
    </w:p>
    <w:tbl>
      <w:tblPr>
        <w:tblStyle w:val="83"/>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708"/>
        <w:gridCol w:w="710"/>
        <w:gridCol w:w="708"/>
        <w:gridCol w:w="851"/>
        <w:gridCol w:w="811"/>
        <w:gridCol w:w="425"/>
        <w:gridCol w:w="849"/>
        <w:gridCol w:w="851"/>
        <w:gridCol w:w="1137"/>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工序</w:t>
            </w:r>
          </w:p>
        </w:tc>
        <w:tc>
          <w:tcPr>
            <w:tcW w:w="411"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w:t>
            </w:r>
          </w:p>
        </w:tc>
        <w:tc>
          <w:tcPr>
            <w:tcW w:w="1317" w:type="pct"/>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进入综合污水处理厂污染物情况</w:t>
            </w:r>
          </w:p>
        </w:tc>
        <w:tc>
          <w:tcPr>
            <w:tcW w:w="47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治理措施</w:t>
            </w:r>
          </w:p>
        </w:tc>
        <w:tc>
          <w:tcPr>
            <w:tcW w:w="1894" w:type="pct"/>
            <w:gridSpan w:val="4"/>
            <w:vAlign w:val="center"/>
          </w:tcPr>
          <w:p>
            <w:pPr>
              <w:keepNext w:val="0"/>
              <w:keepLines w:val="0"/>
              <w:suppressLineNumbers w:val="0"/>
              <w:spacing w:before="0" w:beforeAutospacing="0" w:after="0" w:afterAutospacing="0"/>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污染物排放</w:t>
            </w:r>
          </w:p>
        </w:tc>
        <w:tc>
          <w:tcPr>
            <w:tcW w:w="408" w:type="pct"/>
            <w:vAlign w:val="center"/>
          </w:tcPr>
          <w:p>
            <w:pPr>
              <w:keepNext w:val="0"/>
              <w:keepLines w:val="0"/>
              <w:suppressLineNumbers w:val="0"/>
              <w:adjustRightInd w:val="0"/>
              <w:snapToGrid w:val="0"/>
              <w:spacing w:before="0" w:beforeAutospacing="0" w:after="0" w:afterAutospacing="0"/>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1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产生废水量m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/h</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产生浓度mg/L</w:t>
            </w:r>
          </w:p>
        </w:tc>
        <w:tc>
          <w:tcPr>
            <w:tcW w:w="49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产生量kg/h</w:t>
            </w:r>
          </w:p>
        </w:tc>
        <w:tc>
          <w:tcPr>
            <w:tcW w:w="47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工艺</w:t>
            </w:r>
          </w:p>
        </w:tc>
        <w:tc>
          <w:tcPr>
            <w:tcW w:w="24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核算方法</w:t>
            </w:r>
          </w:p>
        </w:tc>
        <w:tc>
          <w:tcPr>
            <w:tcW w:w="49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排放废水量m</w:t>
            </w:r>
            <w:r>
              <w:rPr>
                <w:rFonts w:hint="eastAsia" w:ascii="Times New Roman" w:hAnsi="Times New Roman"/>
                <w:color w:val="auto"/>
                <w:sz w:val="18"/>
                <w:szCs w:val="18"/>
                <w:vertAlign w:val="superscript"/>
              </w:rPr>
              <w:t>3</w:t>
            </w:r>
            <w:r>
              <w:rPr>
                <w:rFonts w:hint="eastAsia" w:ascii="Times New Roman" w:hAnsi="Times New Roman"/>
                <w:color w:val="auto"/>
                <w:sz w:val="18"/>
                <w:szCs w:val="18"/>
              </w:rPr>
              <w:t>/h</w:t>
            </w:r>
          </w:p>
        </w:tc>
        <w:tc>
          <w:tcPr>
            <w:tcW w:w="49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排放浓度mg/L</w:t>
            </w:r>
          </w:p>
        </w:tc>
        <w:tc>
          <w:tcPr>
            <w:tcW w:w="66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排放量kg/h</w:t>
            </w:r>
          </w:p>
        </w:tc>
        <w:tc>
          <w:tcPr>
            <w:tcW w:w="408"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7920h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Style w:val="782"/>
                <w:rFonts w:hint="default" w:ascii="Times New Roman" w:hAnsi="Times New Roman"/>
                <w:color w:val="auto"/>
                <w:sz w:val="18"/>
                <w:szCs w:val="18"/>
              </w:rPr>
              <w:t>苍南县临港产业基地启动区污水处理厂</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水量</w:t>
            </w:r>
          </w:p>
        </w:tc>
        <w:tc>
          <w:tcPr>
            <w:tcW w:w="4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0.09</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9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90</w:t>
            </w:r>
          </w:p>
        </w:tc>
        <w:tc>
          <w:tcPr>
            <w:tcW w:w="471"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A</w:t>
            </w:r>
            <w:r>
              <w:rPr>
                <w:rFonts w:ascii="Times New Roman" w:hAnsi="Times New Roman"/>
                <w:color w:val="auto"/>
                <w:sz w:val="18"/>
                <w:szCs w:val="18"/>
                <w:vertAlign w:val="superscript"/>
              </w:rPr>
              <w:t>2</w:t>
            </w:r>
            <w:r>
              <w:rPr>
                <w:rFonts w:ascii="Times New Roman" w:hAnsi="Times New Roman"/>
                <w:color w:val="auto"/>
                <w:sz w:val="18"/>
                <w:szCs w:val="18"/>
              </w:rPr>
              <w:t>/O-SBR工艺</w:t>
            </w:r>
          </w:p>
        </w:tc>
        <w:tc>
          <w:tcPr>
            <w:tcW w:w="247"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排污系数法</w:t>
            </w:r>
          </w:p>
        </w:tc>
        <w:tc>
          <w:tcPr>
            <w:tcW w:w="49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0.09</w:t>
            </w:r>
          </w:p>
        </w:tc>
        <w:tc>
          <w:tcPr>
            <w:tcW w:w="49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66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90</w:t>
            </w:r>
          </w:p>
        </w:tc>
        <w:tc>
          <w:tcPr>
            <w:tcW w:w="408"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COD</w:t>
            </w:r>
          </w:p>
        </w:tc>
        <w:tc>
          <w:tcPr>
            <w:tcW w:w="41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350</w:t>
            </w:r>
          </w:p>
        </w:tc>
        <w:tc>
          <w:tcPr>
            <w:tcW w:w="49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0.032</w:t>
            </w:r>
          </w:p>
        </w:tc>
        <w:tc>
          <w:tcPr>
            <w:tcW w:w="471"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24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9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9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100（近）50（远）</w:t>
            </w:r>
          </w:p>
        </w:tc>
        <w:tc>
          <w:tcPr>
            <w:tcW w:w="66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0.009（近）</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0.0045（远）</w:t>
            </w:r>
          </w:p>
        </w:tc>
        <w:tc>
          <w:tcPr>
            <w:tcW w:w="408"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氨氮</w:t>
            </w:r>
          </w:p>
        </w:tc>
        <w:tc>
          <w:tcPr>
            <w:tcW w:w="41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1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35</w:t>
            </w:r>
          </w:p>
        </w:tc>
        <w:tc>
          <w:tcPr>
            <w:tcW w:w="49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0.003</w:t>
            </w:r>
          </w:p>
        </w:tc>
        <w:tc>
          <w:tcPr>
            <w:tcW w:w="471"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24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49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p>
        </w:tc>
        <w:tc>
          <w:tcPr>
            <w:tcW w:w="49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25（近）5（远）</w:t>
            </w:r>
          </w:p>
        </w:tc>
        <w:tc>
          <w:tcPr>
            <w:tcW w:w="66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0.0023（近）</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0.0005（远）</w:t>
            </w:r>
          </w:p>
        </w:tc>
        <w:tc>
          <w:tcPr>
            <w:tcW w:w="408"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p>
        </w:tc>
      </w:tr>
    </w:tbl>
    <w:p>
      <w:pPr>
        <w:spacing w:line="240" w:lineRule="auto"/>
        <w:ind w:firstLine="0" w:firstLineChars="0"/>
        <w:rPr>
          <w:rFonts w:ascii="Times New Roman" w:hAnsi="Times New Roman"/>
          <w:b/>
          <w:color w:val="auto"/>
          <w:sz w:val="21"/>
        </w:rPr>
        <w:sectPr>
          <w:headerReference r:id="rId14" w:type="default"/>
          <w:footerReference r:id="rId15" w:type="default"/>
          <w:pgSz w:w="11906" w:h="16838"/>
          <w:pgMar w:top="1440" w:right="1797" w:bottom="1440" w:left="1797" w:header="851" w:footer="992" w:gutter="0"/>
          <w:cols w:space="720" w:num="1"/>
          <w:docGrid w:linePitch="312" w:charSpace="0"/>
        </w:sectPr>
      </w:pPr>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 xml:space="preserve">  项目废水间接排放口基本情况表</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023"/>
        <w:gridCol w:w="1424"/>
        <w:gridCol w:w="1319"/>
        <w:gridCol w:w="1794"/>
        <w:gridCol w:w="1058"/>
        <w:gridCol w:w="735"/>
        <w:gridCol w:w="1663"/>
        <w:gridCol w:w="1361"/>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序号</w:t>
            </w:r>
          </w:p>
        </w:tc>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排放口编号</w:t>
            </w:r>
          </w:p>
        </w:tc>
        <w:tc>
          <w:tcPr>
            <w:tcW w:w="0" w:type="auto"/>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排放口地理坐标</w:t>
            </w:r>
          </w:p>
        </w:tc>
        <w:tc>
          <w:tcPr>
            <w:tcW w:w="1794"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废水排放量/（t/a）</w:t>
            </w:r>
          </w:p>
        </w:tc>
        <w:tc>
          <w:tcPr>
            <w:tcW w:w="105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排放去向</w:t>
            </w:r>
          </w:p>
        </w:tc>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排放规律</w:t>
            </w:r>
          </w:p>
        </w:tc>
        <w:tc>
          <w:tcPr>
            <w:tcW w:w="0" w:type="auto"/>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经度</w:t>
            </w:r>
          </w:p>
        </w:tc>
        <w:tc>
          <w:tcPr>
            <w:tcW w:w="0" w:type="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维度</w:t>
            </w:r>
          </w:p>
        </w:tc>
        <w:tc>
          <w:tcPr>
            <w:tcW w:w="179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5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名称</w:t>
            </w:r>
          </w:p>
        </w:tc>
        <w:tc>
          <w:tcPr>
            <w:tcW w:w="136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污染物种类</w:t>
            </w:r>
          </w:p>
        </w:tc>
        <w:tc>
          <w:tcPr>
            <w:tcW w:w="329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国家或地方污染物排放浓度限值/（mg/L）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DW001</w:t>
            </w:r>
          </w:p>
        </w:tc>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 xml:space="preserve">120.61922371 </w:t>
            </w:r>
          </w:p>
        </w:tc>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27.50419199</w:t>
            </w:r>
          </w:p>
        </w:tc>
        <w:tc>
          <w:tcPr>
            <w:tcW w:w="1794"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c>
          <w:tcPr>
            <w:tcW w:w="105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kern w:val="0"/>
                <w:sz w:val="21"/>
              </w:rPr>
              <w:t>市政管网</w:t>
            </w:r>
          </w:p>
        </w:tc>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不定时排放</w:t>
            </w:r>
          </w:p>
        </w:tc>
        <w:tc>
          <w:tcPr>
            <w:tcW w:w="0" w:type="auto"/>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Style w:val="782"/>
                <w:rFonts w:hint="default" w:ascii="Times New Roman" w:hAnsi="Times New Roman"/>
                <w:color w:val="auto"/>
                <w:sz w:val="21"/>
                <w:szCs w:val="21"/>
              </w:rPr>
              <w:t>苍南县临港产业基地启动区污水处理厂</w:t>
            </w:r>
          </w:p>
        </w:tc>
        <w:tc>
          <w:tcPr>
            <w:tcW w:w="1361" w:type="dxa"/>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p>
        </w:tc>
        <w:tc>
          <w:tcPr>
            <w:tcW w:w="329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79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5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0" w:type="auto"/>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361" w:type="dxa"/>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329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25</w:t>
            </w:r>
          </w:p>
        </w:tc>
      </w:tr>
    </w:tbl>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 xml:space="preserve">  废水污染物排放信息表</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2362"/>
        <w:gridCol w:w="2362"/>
        <w:gridCol w:w="2362"/>
        <w:gridCol w:w="2363"/>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序号</w:t>
            </w:r>
          </w:p>
        </w:tc>
        <w:tc>
          <w:tcPr>
            <w:tcW w:w="236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排放口编号</w:t>
            </w:r>
          </w:p>
        </w:tc>
        <w:tc>
          <w:tcPr>
            <w:tcW w:w="236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污染物种类</w:t>
            </w:r>
          </w:p>
        </w:tc>
        <w:tc>
          <w:tcPr>
            <w:tcW w:w="236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排放浓度/（mg/L）</w:t>
            </w:r>
          </w:p>
        </w:tc>
        <w:tc>
          <w:tcPr>
            <w:tcW w:w="23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日排放量/（t/d）</w:t>
            </w:r>
          </w:p>
        </w:tc>
        <w:tc>
          <w:tcPr>
            <w:tcW w:w="23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2362"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DW001</w:t>
            </w:r>
          </w:p>
        </w:tc>
        <w:tc>
          <w:tcPr>
            <w:tcW w:w="2362" w:type="dxa"/>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p>
        </w:tc>
        <w:tc>
          <w:tcPr>
            <w:tcW w:w="236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350</w:t>
            </w:r>
          </w:p>
        </w:tc>
        <w:tc>
          <w:tcPr>
            <w:tcW w:w="2363" w:type="dxa"/>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0.0008</w:t>
            </w:r>
          </w:p>
        </w:tc>
        <w:tc>
          <w:tcPr>
            <w:tcW w:w="2363" w:type="dxa"/>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36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362" w:type="dxa"/>
            <w:vAlign w:val="center"/>
          </w:tcPr>
          <w:p>
            <w:pPr>
              <w:keepNext w:val="0"/>
              <w:keepLines w:val="0"/>
              <w:suppressLineNumbers w:val="0"/>
              <w:tabs>
                <w:tab w:val="left" w:pos="3045"/>
              </w:tabs>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236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w:t>
            </w:r>
          </w:p>
        </w:tc>
        <w:tc>
          <w:tcPr>
            <w:tcW w:w="2363" w:type="dxa"/>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0.00008</w:t>
            </w:r>
          </w:p>
        </w:tc>
        <w:tc>
          <w:tcPr>
            <w:tcW w:w="2363" w:type="dxa"/>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4" w:type="dxa"/>
            <w:gridSpan w:val="2"/>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全厂排放口合计</w:t>
            </w:r>
          </w:p>
        </w:tc>
        <w:tc>
          <w:tcPr>
            <w:tcW w:w="7087"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p>
        </w:tc>
        <w:tc>
          <w:tcPr>
            <w:tcW w:w="2363" w:type="dxa"/>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4" w:type="dxa"/>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87"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2363" w:type="dxa"/>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r>
    </w:tbl>
    <w:p>
      <w:pPr>
        <w:spacing w:line="240" w:lineRule="auto"/>
        <w:ind w:firstLine="0" w:firstLineChars="0"/>
        <w:rPr>
          <w:rFonts w:ascii="Times New Roman" w:hAnsi="Times New Roman"/>
          <w:b/>
          <w:color w:val="auto"/>
          <w:sz w:val="21"/>
        </w:rPr>
      </w:pPr>
    </w:p>
    <w:p>
      <w:pPr>
        <w:ind w:firstLine="480"/>
        <w:rPr>
          <w:rFonts w:ascii="Times New Roman" w:hAnsi="Times New Roman"/>
          <w:color w:val="auto"/>
        </w:rPr>
      </w:pPr>
    </w:p>
    <w:p>
      <w:pPr>
        <w:ind w:firstLine="480"/>
        <w:rPr>
          <w:rFonts w:ascii="Times New Roman" w:hAnsi="Times New Roman"/>
          <w:color w:val="auto"/>
        </w:rPr>
      </w:pPr>
    </w:p>
    <w:p>
      <w:pPr>
        <w:ind w:firstLine="0" w:firstLineChars="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sectPr>
          <w:pgSz w:w="16838" w:h="11906" w:orient="landscape"/>
          <w:pgMar w:top="1797" w:right="1440" w:bottom="1797" w:left="1440" w:header="851" w:footer="992" w:gutter="0"/>
          <w:cols w:space="720" w:num="1"/>
          <w:docGrid w:linePitch="326" w:charSpace="0"/>
        </w:sectPr>
      </w:pPr>
    </w:p>
    <w:p>
      <w:pPr>
        <w:ind w:firstLine="480"/>
        <w:rPr>
          <w:rFonts w:ascii="Times New Roman" w:hAnsi="Times New Roman"/>
          <w:color w:val="auto"/>
        </w:rPr>
      </w:pPr>
      <w:r>
        <w:rPr>
          <w:rFonts w:hint="eastAsia" w:ascii="Times New Roman" w:hAnsi="Times New Roman"/>
          <w:color w:val="auto"/>
        </w:rPr>
        <w:t>（5）水平衡图</w:t>
      </w:r>
    </w:p>
    <w:p>
      <w:pPr>
        <w:ind w:firstLine="0" w:firstLineChars="0"/>
        <w:rPr>
          <w:rFonts w:ascii="Times New Roman" w:hAnsi="Times New Roman"/>
          <w:color w:val="auto"/>
        </w:rPr>
      </w:pPr>
      <w:r>
        <w:rPr>
          <w:rFonts w:hint="default" w:ascii="Times New Roman" w:hAnsi="Times New Roman" w:eastAsia="宋体" w:cs="Times New Roman"/>
          <w:color w:val="auto"/>
          <w:kern w:val="2"/>
          <w:sz w:val="24"/>
          <w:szCs w:val="21"/>
          <w:lang w:val="en-US" w:eastAsia="zh-CN" w:bidi="ar"/>
        </w:rPr>
        <w:pict>
          <v:group id="_x0000_s5966" o:spid="_x0000_s5966" o:spt="203" style="position:absolute;left:0pt;margin-left:0pt;margin-top:0pt;height:243.2pt;width:432pt;mso-wrap-distance-left:9pt;mso-wrap-distance-right:9pt;z-index:-251658240;mso-width-relative:page;mso-height-relative:page;" coordorigin="1809,2220" coordsize="8640,4864" wrapcoords="21592 -2 0 0 0 21600 21592 21602 8 21602 21600 21600 21600 0 8 -2 21592 -2" editas="canvas">
            <o:lock v:ext="edit"/>
            <v:shape id="_x0000_s5967" o:spid="_x0000_s5967" o:spt="75" type="#_x0000_t75" style="position:absolute;left:1809;top:2220;height:4864;width:8640;" filled="f" o:preferrelative="f" stroked="f" coordsize="21600,21600">
              <v:path/>
              <v:fill on="f" focussize="0,0"/>
              <v:stroke on="f" joinstyle="miter"/>
              <v:imagedata o:title=""/>
              <o:lock v:ext="edit" text="t" aspectratio="t"/>
            </v:shape>
            <v:shape id="_x0000_s5968" o:spid="_x0000_s5968" o:spt="202" type="#_x0000_t202" style="position:absolute;left:4195;top:6575;height:509;width:3537;"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val="0"/>
                        <w:color w:val="auto"/>
                        <w:u w:val="single"/>
                        <w:lang w:val="en-US"/>
                      </w:rPr>
                    </w:pPr>
                    <w:r>
                      <w:rPr>
                        <w:rFonts w:hint="eastAsia" w:ascii="Times New Roman" w:hAnsi="宋体" w:eastAsia="宋体" w:cs="Times New Roman"/>
                        <w:b/>
                        <w:bCs w:val="0"/>
                        <w:color w:val="auto"/>
                        <w:kern w:val="2"/>
                        <w:sz w:val="24"/>
                        <w:szCs w:val="21"/>
                        <w:u w:val="single"/>
                        <w:lang w:val="en-US" w:eastAsia="zh-CN" w:bidi="ar"/>
                      </w:rPr>
                      <w:t>图</w:t>
                    </w:r>
                    <w:r>
                      <w:rPr>
                        <w:rFonts w:hint="default" w:ascii="Times New Roman" w:hAnsi="Times New Roman" w:eastAsia="宋体" w:cs="Times New Roman"/>
                        <w:b/>
                        <w:bCs w:val="0"/>
                        <w:color w:val="auto"/>
                        <w:kern w:val="2"/>
                        <w:sz w:val="24"/>
                        <w:szCs w:val="21"/>
                        <w:u w:val="single"/>
                        <w:lang w:val="en-US" w:eastAsia="zh-CN" w:bidi="ar"/>
                      </w:rPr>
                      <w:t xml:space="preserve">3-5  </w:t>
                    </w:r>
                    <w:r>
                      <w:rPr>
                        <w:rFonts w:hint="eastAsia" w:ascii="Times New Roman" w:hAnsi="宋体" w:eastAsia="宋体" w:cs="Times New Roman"/>
                        <w:b/>
                        <w:bCs w:val="0"/>
                        <w:color w:val="auto"/>
                        <w:kern w:val="2"/>
                        <w:sz w:val="24"/>
                        <w:szCs w:val="21"/>
                        <w:u w:val="single"/>
                        <w:lang w:val="en-US" w:eastAsia="zh-CN" w:bidi="ar"/>
                      </w:rPr>
                      <w:t>项目水平衡关系图</w:t>
                    </w:r>
                  </w:p>
                  <w:p>
                    <w:pPr>
                      <w:keepNext w:val="0"/>
                      <w:keepLines w:val="0"/>
                      <w:widowControl w:val="0"/>
                      <w:suppressLineNumbers w:val="0"/>
                      <w:spacing w:before="0" w:beforeAutospacing="0" w:after="0" w:afterAutospacing="0" w:line="360" w:lineRule="auto"/>
                      <w:ind w:left="0" w:right="0" w:firstLine="480" w:firstLineChars="200"/>
                      <w:jc w:val="both"/>
                      <w:rPr>
                        <w:lang w:val="en-US"/>
                      </w:rPr>
                    </w:pPr>
                  </w:p>
                </w:txbxContent>
              </v:textbox>
            </v:shape>
            <v:shape id="_x0000_s5969" o:spid="_x0000_s5969" o:spt="202" type="#_x0000_t202" style="position:absolute;left:2026;top:4132;height:425;width:96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自来水</w:t>
                    </w:r>
                  </w:p>
                </w:txbxContent>
              </v:textbox>
            </v:shape>
            <v:shape id="_x0000_s5970" o:spid="_x0000_s5970" o:spt="202" type="#_x0000_t202" style="position:absolute;left:4232;top:5723;height:425;width:1690;"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冷却用水</w:t>
                    </w:r>
                  </w:p>
                </w:txbxContent>
              </v:textbox>
            </v:shape>
            <v:shape id="_x0000_s5971" o:spid="_x0000_s5971" o:spt="202" type="#_x0000_t202" style="position:absolute;left:4195;top:2978;height:425;width:118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生活用水</w:t>
                    </w:r>
                  </w:p>
                </w:txbxContent>
              </v:textbox>
            </v:shape>
            <v:shape id="_x0000_s5972" o:spid="_x0000_s5972" o:spt="202" type="#_x0000_t202" style="position:absolute;left:6104;top:2978;height:425;width:96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化粪池</w:t>
                    </w:r>
                  </w:p>
                </w:txbxContent>
              </v:textbox>
            </v:shape>
            <v:shape id="_x0000_s5973" o:spid="_x0000_s5973" o:spt="202" type="#_x0000_t202" style="position:absolute;left:7755;top:2992;height:425;width:96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纳管</w:t>
                    </w:r>
                  </w:p>
                </w:txbxContent>
              </v:textbox>
            </v:shape>
            <v:shape id="_x0000_s5974" o:spid="_x0000_s5974" o:spt="32" type="#_x0000_t32" style="position:absolute;left:5382;top:3191;height:1;width:722;" o:connectortype="straight" filled="f" coordsize="21600,21600">
              <v:path arrowok="t"/>
              <v:fill on="f" focussize="0,0"/>
              <v:stroke endarrow="block"/>
              <v:imagedata o:title=""/>
              <o:lock v:ext="edit"/>
            </v:shape>
            <v:shape id="_x0000_s5975" o:spid="_x0000_s5975" o:spt="32" type="#_x0000_t32" style="position:absolute;left:7072;top:3191;height:14;width:683;" o:connectortype="straight" filled="f" coordsize="21600,21600">
              <v:path arrowok="t"/>
              <v:fill on="f" focussize="0,0"/>
              <v:stroke endarrow="block"/>
              <v:imagedata o:title=""/>
              <o:lock v:ext="edit"/>
            </v:shape>
            <v:shape id="_x0000_s5976" o:spid="_x0000_s5976" o:spt="202" type="#_x0000_t202" style="position:absolute;left:3213;top:5936;height:626;width:1644;"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default" w:ascii="Times New Roman" w:hAnsi="Times New Roman" w:eastAsia="宋体" w:cs="Times New Roman"/>
                        <w:b/>
                        <w:bCs w:val="0"/>
                        <w:color w:val="000000"/>
                        <w:kern w:val="2"/>
                        <w:sz w:val="21"/>
                        <w:szCs w:val="21"/>
                        <w:lang w:val="en-US" w:eastAsia="zh-CN" w:bidi="ar"/>
                      </w:rPr>
                      <w:t>66t/a</w:t>
                    </w:r>
                  </w:p>
                </w:txbxContent>
              </v:textbox>
            </v:shape>
            <v:shape id="_x0000_s5977" o:spid="_x0000_s5977" o:spt="202" type="#_x0000_t202" style="position:absolute;left:3839;top:2416;height:422;width:2083;"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eastAsia" w:ascii="Times New Roman" w:hAnsi="宋体" w:eastAsia="宋体" w:cs="Times New Roman"/>
                        <w:b/>
                        <w:bCs w:val="0"/>
                        <w:color w:val="000000"/>
                        <w:kern w:val="2"/>
                        <w:sz w:val="21"/>
                        <w:szCs w:val="21"/>
                        <w:lang w:val="en-US" w:eastAsia="zh-CN" w:bidi="ar"/>
                      </w:rPr>
                      <w:t>损耗</w:t>
                    </w:r>
                    <w:r>
                      <w:rPr>
                        <w:rFonts w:hint="default" w:ascii="Times New Roman" w:hAnsi="Times New Roman" w:eastAsia="宋体" w:cs="Times New Roman"/>
                        <w:b/>
                        <w:bCs w:val="0"/>
                        <w:color w:val="000000"/>
                        <w:kern w:val="2"/>
                        <w:sz w:val="21"/>
                        <w:szCs w:val="21"/>
                        <w:lang w:val="en-US" w:eastAsia="zh-CN" w:bidi="ar"/>
                      </w:rPr>
                      <w:t>106.2t/a</w:t>
                    </w:r>
                  </w:p>
                </w:txbxContent>
              </v:textbox>
            </v:shape>
            <v:shape id="_x0000_s5978" o:spid="_x0000_s5978" o:spt="102" type="#_x0000_t102" style="position:absolute;left:4601;top:2738;flip:y;height:226;width:270;" coordsize="21600,21600">
              <v:path/>
              <v:fill focussize="0,0"/>
              <v:stroke joinstyle="miter"/>
              <v:imagedata o:title=""/>
              <o:lock v:ext="edit"/>
            </v:shape>
            <v:shape id="_x0000_s5979" o:spid="_x0000_s5979" o:spt="202" type="#_x0000_t202" style="position:absolute;left:4857;top:2738;height:626;width:1644;"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default" w:ascii="Times New Roman" w:hAnsi="Times New Roman" w:eastAsia="宋体" w:cs="Times New Roman"/>
                        <w:b/>
                        <w:bCs w:val="0"/>
                        <w:color w:val="000000"/>
                        <w:kern w:val="2"/>
                        <w:sz w:val="21"/>
                        <w:szCs w:val="21"/>
                        <w:lang w:val="en-US" w:eastAsia="zh-CN" w:bidi="ar"/>
                      </w:rPr>
                      <w:t>712.8t/a</w:t>
                    </w:r>
                  </w:p>
                </w:txbxContent>
              </v:textbox>
            </v:shape>
            <v:shape id="_x0000_s5980" o:spid="_x0000_s5980" o:spt="202" type="#_x0000_t202" style="position:absolute;left:2957;top:2579;height:626;width:1644;"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default" w:ascii="Times New Roman" w:hAnsi="Times New Roman" w:eastAsia="宋体" w:cs="Times New Roman"/>
                        <w:b/>
                        <w:bCs w:val="0"/>
                        <w:color w:val="000000"/>
                        <w:kern w:val="2"/>
                        <w:sz w:val="21"/>
                        <w:szCs w:val="21"/>
                        <w:lang w:val="en-US" w:eastAsia="zh-CN" w:bidi="ar"/>
                      </w:rPr>
                      <w:t>819t/a</w:t>
                    </w:r>
                  </w:p>
                </w:txbxContent>
              </v:textbox>
            </v:shape>
            <v:shape id="_x0000_s5981" o:spid="_x0000_s5981" o:spt="202" type="#_x0000_t202" style="position:absolute;left:6554;top:2738;height:626;width:1644;"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default" w:ascii="Times New Roman" w:hAnsi="Times New Roman" w:eastAsia="宋体" w:cs="Times New Roman"/>
                        <w:b/>
                        <w:bCs w:val="0"/>
                        <w:color w:val="000000"/>
                        <w:kern w:val="2"/>
                        <w:sz w:val="21"/>
                        <w:szCs w:val="21"/>
                        <w:lang w:val="en-US" w:eastAsia="zh-CN" w:bidi="ar"/>
                      </w:rPr>
                      <w:t>712.8t/a</w:t>
                    </w:r>
                  </w:p>
                </w:txbxContent>
              </v:textbox>
            </v:shape>
            <v:shape id="_x0000_s5982" o:spid="_x0000_s5982" o:spt="202" type="#_x0000_t202" style="position:absolute;left:5104;top:6192;height:383;width:1968;"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eastAsia" w:ascii="Times New Roman" w:hAnsi="Times New Roman" w:eastAsia="宋体" w:cs="Times New Roman"/>
                        <w:b/>
                        <w:bCs w:val="0"/>
                        <w:color w:val="000000"/>
                        <w:kern w:val="2"/>
                        <w:sz w:val="21"/>
                        <w:szCs w:val="21"/>
                        <w:lang w:val="en-US" w:eastAsia="zh-CN" w:bidi="ar"/>
                      </w:rPr>
                      <w:t>循环</w:t>
                    </w:r>
                    <w:r>
                      <w:rPr>
                        <w:rFonts w:hint="default" w:ascii="Times New Roman" w:hAnsi="Times New Roman" w:eastAsia="宋体" w:cs="Times New Roman"/>
                        <w:b/>
                        <w:bCs w:val="0"/>
                        <w:color w:val="000000"/>
                        <w:kern w:val="2"/>
                        <w:sz w:val="21"/>
                        <w:szCs w:val="21"/>
                        <w:lang w:val="en-US" w:eastAsia="zh-CN" w:bidi="ar"/>
                      </w:rPr>
                      <w:t>3.78t/a</w:t>
                    </w:r>
                  </w:p>
                </w:txbxContent>
              </v:textbox>
            </v:shape>
            <v:shape id="_x0000_s5983" o:spid="_x0000_s5983" o:spt="202" type="#_x0000_t202" style="position:absolute;left:5476;top:3599;height:414;width:1946;"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eastAsia" w:ascii="Times New Roman" w:hAnsi="Times New Roman" w:eastAsia="宋体" w:cs="Times New Roman"/>
                        <w:b/>
                        <w:bCs w:val="0"/>
                        <w:color w:val="000000"/>
                        <w:kern w:val="2"/>
                        <w:sz w:val="21"/>
                        <w:szCs w:val="21"/>
                        <w:lang w:val="en-US" w:eastAsia="zh-CN" w:bidi="ar"/>
                      </w:rPr>
                      <w:t>损耗</w:t>
                    </w:r>
                    <w:r>
                      <w:rPr>
                        <w:rFonts w:hint="default" w:ascii="Times New Roman" w:hAnsi="Times New Roman" w:eastAsia="宋体" w:cs="Times New Roman"/>
                        <w:b/>
                        <w:bCs w:val="0"/>
                        <w:color w:val="000000"/>
                        <w:kern w:val="2"/>
                        <w:sz w:val="21"/>
                        <w:szCs w:val="21"/>
                        <w:lang w:val="en-US" w:eastAsia="zh-CN" w:bidi="ar"/>
                      </w:rPr>
                      <w:t>316.8t/a</w:t>
                    </w:r>
                  </w:p>
                </w:txbxContent>
              </v:textbox>
            </v:shape>
            <v:shape id="_x0000_s5984" o:spid="_x0000_s5984" o:spt="202" type="#_x0000_t202" style="position:absolute;left:2588;top:4343;height:626;width:1644;"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default" w:ascii="Times New Roman" w:hAnsi="Times New Roman" w:eastAsia="宋体" w:cs="Times New Roman"/>
                        <w:b/>
                        <w:bCs w:val="0"/>
                        <w:color w:val="000000"/>
                        <w:kern w:val="2"/>
                        <w:sz w:val="21"/>
                        <w:szCs w:val="21"/>
                        <w:lang w:val="en-US" w:eastAsia="zh-CN" w:bidi="ar"/>
                      </w:rPr>
                      <w:t>888.3t/a</w:t>
                    </w:r>
                  </w:p>
                </w:txbxContent>
              </v:textbox>
            </v:shape>
            <v:shape id="_x0000_s5985" o:spid="_x0000_s5985" o:spt="33" type="#_x0000_t33" style="position:absolute;left:4601;top:6148;height:342;width:926;rotation:11796480f;" o:connectortype="elbow" filled="f" coordsize="21600,21600" adj="-131326,-288758,-131326">
              <v:path arrowok="t"/>
              <v:fill on="f" focussize="0,0"/>
              <v:stroke endarrow="block"/>
              <v:imagedata o:title=""/>
              <o:lock v:ext="edit"/>
            </v:shape>
            <v:shape id="_x0000_s5986" o:spid="_x0000_s5986" o:spt="34" type="#_x0000_t34" style="position:absolute;left:4195;top:3191;height:2745;width:37;rotation:11796480f;" o:connectortype="elbow" filled="f" coordsize="21600,21600" adj="231762,-44247,-2464151">
              <v:path arrowok="t"/>
              <v:fill on="f" focussize="0,0"/>
              <v:stroke joinstyle="miter"/>
              <v:imagedata o:title=""/>
              <o:lock v:ext="edit"/>
            </v:shape>
            <v:shape id="_x0000_s5987" o:spid="_x0000_s5987" o:spt="32" type="#_x0000_t32" style="position:absolute;left:2994;top:4342;height:1;width:845;" o:connectortype="straight" filled="f" coordsize="21600,21600">
              <v:path arrowok="t"/>
              <v:fill on="f" focussize="0,0"/>
              <v:stroke endarrow="block"/>
              <v:imagedata o:title=""/>
              <o:lock v:ext="edit"/>
            </v:shape>
            <v:shape id="_x0000_s5988" o:spid="_x0000_s5988" o:spt="32" type="#_x0000_t32" style="position:absolute;left:5501;top:6148;height:353;width:26;" o:connectortype="straight" filled="f" coordsize="21600,21600">
              <v:path arrowok="t"/>
              <v:fill on="f" focussize="0,0"/>
              <v:stroke/>
              <v:imagedata o:title=""/>
              <o:lock v:ext="edit"/>
            </v:shape>
            <v:shape id="_x0000_s5989" o:spid="_x0000_s5989" o:spt="32" type="#_x0000_t32" style="position:absolute;left:3410;top:4339;flip:y;height:4;width:799;" o:connectortype="straight" filled="f" coordsize="21600,21600">
              <v:path arrowok="t"/>
              <v:fill on="f" focussize="0,0"/>
              <v:stroke/>
              <v:imagedata o:title=""/>
              <o:lock v:ext="edit"/>
            </v:shape>
            <v:shape id="_x0000_s5990" o:spid="_x0000_s5990" o:spt="202" type="#_x0000_t202" style="position:absolute;left:4195;top:4132;height:425;width:1690;"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喷射用水</w:t>
                    </w:r>
                  </w:p>
                </w:txbxContent>
              </v:textbox>
            </v:shape>
            <v:shape id="_x0000_s5991" o:spid="_x0000_s5991" o:spt="202" type="#_x0000_t202" style="position:absolute;left:3227;top:3717;height:626;width:1644;"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default" w:ascii="Times New Roman" w:hAnsi="Times New Roman" w:eastAsia="宋体" w:cs="Times New Roman"/>
                        <w:b/>
                        <w:bCs w:val="0"/>
                        <w:color w:val="000000"/>
                        <w:kern w:val="2"/>
                        <w:sz w:val="21"/>
                        <w:szCs w:val="21"/>
                        <w:lang w:val="en-US" w:eastAsia="zh-CN" w:bidi="ar"/>
                      </w:rPr>
                      <w:t>3.3t/a</w:t>
                    </w:r>
                  </w:p>
                </w:txbxContent>
              </v:textbox>
            </v:shape>
            <v:shape id="_x0000_s5992" o:spid="_x0000_s5992" o:spt="33" type="#_x0000_t33" style="position:absolute;left:5040;top:4557;height:342;width:436;rotation:11796480f;" o:connectortype="elbow" filled="f" coordsize="21600,21600" adj="-270694,-289642,-270694">
              <v:path arrowok="t"/>
              <v:fill on="f" focussize="0,0"/>
              <v:stroke endarrow="block"/>
              <v:imagedata o:title=""/>
              <o:lock v:ext="edit"/>
            </v:shape>
            <v:shape id="_x0000_s5993" o:spid="_x0000_s5993" o:spt="32" type="#_x0000_t32" style="position:absolute;left:5475;top:4595;flip:y;height:304;width:1;" o:connectortype="straight" filled="f" coordsize="21600,21600">
              <v:path arrowok="t"/>
              <v:fill on="f" focussize="0,0"/>
              <v:stroke/>
              <v:imagedata o:title=""/>
              <o:lock v:ext="edit"/>
            </v:shape>
            <v:shape id="_x0000_s5994" o:spid="_x0000_s5994" o:spt="202" type="#_x0000_t202" style="position:absolute;left:5040;top:4586;height:383;width:1968;"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val="0"/>
                        <w:sz w:val="21"/>
                        <w:szCs w:val="21"/>
                        <w:lang w:val="en-US"/>
                      </w:rPr>
                    </w:pPr>
                    <w:r>
                      <w:rPr>
                        <w:rFonts w:hint="eastAsia" w:ascii="Times New Roman" w:hAnsi="Times New Roman" w:eastAsia="宋体" w:cs="Times New Roman"/>
                        <w:b/>
                        <w:bCs w:val="0"/>
                        <w:color w:val="000000"/>
                        <w:kern w:val="2"/>
                        <w:sz w:val="21"/>
                        <w:szCs w:val="21"/>
                        <w:lang w:val="en-US" w:eastAsia="zh-CN" w:bidi="ar"/>
                      </w:rPr>
                      <w:t>循环</w:t>
                    </w:r>
                    <w:r>
                      <w:rPr>
                        <w:rFonts w:hint="default" w:ascii="Times New Roman" w:hAnsi="Times New Roman" w:eastAsia="宋体" w:cs="Times New Roman"/>
                        <w:b/>
                        <w:bCs w:val="0"/>
                        <w:color w:val="000000"/>
                        <w:kern w:val="2"/>
                        <w:sz w:val="21"/>
                        <w:szCs w:val="21"/>
                        <w:lang w:val="en-US" w:eastAsia="zh-CN" w:bidi="ar"/>
                      </w:rPr>
                      <w:t>0.2t/a</w:t>
                    </w:r>
                  </w:p>
                </w:txbxContent>
              </v:textbox>
            </v:shape>
            <w10:wrap type="tight"/>
            <w10:anchorlock/>
          </v:group>
        </w:pict>
      </w:r>
    </w:p>
    <w:p>
      <w:pPr>
        <w:pStyle w:val="4"/>
        <w:numPr>
          <w:ilvl w:val="0"/>
          <w:numId w:val="19"/>
        </w:numPr>
        <w:spacing w:beforeLines="0"/>
        <w:rPr>
          <w:rFonts w:ascii="Times New Roman" w:hAnsi="Times New Roman"/>
          <w:color w:val="auto"/>
          <w:sz w:val="24"/>
          <w:szCs w:val="24"/>
        </w:rPr>
      </w:pPr>
      <w:r>
        <w:rPr>
          <w:rFonts w:ascii="Times New Roman" w:hAnsi="Times New Roman"/>
          <w:color w:val="auto"/>
          <w:sz w:val="24"/>
          <w:szCs w:val="24"/>
        </w:rPr>
        <w:t>噪声污染源强分析</w:t>
      </w:r>
    </w:p>
    <w:p>
      <w:pPr>
        <w:ind w:firstLine="480"/>
        <w:rPr>
          <w:rFonts w:ascii="Times New Roman" w:hAnsi="Times New Roman"/>
          <w:color w:val="auto"/>
        </w:rPr>
      </w:pPr>
      <w:r>
        <w:rPr>
          <w:rFonts w:ascii="Times New Roman" w:hAnsi="Times New Roman"/>
          <w:color w:val="auto"/>
        </w:rPr>
        <w:t>项目噪声源主要来自</w:t>
      </w:r>
      <w:r>
        <w:rPr>
          <w:rFonts w:hint="eastAsia" w:ascii="Times New Roman" w:hAnsi="Times New Roman"/>
          <w:color w:val="auto"/>
        </w:rPr>
        <w:t>生产设备</w:t>
      </w:r>
      <w:r>
        <w:rPr>
          <w:rFonts w:ascii="Times New Roman" w:hAnsi="Times New Roman"/>
          <w:color w:val="auto"/>
        </w:rPr>
        <w:t>。根据对同类型项目监测数据，本项目主要生产设备运行噪声如表3-</w:t>
      </w:r>
      <w:r>
        <w:rPr>
          <w:rFonts w:hint="eastAsia" w:ascii="Times New Roman" w:hAnsi="Times New Roman"/>
          <w:color w:val="auto"/>
        </w:rPr>
        <w:t>15</w:t>
      </w:r>
      <w:r>
        <w:rPr>
          <w:rFonts w:ascii="Times New Roman" w:hAnsi="Times New Roman"/>
          <w:color w:val="auto"/>
        </w:rPr>
        <w:t>所示。</w:t>
      </w:r>
    </w:p>
    <w:p>
      <w:pPr>
        <w:numPr>
          <w:ilvl w:val="0"/>
          <w:numId w:val="16"/>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项目主要设备运行噪声</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748"/>
        <w:gridCol w:w="947"/>
        <w:gridCol w:w="1140"/>
        <w:gridCol w:w="756"/>
        <w:gridCol w:w="948"/>
        <w:gridCol w:w="948"/>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1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序号</w:t>
            </w:r>
          </w:p>
        </w:tc>
        <w:tc>
          <w:tcPr>
            <w:tcW w:w="127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名称</w:t>
            </w:r>
          </w:p>
        </w:tc>
        <w:tc>
          <w:tcPr>
            <w:tcW w:w="74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数量</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(台)</w:t>
            </w:r>
          </w:p>
        </w:tc>
        <w:tc>
          <w:tcPr>
            <w:tcW w:w="2087"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空间位置</w:t>
            </w:r>
          </w:p>
        </w:tc>
        <w:tc>
          <w:tcPr>
            <w:tcW w:w="75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color w:val="auto"/>
                <w:sz w:val="21"/>
              </w:rPr>
              <w:t>发声持续时间</w:t>
            </w:r>
          </w:p>
        </w:tc>
        <w:tc>
          <w:tcPr>
            <w:tcW w:w="94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声级</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（dB）</w:t>
            </w:r>
          </w:p>
        </w:tc>
        <w:tc>
          <w:tcPr>
            <w:tcW w:w="94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位置</w:t>
            </w:r>
          </w:p>
        </w:tc>
        <w:tc>
          <w:tcPr>
            <w:tcW w:w="94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所在厂</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房结构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7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室内或室外</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所在车间</w:t>
            </w:r>
          </w:p>
        </w:tc>
        <w:tc>
          <w:tcPr>
            <w:tcW w:w="75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造粒机</w:t>
            </w:r>
          </w:p>
        </w:tc>
        <w:tc>
          <w:tcPr>
            <w:tcW w:w="7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6</w:t>
            </w: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室内</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生产车间</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24h</w:t>
            </w:r>
          </w:p>
        </w:tc>
        <w:tc>
          <w:tcPr>
            <w:tcW w:w="9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73~76</w:t>
            </w:r>
          </w:p>
        </w:tc>
        <w:tc>
          <w:tcPr>
            <w:tcW w:w="94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bCs/>
                <w:color w:val="auto"/>
                <w:sz w:val="21"/>
              </w:rPr>
              <w:t>距离设备1m处测得</w:t>
            </w:r>
          </w:p>
        </w:tc>
        <w:tc>
          <w:tcPr>
            <w:tcW w:w="94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切粒机</w:t>
            </w:r>
          </w:p>
        </w:tc>
        <w:tc>
          <w:tcPr>
            <w:tcW w:w="7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6</w:t>
            </w: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室内</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生产车间</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24h</w:t>
            </w:r>
          </w:p>
        </w:tc>
        <w:tc>
          <w:tcPr>
            <w:tcW w:w="9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74~77</w:t>
            </w: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ind w:left="0" w:right="0" w:firstLine="42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破碎机</w:t>
            </w:r>
          </w:p>
        </w:tc>
        <w:tc>
          <w:tcPr>
            <w:tcW w:w="7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2</w:t>
            </w: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室内</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生产车间</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24h</w:t>
            </w:r>
          </w:p>
        </w:tc>
        <w:tc>
          <w:tcPr>
            <w:tcW w:w="9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77~80</w:t>
            </w: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ind w:left="0" w:right="0" w:firstLine="42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测试机</w:t>
            </w:r>
          </w:p>
        </w:tc>
        <w:tc>
          <w:tcPr>
            <w:tcW w:w="7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1</w:t>
            </w: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室内</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生产车间</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24h</w:t>
            </w:r>
          </w:p>
        </w:tc>
        <w:tc>
          <w:tcPr>
            <w:tcW w:w="9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70~73</w:t>
            </w: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ind w:left="0" w:right="0" w:firstLine="42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切料机</w:t>
            </w:r>
          </w:p>
        </w:tc>
        <w:tc>
          <w:tcPr>
            <w:tcW w:w="7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2</w:t>
            </w: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室内</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生产车间</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24h</w:t>
            </w:r>
          </w:p>
        </w:tc>
        <w:tc>
          <w:tcPr>
            <w:tcW w:w="9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80~83</w:t>
            </w: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风机</w:t>
            </w:r>
          </w:p>
        </w:tc>
        <w:tc>
          <w:tcPr>
            <w:tcW w:w="7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3</w:t>
            </w: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室内</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生产车间</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24h</w:t>
            </w:r>
          </w:p>
        </w:tc>
        <w:tc>
          <w:tcPr>
            <w:tcW w:w="9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80~83</w:t>
            </w: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空压机</w:t>
            </w:r>
          </w:p>
        </w:tc>
        <w:tc>
          <w:tcPr>
            <w:tcW w:w="7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1</w:t>
            </w:r>
          </w:p>
        </w:tc>
        <w:tc>
          <w:tcPr>
            <w:tcW w:w="94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室外</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24h</w:t>
            </w:r>
          </w:p>
        </w:tc>
        <w:tc>
          <w:tcPr>
            <w:tcW w:w="94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80~83</w:t>
            </w: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4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bl>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噪声污染源源强核算结果及相关参数一览表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67"/>
        <w:gridCol w:w="802"/>
        <w:gridCol w:w="810"/>
        <w:gridCol w:w="812"/>
        <w:gridCol w:w="810"/>
        <w:gridCol w:w="1017"/>
        <w:gridCol w:w="1017"/>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14"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序号</w:t>
            </w:r>
          </w:p>
        </w:tc>
        <w:tc>
          <w:tcPr>
            <w:tcW w:w="80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噪声源</w:t>
            </w:r>
          </w:p>
        </w:tc>
        <w:tc>
          <w:tcPr>
            <w:tcW w:w="47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声频类型</w:t>
            </w:r>
          </w:p>
        </w:tc>
        <w:tc>
          <w:tcPr>
            <w:tcW w:w="951"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噪声源强</w:t>
            </w:r>
          </w:p>
        </w:tc>
        <w:tc>
          <w:tcPr>
            <w:tcW w:w="475"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color w:val="auto"/>
                <w:sz w:val="21"/>
              </w:rPr>
              <w:t>降噪措施</w:t>
            </w:r>
          </w:p>
        </w:tc>
        <w:tc>
          <w:tcPr>
            <w:tcW w:w="119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噪声排放值</w:t>
            </w:r>
          </w:p>
        </w:tc>
        <w:tc>
          <w:tcPr>
            <w:tcW w:w="596"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1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0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核算方法</w:t>
            </w: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噪声值</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核算方法</w:t>
            </w: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噪声值</w:t>
            </w: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8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造粒机</w:t>
            </w:r>
          </w:p>
        </w:tc>
        <w:tc>
          <w:tcPr>
            <w:tcW w:w="47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频发</w:t>
            </w:r>
          </w:p>
        </w:tc>
        <w:tc>
          <w:tcPr>
            <w:tcW w:w="475"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类比法</w:t>
            </w: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73~76</w:t>
            </w:r>
          </w:p>
        </w:tc>
        <w:tc>
          <w:tcPr>
            <w:tcW w:w="475"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隔声降噪</w:t>
            </w:r>
          </w:p>
        </w:tc>
        <w:tc>
          <w:tcPr>
            <w:tcW w:w="596"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类比法</w:t>
            </w: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48~51</w:t>
            </w:r>
          </w:p>
        </w:tc>
        <w:tc>
          <w:tcPr>
            <w:tcW w:w="596"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8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切粒机</w:t>
            </w:r>
          </w:p>
        </w:tc>
        <w:tc>
          <w:tcPr>
            <w:tcW w:w="47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hint="eastAsia" w:ascii="Times New Roman" w:hAnsi="Times New Roman"/>
                <w:color w:val="auto"/>
                <w:kern w:val="0"/>
                <w:sz w:val="21"/>
              </w:rPr>
              <w:t>频发</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74~77</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49~52</w:t>
            </w: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8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破碎机</w:t>
            </w:r>
          </w:p>
        </w:tc>
        <w:tc>
          <w:tcPr>
            <w:tcW w:w="47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hint="eastAsia" w:ascii="Times New Roman" w:hAnsi="Times New Roman"/>
                <w:color w:val="auto"/>
                <w:kern w:val="0"/>
                <w:sz w:val="21"/>
              </w:rPr>
              <w:t>频发</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77~80</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52~55</w:t>
            </w: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8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测试机</w:t>
            </w:r>
          </w:p>
        </w:tc>
        <w:tc>
          <w:tcPr>
            <w:tcW w:w="47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hint="eastAsia" w:ascii="Times New Roman" w:hAnsi="Times New Roman"/>
                <w:color w:val="auto"/>
                <w:kern w:val="0"/>
                <w:sz w:val="21"/>
              </w:rPr>
              <w:t>频发</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70~73</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45~48</w:t>
            </w: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8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切料机</w:t>
            </w:r>
          </w:p>
        </w:tc>
        <w:tc>
          <w:tcPr>
            <w:tcW w:w="47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hint="eastAsia" w:ascii="Times New Roman" w:hAnsi="Times New Roman"/>
                <w:color w:val="auto"/>
                <w:kern w:val="0"/>
                <w:sz w:val="21"/>
              </w:rPr>
              <w:t>频发</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80~83</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55~58</w:t>
            </w: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8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风机</w:t>
            </w:r>
          </w:p>
        </w:tc>
        <w:tc>
          <w:tcPr>
            <w:tcW w:w="47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hint="eastAsia" w:ascii="Times New Roman" w:hAnsi="Times New Roman"/>
                <w:color w:val="auto"/>
                <w:kern w:val="0"/>
                <w:sz w:val="21"/>
              </w:rPr>
              <w:t>频发</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80~83</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55~58</w:t>
            </w: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8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空压机</w:t>
            </w:r>
          </w:p>
        </w:tc>
        <w:tc>
          <w:tcPr>
            <w:tcW w:w="47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hint="eastAsia" w:ascii="Times New Roman" w:hAnsi="Times New Roman"/>
                <w:color w:val="auto"/>
                <w:kern w:val="0"/>
                <w:sz w:val="21"/>
              </w:rPr>
              <w:t>频发</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80~83</w:t>
            </w:r>
          </w:p>
        </w:tc>
        <w:tc>
          <w:tcPr>
            <w:tcW w:w="47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55~58</w:t>
            </w:r>
          </w:p>
        </w:tc>
        <w:tc>
          <w:tcPr>
            <w:tcW w:w="59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bl>
    <w:p>
      <w:pPr>
        <w:ind w:firstLine="480"/>
        <w:rPr>
          <w:rFonts w:ascii="Times New Roman" w:hAnsi="Times New Roman"/>
          <w:color w:val="auto"/>
        </w:rPr>
      </w:pPr>
    </w:p>
    <w:p>
      <w:pPr>
        <w:ind w:firstLine="422"/>
        <w:rPr>
          <w:rFonts w:ascii="Times New Roman" w:hAnsi="Times New Roman"/>
          <w:b/>
          <w:color w:val="auto"/>
          <w:sz w:val="21"/>
        </w:rPr>
      </w:pPr>
    </w:p>
    <w:p>
      <w:pPr>
        <w:pStyle w:val="4"/>
        <w:numPr>
          <w:ilvl w:val="0"/>
          <w:numId w:val="19"/>
        </w:numPr>
        <w:spacing w:beforeLines="0"/>
        <w:rPr>
          <w:rFonts w:ascii="Times New Roman" w:hAnsi="Times New Roman"/>
          <w:color w:val="auto"/>
          <w:sz w:val="24"/>
          <w:szCs w:val="24"/>
        </w:rPr>
      </w:pPr>
      <w:r>
        <w:rPr>
          <w:rFonts w:ascii="Times New Roman" w:hAnsi="Times New Roman"/>
          <w:color w:val="auto"/>
          <w:sz w:val="24"/>
          <w:szCs w:val="24"/>
        </w:rPr>
        <w:t>固体废物污染源强分析</w:t>
      </w:r>
    </w:p>
    <w:p>
      <w:pPr>
        <w:ind w:firstLine="480"/>
        <w:rPr>
          <w:rFonts w:ascii="Times New Roman" w:hAnsi="Times New Roman"/>
          <w:color w:val="auto"/>
        </w:rPr>
      </w:pPr>
      <w:r>
        <w:rPr>
          <w:rFonts w:ascii="Times New Roman" w:hAnsi="Times New Roman"/>
          <w:color w:val="auto"/>
        </w:rPr>
        <w:t>本项目产生的固废主要有</w:t>
      </w:r>
      <w:r>
        <w:rPr>
          <w:rFonts w:hint="eastAsia" w:ascii="Times New Roman" w:hAnsi="Times New Roman"/>
          <w:color w:val="auto"/>
        </w:rPr>
        <w:t>边角料、</w:t>
      </w:r>
      <w:r>
        <w:rPr>
          <w:rFonts w:ascii="Times New Roman" w:hAnsi="Times New Roman"/>
          <w:color w:val="auto"/>
        </w:rPr>
        <w:t>挤出机废弃过滤网</w:t>
      </w:r>
      <w:r>
        <w:rPr>
          <w:rFonts w:hint="eastAsia" w:ascii="Times New Roman" w:hAnsi="Times New Roman"/>
          <w:color w:val="auto"/>
        </w:rPr>
        <w:t>、一般分拣废物、危险分拣废物、边角料、废活性炭、废齿轮油、油烟处理收集的废油、</w:t>
      </w:r>
      <w:r>
        <w:rPr>
          <w:rFonts w:hint="eastAsia" w:ascii="Times New Roman" w:hAnsi="Times New Roman"/>
          <w:color w:val="auto"/>
          <w:szCs w:val="22"/>
        </w:rPr>
        <w:t>废UV灯管</w:t>
      </w:r>
      <w:r>
        <w:rPr>
          <w:rFonts w:hint="eastAsia" w:ascii="Times New Roman" w:hAnsi="Times New Roman"/>
          <w:color w:val="auto"/>
        </w:rPr>
        <w:t>、废包装材料</w:t>
      </w:r>
      <w:r>
        <w:rPr>
          <w:rFonts w:ascii="Times New Roman" w:hAnsi="Times New Roman"/>
          <w:color w:val="auto"/>
        </w:rPr>
        <w:t>以及生活垃圾等。</w:t>
      </w:r>
    </w:p>
    <w:p>
      <w:pPr>
        <w:ind w:firstLine="480"/>
        <w:rPr>
          <w:rFonts w:ascii="Times New Roman" w:hAnsi="Times New Roman"/>
          <w:color w:val="auto"/>
        </w:rPr>
      </w:pPr>
      <w:r>
        <w:rPr>
          <w:rFonts w:hint="eastAsia" w:ascii="Times New Roman" w:hAnsi="Times New Roman"/>
          <w:color w:val="auto"/>
          <w:kern w:val="0"/>
        </w:rPr>
        <w:t>（1）工业固废</w:t>
      </w:r>
    </w:p>
    <w:p>
      <w:pPr>
        <w:ind w:firstLine="480"/>
        <w:rPr>
          <w:rFonts w:ascii="Times New Roman" w:hAnsi="Times New Roman"/>
          <w:color w:val="auto"/>
        </w:rPr>
      </w:pPr>
      <w:r>
        <w:rPr>
          <w:rFonts w:hint="eastAsia" w:ascii="Times New Roman" w:hAnsi="Times New Roman" w:cs="宋体"/>
          <w:color w:val="auto"/>
        </w:rPr>
        <w:t>①</w:t>
      </w:r>
      <w:r>
        <w:rPr>
          <w:rFonts w:hint="eastAsia" w:ascii="Times New Roman" w:hAnsi="Times New Roman"/>
          <w:color w:val="auto"/>
        </w:rPr>
        <w:t>副产物</w:t>
      </w:r>
      <w:r>
        <w:rPr>
          <w:rFonts w:ascii="Times New Roman" w:hAnsi="Times New Roman"/>
          <w:color w:val="auto"/>
        </w:rPr>
        <w:t>产生情况</w:t>
      </w:r>
    </w:p>
    <w:p>
      <w:pPr>
        <w:ind w:firstLine="480"/>
        <w:rPr>
          <w:rFonts w:ascii="Times New Roman" w:hAnsi="Times New Roman"/>
          <w:color w:val="auto"/>
        </w:rPr>
      </w:pPr>
      <w:r>
        <w:rPr>
          <w:rFonts w:ascii="Times New Roman" w:hAnsi="Times New Roman"/>
          <w:color w:val="auto"/>
        </w:rPr>
        <w:t>本项目产生的</w:t>
      </w:r>
      <w:r>
        <w:rPr>
          <w:rFonts w:hint="eastAsia" w:ascii="Times New Roman" w:hAnsi="Times New Roman"/>
          <w:color w:val="auto"/>
        </w:rPr>
        <w:t>副产物</w:t>
      </w:r>
      <w:r>
        <w:rPr>
          <w:rFonts w:ascii="Times New Roman" w:hAnsi="Times New Roman"/>
          <w:color w:val="auto"/>
        </w:rPr>
        <w:t>主要为</w:t>
      </w:r>
      <w:r>
        <w:rPr>
          <w:rFonts w:hint="eastAsia" w:ascii="Times New Roman" w:hAnsi="Times New Roman"/>
          <w:color w:val="auto"/>
        </w:rPr>
        <w:t>边角料、</w:t>
      </w:r>
      <w:r>
        <w:rPr>
          <w:rFonts w:ascii="Times New Roman" w:hAnsi="Times New Roman"/>
          <w:color w:val="auto"/>
        </w:rPr>
        <w:t>挤出机废弃过滤网</w:t>
      </w:r>
      <w:r>
        <w:rPr>
          <w:rFonts w:hint="eastAsia" w:ascii="Times New Roman" w:hAnsi="Times New Roman"/>
          <w:color w:val="auto"/>
        </w:rPr>
        <w:t>、一般分拣废物、危险分拣废物、边角料、废活性炭、</w:t>
      </w:r>
      <w:r>
        <w:rPr>
          <w:rFonts w:hint="eastAsia" w:ascii="Times New Roman" w:hAnsi="Times New Roman"/>
          <w:color w:val="auto"/>
          <w:szCs w:val="24"/>
        </w:rPr>
        <w:t>废齿轮油、</w:t>
      </w:r>
      <w:r>
        <w:rPr>
          <w:rFonts w:hint="eastAsia" w:ascii="Times New Roman" w:hAnsi="Times New Roman"/>
          <w:color w:val="auto"/>
        </w:rPr>
        <w:t>油烟处理收集的废油和废包装材料</w:t>
      </w:r>
      <w:r>
        <w:rPr>
          <w:rFonts w:ascii="Times New Roman" w:hAnsi="Times New Roman"/>
          <w:color w:val="auto"/>
        </w:rPr>
        <w:t>。</w:t>
      </w:r>
    </w:p>
    <w:p>
      <w:pPr>
        <w:spacing w:line="348" w:lineRule="auto"/>
        <w:ind w:firstLine="480"/>
        <w:rPr>
          <w:rFonts w:ascii="Times New Roman" w:hAnsi="Times New Roman"/>
          <w:color w:val="auto"/>
          <w:lang w:val="zh-CN"/>
        </w:rPr>
      </w:pPr>
      <w:r>
        <w:rPr>
          <w:rFonts w:hint="eastAsia" w:ascii="Times New Roman" w:hAnsi="Times New Roman"/>
          <w:color w:val="auto"/>
        </w:rPr>
        <w:t>①</w:t>
      </w:r>
      <w:r>
        <w:rPr>
          <w:rFonts w:ascii="Times New Roman" w:hAnsi="Times New Roman"/>
          <w:color w:val="auto"/>
        </w:rPr>
        <w:t>废包装材料</w:t>
      </w:r>
      <w:r>
        <w:rPr>
          <w:rFonts w:hint="eastAsia" w:ascii="Times New Roman" w:hAnsi="Times New Roman"/>
          <w:color w:val="auto"/>
        </w:rPr>
        <w:t>：</w:t>
      </w:r>
      <w:r>
        <w:rPr>
          <w:rFonts w:hint="eastAsia" w:ascii="Times New Roman" w:hAnsi="Times New Roman"/>
          <w:color w:val="auto"/>
          <w:kern w:val="0"/>
        </w:rPr>
        <w:t>根据项目原材料使用情况，预计原材料包装废物产生量为0.3</w:t>
      </w:r>
      <w:r>
        <w:rPr>
          <w:rFonts w:ascii="Times New Roman" w:hAnsi="Times New Roman"/>
          <w:color w:val="auto"/>
          <w:kern w:val="0"/>
        </w:rPr>
        <w:t>t/a。主要成分为纸和塑料，收集后</w:t>
      </w:r>
      <w:r>
        <w:rPr>
          <w:rFonts w:hint="eastAsia" w:ascii="Times New Roman" w:hAnsi="Times New Roman"/>
          <w:color w:val="auto"/>
          <w:kern w:val="0"/>
        </w:rPr>
        <w:t>由相关单位回收综合利用</w:t>
      </w:r>
      <w:r>
        <w:rPr>
          <w:rFonts w:ascii="Times New Roman" w:hAnsi="Times New Roman"/>
          <w:color w:val="auto"/>
          <w:kern w:val="0"/>
        </w:rPr>
        <w:t>。</w:t>
      </w:r>
    </w:p>
    <w:p>
      <w:pPr>
        <w:ind w:firstLine="480"/>
        <w:rPr>
          <w:rFonts w:ascii="Times New Roman" w:hAnsi="Times New Roman"/>
          <w:color w:val="auto"/>
        </w:rPr>
      </w:pPr>
      <w:r>
        <w:rPr>
          <w:rFonts w:hint="eastAsia" w:ascii="Times New Roman" w:hAnsi="Times New Roman" w:cs="宋体"/>
          <w:color w:val="auto"/>
          <w:kern w:val="0"/>
          <w:szCs w:val="24"/>
        </w:rPr>
        <w:t>②边角料：本项目废塑料造粒过程中会产生一定量的边角料，该部分废料可全部重新回用至生产过程，不做固废处置。</w:t>
      </w:r>
    </w:p>
    <w:p>
      <w:pPr>
        <w:ind w:firstLine="480"/>
        <w:rPr>
          <w:rFonts w:ascii="Times New Roman" w:hAnsi="Times New Roman"/>
          <w:color w:val="auto"/>
        </w:rPr>
      </w:pPr>
      <w:r>
        <w:rPr>
          <w:rFonts w:hint="eastAsia" w:ascii="Times New Roman" w:hAnsi="Times New Roman"/>
          <w:color w:val="auto"/>
        </w:rPr>
        <w:t>③一般分拣废物：本项目不涉及废塑料清洗，因此对原料的清洁程度要求较高，即掺杂在废塑料中的杂物较少，根据类比，本项目营运期一般分拣废物产生量约为4.7</w:t>
      </w:r>
      <w:r>
        <w:rPr>
          <w:rFonts w:ascii="Times New Roman" w:hAnsi="Times New Roman"/>
          <w:color w:val="auto"/>
        </w:rPr>
        <w:t>t/a。分拣废物中主要</w:t>
      </w:r>
      <w:r>
        <w:rPr>
          <w:rFonts w:hint="eastAsia" w:ascii="Times New Roman" w:hAnsi="Times New Roman"/>
          <w:color w:val="auto"/>
        </w:rPr>
        <w:t>为纸张、金属、清洁度较低的废塑料等，该部分固废集中收集后可外售综合利用。</w:t>
      </w:r>
    </w:p>
    <w:p>
      <w:pPr>
        <w:ind w:firstLine="480"/>
        <w:rPr>
          <w:rFonts w:ascii="Times New Roman" w:hAnsi="Times New Roman"/>
          <w:color w:val="auto"/>
        </w:rPr>
      </w:pPr>
      <w:r>
        <w:rPr>
          <w:rFonts w:hint="eastAsia" w:ascii="Times New Roman" w:hAnsi="Times New Roman"/>
          <w:color w:val="auto"/>
        </w:rPr>
        <w:t>④危险分拣废物：考虑到废塑料来源的不确定性，本项目回收的废塑料中有可能会存在少量的，若在不知情的情况下会收到不符合本项目生产需要的废塑料，例如被危险化学品、农药等污染的废弃塑料包装物，废弃的一次性医疗用塑料制品（如输液器、血袋），盛装农药、废染料、强酸、强碱的废塑料等，根据类比，本项目危险分拣废物产生量约为</w:t>
      </w:r>
      <w:r>
        <w:rPr>
          <w:rFonts w:ascii="Times New Roman" w:hAnsi="Times New Roman"/>
          <w:color w:val="auto"/>
        </w:rPr>
        <w:t xml:space="preserve"> 0.1t/a。</w:t>
      </w:r>
      <w:r>
        <w:rPr>
          <w:rFonts w:hint="eastAsia" w:ascii="Times New Roman" w:hAnsi="Times New Roman"/>
          <w:color w:val="auto"/>
        </w:rPr>
        <w:t>企业需将该类废塑料暂存于专用仓库内，并委托专门单位进行处置。</w:t>
      </w:r>
    </w:p>
    <w:p>
      <w:pPr>
        <w:ind w:firstLine="480"/>
        <w:rPr>
          <w:rFonts w:ascii="Times New Roman" w:hAnsi="Times New Roman"/>
          <w:color w:val="auto"/>
        </w:rPr>
      </w:pPr>
      <w:r>
        <w:rPr>
          <w:rFonts w:hint="eastAsia" w:ascii="Times New Roman" w:hAnsi="Times New Roman"/>
          <w:color w:val="auto"/>
        </w:rPr>
        <w:t>⑤收集的粉尘：根据源强计算，本项目破碎工序收集的粉尘量约12t/a。</w:t>
      </w:r>
    </w:p>
    <w:p>
      <w:pPr>
        <w:ind w:firstLine="480"/>
        <w:rPr>
          <w:rFonts w:ascii="Times New Roman" w:hAnsi="Times New Roman"/>
          <w:color w:val="auto"/>
        </w:rPr>
      </w:pPr>
      <w:r>
        <w:rPr>
          <w:rFonts w:hint="eastAsia" w:ascii="Times New Roman" w:hAnsi="Times New Roman"/>
          <w:color w:val="auto"/>
        </w:rPr>
        <w:t>⑥</w:t>
      </w:r>
      <w:r>
        <w:rPr>
          <w:rFonts w:hint="eastAsia" w:ascii="Times New Roman" w:hAnsi="Times New Roman" w:cs="宋体"/>
          <w:color w:val="auto"/>
          <w:kern w:val="0"/>
          <w:szCs w:val="24"/>
        </w:rPr>
        <w:t>挤出机废弃过滤网：</w:t>
      </w:r>
      <w:r>
        <w:rPr>
          <w:rFonts w:ascii="Times New Roman" w:hAnsi="Times New Roman"/>
          <w:color w:val="auto"/>
        </w:rPr>
        <w:t>挤出机过滤网经过一段时间的使用，会因塑料黏在表面等原因使其过滤功能降低，产生一定量的废弃过滤网，根据业主提供的资料，废弃过滤网产生量约</w:t>
      </w:r>
      <w:r>
        <w:rPr>
          <w:rFonts w:hint="eastAsia" w:ascii="Times New Roman" w:hAnsi="Times New Roman"/>
          <w:color w:val="auto"/>
        </w:rPr>
        <w:t>2</w:t>
      </w:r>
      <w:r>
        <w:rPr>
          <w:rFonts w:ascii="Times New Roman" w:hAnsi="Times New Roman"/>
          <w:color w:val="auto"/>
        </w:rPr>
        <w:t>t/a</w:t>
      </w:r>
      <w:r>
        <w:rPr>
          <w:rFonts w:hint="eastAsia" w:ascii="Times New Roman" w:hAnsi="Times New Roman"/>
          <w:color w:val="auto"/>
        </w:rPr>
        <w:t>。</w:t>
      </w:r>
    </w:p>
    <w:p>
      <w:pPr>
        <w:ind w:firstLine="480"/>
        <w:rPr>
          <w:rFonts w:ascii="Times New Roman" w:hAnsi="Times New Roman"/>
          <w:color w:val="auto"/>
        </w:rPr>
      </w:pPr>
      <w:r>
        <w:rPr>
          <w:rFonts w:hint="eastAsia" w:ascii="Times New Roman" w:hAnsi="Times New Roman"/>
          <w:color w:val="auto"/>
        </w:rPr>
        <w:t>⑦废活性炭：</w:t>
      </w:r>
      <w:r>
        <w:rPr>
          <w:rFonts w:ascii="Times New Roman" w:hAnsi="Times New Roman"/>
          <w:color w:val="auto"/>
        </w:rPr>
        <w:t>项目有机废气收集后通</w:t>
      </w:r>
      <w:r>
        <w:rPr>
          <w:rFonts w:hint="eastAsia" w:ascii="Times New Roman" w:hAnsi="Times New Roman"/>
          <w:color w:val="auto"/>
        </w:rPr>
        <w:t>UV光催化</w:t>
      </w:r>
      <w:r>
        <w:rPr>
          <w:rFonts w:ascii="Times New Roman" w:hAnsi="Times New Roman"/>
          <w:color w:val="auto"/>
        </w:rPr>
        <w:t>+活性炭吸附处理，在处理过程中会产生废活性炭，根据《浙江省工业涂装工序挥发性有机物排放量计算暂行方法》，吸附剂为活性炭时，VOCs质量百分含量按15%计（核算基准为吸附剂使用量），</w:t>
      </w:r>
      <w:r>
        <w:rPr>
          <w:rFonts w:ascii="Times New Roman" w:hAnsi="Times New Roman"/>
          <w:color w:val="auto"/>
          <w:szCs w:val="24"/>
        </w:rPr>
        <w:t>本项目采用</w:t>
      </w:r>
      <w:r>
        <w:rPr>
          <w:rFonts w:hint="eastAsia" w:ascii="Times New Roman" w:hAnsi="Times New Roman"/>
          <w:color w:val="auto"/>
          <w:szCs w:val="24"/>
        </w:rPr>
        <w:t>uv光氧化</w:t>
      </w:r>
      <w:r>
        <w:rPr>
          <w:rFonts w:ascii="Times New Roman" w:hAnsi="Times New Roman"/>
          <w:color w:val="auto"/>
          <w:szCs w:val="24"/>
        </w:rPr>
        <w:t>装置去除</w:t>
      </w:r>
      <w:r>
        <w:rPr>
          <w:rFonts w:hint="eastAsia" w:ascii="Times New Roman" w:hAnsi="Times New Roman"/>
          <w:color w:val="auto"/>
          <w:szCs w:val="24"/>
        </w:rPr>
        <w:t>2</w:t>
      </w:r>
      <w:r>
        <w:rPr>
          <w:rFonts w:ascii="Times New Roman" w:hAnsi="Times New Roman"/>
          <w:color w:val="auto"/>
          <w:szCs w:val="24"/>
        </w:rPr>
        <w:t>0%的VOCs废气后，剩余的VOCs约</w:t>
      </w:r>
      <w:r>
        <w:rPr>
          <w:rFonts w:hint="eastAsia" w:ascii="Times New Roman" w:hAnsi="Times New Roman"/>
          <w:color w:val="auto"/>
          <w:szCs w:val="24"/>
        </w:rPr>
        <w:t>4.122</w:t>
      </w:r>
      <w:r>
        <w:rPr>
          <w:rFonts w:ascii="Times New Roman" w:hAnsi="Times New Roman"/>
          <w:color w:val="auto"/>
          <w:szCs w:val="24"/>
        </w:rPr>
        <w:t>t由活性炭吸附处理，</w:t>
      </w:r>
      <w:r>
        <w:rPr>
          <w:rFonts w:ascii="Times New Roman" w:hAnsi="Times New Roman"/>
          <w:color w:val="auto"/>
        </w:rPr>
        <w:t>本项目废活性炭产生量约为</w:t>
      </w:r>
      <w:r>
        <w:rPr>
          <w:rFonts w:hint="eastAsia" w:ascii="Times New Roman" w:hAnsi="Times New Roman"/>
          <w:color w:val="auto"/>
        </w:rPr>
        <w:t>27</w:t>
      </w:r>
      <w:r>
        <w:rPr>
          <w:rFonts w:ascii="Times New Roman" w:hAnsi="Times New Roman"/>
          <w:color w:val="auto"/>
        </w:rPr>
        <w:t>t/a。</w:t>
      </w:r>
    </w:p>
    <w:p>
      <w:pPr>
        <w:ind w:firstLine="480"/>
        <w:rPr>
          <w:rFonts w:ascii="Times New Roman" w:hAnsi="Times New Roman"/>
          <w:color w:val="auto"/>
        </w:rPr>
      </w:pPr>
      <w:r>
        <w:rPr>
          <w:rFonts w:hint="eastAsia" w:ascii="Times New Roman" w:hAnsi="Times New Roman"/>
          <w:color w:val="auto"/>
        </w:rPr>
        <w:t>⑧废齿轮油：本项目变速箱使用废齿轮油，1年更换一次，根据业主提供资料，产生量约为0.2t/a。</w:t>
      </w:r>
    </w:p>
    <w:p>
      <w:pPr>
        <w:ind w:firstLine="480"/>
        <w:rPr>
          <w:rFonts w:ascii="Times New Roman" w:hAnsi="Times New Roman"/>
          <w:color w:val="auto"/>
        </w:rPr>
      </w:pPr>
      <w:r>
        <w:rPr>
          <w:rFonts w:hint="eastAsia" w:ascii="Times New Roman" w:hAnsi="Times New Roman"/>
          <w:color w:val="auto"/>
        </w:rPr>
        <w:t>⑨油烟处理收集的废油：根据类比调查，本项目废油产生量约0.7t/a。</w:t>
      </w:r>
      <w:r>
        <w:rPr>
          <w:rFonts w:ascii="Times New Roman" w:hAnsi="Times New Roman"/>
          <w:color w:val="auto"/>
        </w:rPr>
        <w:t>根据《国家危险废物名录》（2016版）规定，</w:t>
      </w:r>
      <w:r>
        <w:rPr>
          <w:rFonts w:hint="eastAsia" w:ascii="Times New Roman" w:hAnsi="Times New Roman"/>
          <w:color w:val="auto"/>
        </w:rPr>
        <w:t>废油</w:t>
      </w:r>
      <w:r>
        <w:rPr>
          <w:rFonts w:ascii="Times New Roman" w:hAnsi="Times New Roman"/>
          <w:color w:val="auto"/>
        </w:rPr>
        <w:t>属于危险废物（</w:t>
      </w:r>
      <w:r>
        <w:rPr>
          <w:rFonts w:hint="eastAsia" w:ascii="Times New Roman" w:hAnsi="Times New Roman"/>
          <w:color w:val="auto"/>
        </w:rPr>
        <w:t>危废</w:t>
      </w:r>
      <w:r>
        <w:rPr>
          <w:rFonts w:ascii="Times New Roman" w:hAnsi="Times New Roman"/>
          <w:color w:val="auto"/>
        </w:rPr>
        <w:t>代码HW08</w:t>
      </w:r>
      <w:r>
        <w:rPr>
          <w:rFonts w:hint="eastAsia" w:ascii="Times New Roman" w:hAnsi="Times New Roman"/>
          <w:color w:val="auto"/>
        </w:rPr>
        <w:t>，</w:t>
      </w:r>
      <w:r>
        <w:rPr>
          <w:rFonts w:ascii="Times New Roman" w:hAnsi="Times New Roman"/>
          <w:color w:val="auto"/>
        </w:rPr>
        <w:t>900-249-08），应收集后暂存，委托有相应资质单位集中处置。</w:t>
      </w:r>
    </w:p>
    <w:p>
      <w:pPr>
        <w:ind w:firstLine="480"/>
        <w:rPr>
          <w:rFonts w:ascii="Times New Roman" w:hAnsi="Times New Roman"/>
          <w:color w:val="auto"/>
        </w:rPr>
      </w:pPr>
      <w:r>
        <w:rPr>
          <w:rFonts w:hint="eastAsia" w:ascii="Times New Roman" w:hAnsi="Times New Roman"/>
          <w:color w:val="auto"/>
        </w:rPr>
        <w:t>⑩</w:t>
      </w:r>
      <w:r>
        <w:rPr>
          <w:rFonts w:hint="eastAsia" w:ascii="Times New Roman" w:hAnsi="Times New Roman"/>
          <w:color w:val="auto"/>
          <w:szCs w:val="22"/>
        </w:rPr>
        <w:t>废UV灯管</w:t>
      </w:r>
      <w:r>
        <w:rPr>
          <w:rFonts w:hint="eastAsia" w:ascii="Times New Roman" w:hAnsi="Times New Roman"/>
          <w:color w:val="auto"/>
        </w:rPr>
        <w:t>：</w:t>
      </w:r>
      <w:r>
        <w:rPr>
          <w:rFonts w:hint="eastAsia" w:ascii="Times New Roman" w:hAnsi="Times New Roman"/>
          <w:color w:val="auto"/>
          <w:szCs w:val="22"/>
        </w:rPr>
        <w:t>项目UV光氧设备需定期维护并更换UV灯管，更换周期为3~5年，UV灯管属于危险废物HW29 含汞废物（900-023-29：生产、销售及使用过程中产生的废含汞荧光灯管及其他废含汞电光源），产生量约为0.01t/a，委托有资质单位处置。</w:t>
      </w:r>
    </w:p>
    <w:p>
      <w:pPr>
        <w:ind w:firstLine="480"/>
        <w:rPr>
          <w:rFonts w:ascii="Times New Roman" w:hAnsi="Times New Roman"/>
          <w:color w:val="auto"/>
        </w:rPr>
      </w:pPr>
      <w:r>
        <w:rPr>
          <w:rFonts w:ascii="Times New Roman" w:hAnsi="Times New Roman"/>
          <w:color w:val="auto"/>
        </w:rPr>
        <w:t>本项目副产物的产生情况见表3</w:t>
      </w:r>
      <w:r>
        <w:rPr>
          <w:rFonts w:hint="eastAsia" w:ascii="Times New Roman" w:hAnsi="Times New Roman"/>
          <w:color w:val="auto"/>
        </w:rPr>
        <w:t>-16</w:t>
      </w:r>
      <w:r>
        <w:rPr>
          <w:rFonts w:ascii="Times New Roman" w:hAnsi="Times New Roman"/>
          <w:color w:val="auto"/>
        </w:rPr>
        <w:t>。</w:t>
      </w:r>
    </w:p>
    <w:p>
      <w:pPr>
        <w:numPr>
          <w:ilvl w:val="0"/>
          <w:numId w:val="16"/>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本项目副产物的产生情况</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904"/>
        <w:gridCol w:w="1853"/>
        <w:gridCol w:w="756"/>
        <w:gridCol w:w="2004"/>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名称</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产生工序</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形态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主要成分</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原料包装</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固态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纸、塑料</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纸张、金属、塑</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料等废弃物</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残留危化品、废</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塑料等</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粉尘收集、打扫</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塑料</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挤出机废弃过滤网</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滤网更换</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固态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金属、塑料</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s="宋体"/>
                <w:color w:val="auto"/>
                <w:sz w:val="21"/>
              </w:rPr>
              <w:t>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VOCs、活性炭</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r>
              <w:rPr>
                <w:rFonts w:ascii="Times New Roman" w:hAnsi="Times New Roman"/>
                <w:color w:val="auto"/>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设备使用</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液态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矿物油</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油烟处理</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液态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矿物油</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w:t>
            </w:r>
          </w:p>
        </w:tc>
        <w:tc>
          <w:tcPr>
            <w:tcW w:w="19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185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75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200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含汞废物</w:t>
            </w:r>
          </w:p>
        </w:tc>
        <w:tc>
          <w:tcPr>
            <w:tcW w:w="125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0.01t/a</w:t>
            </w:r>
          </w:p>
        </w:tc>
      </w:tr>
    </w:tbl>
    <w:p>
      <w:pPr>
        <w:ind w:firstLine="480"/>
        <w:rPr>
          <w:rFonts w:ascii="Times New Roman" w:hAnsi="Times New Roman"/>
          <w:color w:val="auto"/>
          <w:szCs w:val="24"/>
        </w:rPr>
      </w:pPr>
      <w:r>
        <w:rPr>
          <w:rFonts w:hint="eastAsia" w:ascii="Times New Roman" w:hAnsi="Times New Roman" w:cs="宋体"/>
          <w:color w:val="auto"/>
          <w:szCs w:val="24"/>
        </w:rPr>
        <w:t>②</w:t>
      </w:r>
      <w:r>
        <w:rPr>
          <w:rFonts w:ascii="Times New Roman" w:hAnsi="Times New Roman"/>
          <w:color w:val="auto"/>
          <w:szCs w:val="24"/>
        </w:rPr>
        <w:t>副产物属性判定</w:t>
      </w:r>
      <w:r>
        <w:rPr>
          <w:rFonts w:hint="eastAsia" w:ascii="Times New Roman" w:hAnsi="Times New Roman"/>
          <w:color w:val="auto"/>
          <w:sz w:val="21"/>
        </w:rPr>
        <w:t>固态</w:t>
      </w:r>
    </w:p>
    <w:p>
      <w:pPr>
        <w:widowControl/>
        <w:ind w:firstLine="480"/>
        <w:rPr>
          <w:rFonts w:ascii="Times New Roman" w:hAnsi="Times New Roman"/>
          <w:color w:val="auto"/>
          <w:kern w:val="0"/>
          <w:szCs w:val="24"/>
        </w:rPr>
      </w:pPr>
      <w:r>
        <w:rPr>
          <w:rFonts w:ascii="Times New Roman" w:hAnsi="Times New Roman"/>
          <w:color w:val="auto"/>
          <w:kern w:val="0"/>
          <w:szCs w:val="24"/>
        </w:rPr>
        <w:t>固体废物属性判定结果见表3</w:t>
      </w:r>
      <w:r>
        <w:rPr>
          <w:rFonts w:hint="eastAsia" w:ascii="Times New Roman" w:hAnsi="Times New Roman"/>
          <w:color w:val="auto"/>
          <w:kern w:val="0"/>
          <w:szCs w:val="24"/>
        </w:rPr>
        <w:t>-17</w:t>
      </w:r>
      <w:r>
        <w:rPr>
          <w:rFonts w:ascii="Times New Roman" w:hAnsi="Times New Roman"/>
          <w:color w:val="auto"/>
          <w:kern w:val="0"/>
          <w:szCs w:val="24"/>
        </w:rPr>
        <w:t>，表中的“判定依据”指《固体废物鉴别</w:t>
      </w:r>
      <w:r>
        <w:rPr>
          <w:rFonts w:hint="eastAsia" w:ascii="Times New Roman" w:hAnsi="Times New Roman"/>
          <w:color w:val="auto"/>
          <w:kern w:val="0"/>
          <w:szCs w:val="24"/>
        </w:rPr>
        <w:t xml:space="preserve">  通则</w:t>
      </w:r>
      <w:r>
        <w:rPr>
          <w:rFonts w:ascii="Times New Roman" w:hAnsi="Times New Roman"/>
          <w:color w:val="auto"/>
          <w:kern w:val="0"/>
          <w:szCs w:val="24"/>
        </w:rPr>
        <w:t>》</w:t>
      </w:r>
      <w:r>
        <w:rPr>
          <w:rFonts w:hint="eastAsia" w:ascii="Times New Roman" w:hAnsi="Times New Roman"/>
          <w:color w:val="auto"/>
          <w:kern w:val="0"/>
          <w:szCs w:val="24"/>
        </w:rPr>
        <w:t>的规定进行判定</w:t>
      </w:r>
      <w:r>
        <w:rPr>
          <w:rFonts w:ascii="Times New Roman" w:hAnsi="Times New Roman"/>
          <w:color w:val="auto"/>
          <w:kern w:val="0"/>
          <w:szCs w:val="24"/>
        </w:rPr>
        <w:t>。</w:t>
      </w:r>
    </w:p>
    <w:p>
      <w:pPr>
        <w:numPr>
          <w:ilvl w:val="0"/>
          <w:numId w:val="16"/>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建设项目副产物属性判定</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549"/>
        <w:gridCol w:w="1769"/>
        <w:gridCol w:w="667"/>
        <w:gridCol w:w="1769"/>
        <w:gridCol w:w="1109"/>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名称</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产生工序</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形态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主要成分</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是否属于</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固体废物</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判定</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依据量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原料包装</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固态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纸、塑料</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4.1，i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纸张、金属、塑</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料等废弃物</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残留危化品、废</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塑料等</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粉尘收集、打扫</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塑料</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挤出机废弃过滤网</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滤网更换</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固态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金属、塑料</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VOCs、活性炭</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设备使用</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液态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矿物油</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油烟处理</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液态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矿物油</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w:t>
            </w:r>
            <w:r>
              <w:rPr>
                <w:rFonts w:hint="eastAsia" w:ascii="Times New Roman" w:hAnsi="Times New Roman"/>
                <w:color w:val="auto"/>
                <w:sz w:val="21"/>
              </w:rPr>
              <w:t>3</w:t>
            </w:r>
            <w:r>
              <w:rPr>
                <w:rFonts w:ascii="Times New Roman" w:hAnsi="Times New Roman"/>
                <w:color w:val="auto"/>
                <w:sz w:val="21"/>
              </w:rPr>
              <w:t>，</w:t>
            </w:r>
            <w:r>
              <w:rPr>
                <w:rFonts w:hint="eastAsia" w:ascii="Times New Roman" w:hAnsi="Times New Roman"/>
                <w:color w:val="auto"/>
                <w:sz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w:t>
            </w:r>
          </w:p>
        </w:tc>
        <w:tc>
          <w:tcPr>
            <w:tcW w:w="15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6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固态</w:t>
            </w:r>
          </w:p>
        </w:tc>
        <w:tc>
          <w:tcPr>
            <w:tcW w:w="17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含汞废物</w:t>
            </w:r>
          </w:p>
        </w:tc>
        <w:tc>
          <w:tcPr>
            <w:tcW w:w="11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w:t>
            </w:r>
          </w:p>
        </w:tc>
        <w:tc>
          <w:tcPr>
            <w:tcW w:w="99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w:t>
            </w:r>
            <w:r>
              <w:rPr>
                <w:rFonts w:hint="eastAsia" w:ascii="Times New Roman" w:hAnsi="Times New Roman"/>
                <w:color w:val="auto"/>
                <w:sz w:val="21"/>
              </w:rPr>
              <w:t>3</w:t>
            </w:r>
            <w:r>
              <w:rPr>
                <w:rFonts w:ascii="Times New Roman" w:hAnsi="Times New Roman"/>
                <w:color w:val="auto"/>
                <w:sz w:val="21"/>
              </w:rPr>
              <w:t>，</w:t>
            </w:r>
            <w:r>
              <w:rPr>
                <w:rFonts w:hint="eastAsia" w:ascii="Times New Roman" w:hAnsi="Times New Roman"/>
                <w:color w:val="auto"/>
                <w:sz w:val="21"/>
              </w:rPr>
              <w:t>n</w:t>
            </w:r>
          </w:p>
        </w:tc>
      </w:tr>
    </w:tbl>
    <w:p>
      <w:pPr>
        <w:widowControl/>
        <w:ind w:firstLine="480"/>
        <w:rPr>
          <w:rFonts w:ascii="Times New Roman" w:hAnsi="Times New Roman"/>
          <w:color w:val="auto"/>
          <w:szCs w:val="24"/>
        </w:rPr>
      </w:pPr>
      <w:r>
        <w:rPr>
          <w:rFonts w:hint="eastAsia" w:ascii="Times New Roman" w:hAnsi="Times New Roman" w:cs="宋体"/>
          <w:color w:val="auto"/>
          <w:szCs w:val="24"/>
        </w:rPr>
        <w:t>③</w:t>
      </w:r>
      <w:r>
        <w:rPr>
          <w:rFonts w:ascii="Times New Roman" w:hAnsi="Times New Roman"/>
          <w:color w:val="auto"/>
          <w:szCs w:val="24"/>
        </w:rPr>
        <w:t>危险废物属性判定</w:t>
      </w:r>
    </w:p>
    <w:p>
      <w:pPr>
        <w:widowControl/>
        <w:ind w:firstLine="482" w:firstLineChars="0"/>
        <w:rPr>
          <w:rFonts w:ascii="Times New Roman" w:hAnsi="Times New Roman"/>
          <w:color w:val="auto"/>
          <w:kern w:val="0"/>
          <w:szCs w:val="24"/>
        </w:rPr>
      </w:pPr>
      <w:r>
        <w:rPr>
          <w:rFonts w:ascii="Times New Roman" w:hAnsi="Times New Roman"/>
          <w:color w:val="auto"/>
          <w:kern w:val="0"/>
          <w:szCs w:val="24"/>
        </w:rPr>
        <w:t>根据《国家危险废物名录》</w:t>
      </w:r>
      <w:r>
        <w:rPr>
          <w:rFonts w:hint="eastAsia" w:ascii="Times New Roman" w:hAnsi="Times New Roman"/>
          <w:color w:val="auto"/>
          <w:kern w:val="0"/>
          <w:szCs w:val="24"/>
        </w:rPr>
        <w:t>（2016版）</w:t>
      </w:r>
      <w:r>
        <w:rPr>
          <w:rFonts w:ascii="Times New Roman" w:hAnsi="Times New Roman"/>
          <w:color w:val="auto"/>
          <w:kern w:val="0"/>
          <w:szCs w:val="24"/>
        </w:rPr>
        <w:t>以及《危险废物鉴别标准》进行判定。危险废物属性判定详见表3</w:t>
      </w:r>
      <w:r>
        <w:rPr>
          <w:rFonts w:hint="eastAsia" w:ascii="Times New Roman" w:hAnsi="Times New Roman"/>
          <w:color w:val="auto"/>
          <w:kern w:val="0"/>
          <w:szCs w:val="24"/>
        </w:rPr>
        <w:t>-18</w:t>
      </w:r>
      <w:r>
        <w:rPr>
          <w:rFonts w:ascii="Times New Roman" w:hAnsi="Times New Roman"/>
          <w:color w:val="auto"/>
          <w:kern w:val="0"/>
          <w:szCs w:val="24"/>
        </w:rPr>
        <w:t>。</w:t>
      </w:r>
    </w:p>
    <w:p>
      <w:pPr>
        <w:numPr>
          <w:ilvl w:val="0"/>
          <w:numId w:val="16"/>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 xml:space="preserve">  危险废物属性判定</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934"/>
        <w:gridCol w:w="1945"/>
        <w:gridCol w:w="1960"/>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副产物名称</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产生工序</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是否属于危险废物</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废物代码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原料包装</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否</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否</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HW49</w:t>
            </w:r>
            <w:r>
              <w:rPr>
                <w:rFonts w:hint="eastAsia" w:ascii="Times New Roman" w:hAnsi="Times New Roman"/>
                <w:color w:val="auto"/>
                <w:sz w:val="21"/>
              </w:rPr>
              <w:t>/</w:t>
            </w:r>
            <w:r>
              <w:rPr>
                <w:rFonts w:ascii="Times New Roman" w:hAnsi="Times New Roman"/>
                <w:color w:val="auto"/>
                <w:sz w:val="21"/>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粉尘收集、打扫</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否</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挤出机废弃过滤网</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 w:val="21"/>
              </w:rPr>
            </w:pPr>
            <w:r>
              <w:rPr>
                <w:rFonts w:hint="eastAsia" w:ascii="Times New Roman" w:hAnsi="Times New Roman"/>
                <w:color w:val="auto"/>
                <w:sz w:val="21"/>
              </w:rPr>
              <w:t>滤网更换</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否</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HW49</w:t>
            </w:r>
            <w:r>
              <w:rPr>
                <w:rFonts w:hint="eastAsia" w:ascii="Times New Roman" w:hAnsi="Times New Roman"/>
                <w:color w:val="auto"/>
                <w:sz w:val="21"/>
              </w:rPr>
              <w:t>/</w:t>
            </w:r>
            <w:r>
              <w:rPr>
                <w:rFonts w:ascii="Times New Roman" w:hAnsi="Times New Roman"/>
                <w:color w:val="auto"/>
                <w:sz w:val="21"/>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设备使用</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HW08</w:t>
            </w:r>
            <w:r>
              <w:rPr>
                <w:rFonts w:hint="eastAsia" w:ascii="Times New Roman" w:hAnsi="Times New Roman"/>
                <w:color w:val="auto"/>
                <w:sz w:val="21"/>
              </w:rPr>
              <w:t>/</w:t>
            </w:r>
            <w:r>
              <w:rPr>
                <w:rFonts w:ascii="Times New Roman" w:hAnsi="Times New Roman"/>
                <w:color w:val="auto"/>
                <w:sz w:val="21"/>
              </w:rPr>
              <w:t>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8</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油烟处理</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HW08</w:t>
            </w:r>
            <w:r>
              <w:rPr>
                <w:rFonts w:hint="eastAsia" w:ascii="Times New Roman" w:hAnsi="Times New Roman"/>
                <w:color w:val="auto"/>
                <w:sz w:val="21"/>
              </w:rPr>
              <w:t>/</w:t>
            </w:r>
            <w:r>
              <w:rPr>
                <w:rFonts w:ascii="Times New Roman" w:hAnsi="Times New Roman"/>
                <w:color w:val="auto"/>
                <w:sz w:val="21"/>
              </w:rPr>
              <w:t>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w:t>
            </w:r>
          </w:p>
        </w:tc>
        <w:tc>
          <w:tcPr>
            <w:tcW w:w="19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19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196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w:t>
            </w:r>
          </w:p>
        </w:tc>
        <w:tc>
          <w:tcPr>
            <w:tcW w:w="196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HW29/900-023-29</w:t>
            </w:r>
          </w:p>
        </w:tc>
      </w:tr>
    </w:tbl>
    <w:p>
      <w:pPr>
        <w:ind w:firstLine="480"/>
        <w:rPr>
          <w:rFonts w:ascii="Times New Roman" w:hAnsi="Times New Roman"/>
          <w:color w:val="auto"/>
        </w:rPr>
      </w:pPr>
      <w:r>
        <w:rPr>
          <w:rFonts w:hint="eastAsia" w:ascii="Times New Roman" w:hAnsi="Times New Roman"/>
          <w:color w:val="auto"/>
        </w:rPr>
        <w:t>根据《建设项目危险废物环境影响评价指南》（环境保护部公告</w:t>
      </w:r>
      <w:r>
        <w:rPr>
          <w:rFonts w:ascii="Times New Roman" w:hAnsi="Times New Roman"/>
          <w:color w:val="auto"/>
        </w:rPr>
        <w:t xml:space="preserve"> 2017 </w:t>
      </w:r>
      <w:r>
        <w:rPr>
          <w:rFonts w:hint="eastAsia" w:ascii="Times New Roman" w:hAnsi="Times New Roman"/>
          <w:color w:val="auto"/>
        </w:rPr>
        <w:t>年第</w:t>
      </w:r>
      <w:r>
        <w:rPr>
          <w:rFonts w:ascii="Times New Roman" w:hAnsi="Times New Roman"/>
          <w:color w:val="auto"/>
        </w:rPr>
        <w:t xml:space="preserve">43 </w:t>
      </w:r>
      <w:r>
        <w:rPr>
          <w:rFonts w:hint="eastAsia" w:ascii="Times New Roman" w:hAnsi="Times New Roman"/>
          <w:color w:val="auto"/>
        </w:rPr>
        <w:t>号）的相关要求对本项目涉及的危险废物进行汇总，具体如下表所示：</w:t>
      </w:r>
    </w:p>
    <w:p>
      <w:pPr>
        <w:numPr>
          <w:ilvl w:val="0"/>
          <w:numId w:val="16"/>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 xml:space="preserve">  </w:t>
      </w:r>
      <w:r>
        <w:rPr>
          <w:rFonts w:hint="eastAsia" w:ascii="Times New Roman" w:hAnsi="Times New Roman"/>
          <w:b/>
          <w:color w:val="auto"/>
          <w:sz w:val="21"/>
        </w:rPr>
        <w:t>危险废物汇总样表</w:t>
      </w:r>
    </w:p>
    <w:tbl>
      <w:tblPr>
        <w:tblStyle w:val="83"/>
        <w:tblW w:w="0" w:type="auto"/>
        <w:jc w:val="center"/>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567"/>
        <w:gridCol w:w="810"/>
        <w:gridCol w:w="852"/>
        <w:gridCol w:w="709"/>
        <w:gridCol w:w="823"/>
        <w:gridCol w:w="430"/>
        <w:gridCol w:w="731"/>
        <w:gridCol w:w="709"/>
        <w:gridCol w:w="567"/>
        <w:gridCol w:w="744"/>
        <w:gridCol w:w="1155"/>
      </w:tblGrid>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31"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序号</w:t>
            </w:r>
          </w:p>
        </w:tc>
        <w:tc>
          <w:tcPr>
            <w:tcW w:w="567"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名称</w:t>
            </w:r>
          </w:p>
        </w:tc>
        <w:tc>
          <w:tcPr>
            <w:tcW w:w="810"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危险废物类别</w:t>
            </w:r>
          </w:p>
        </w:tc>
        <w:tc>
          <w:tcPr>
            <w:tcW w:w="852"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危险废物代码</w:t>
            </w:r>
          </w:p>
        </w:tc>
        <w:tc>
          <w:tcPr>
            <w:tcW w:w="709"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产生量</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w:t>
            </w:r>
            <w:r>
              <w:rPr>
                <w:rFonts w:ascii="Times New Roman" w:hAnsi="Times New Roman"/>
                <w:color w:val="auto"/>
                <w:kern w:val="0"/>
                <w:sz w:val="18"/>
                <w:szCs w:val="18"/>
              </w:rPr>
              <w:t>t/a</w:t>
            </w:r>
            <w:r>
              <w:rPr>
                <w:rFonts w:hint="eastAsia" w:ascii="Times New Roman" w:hAnsi="Times New Roman"/>
                <w:color w:val="auto"/>
                <w:kern w:val="0"/>
                <w:sz w:val="18"/>
                <w:szCs w:val="18"/>
              </w:rPr>
              <w:t>）</w:t>
            </w:r>
          </w:p>
        </w:tc>
        <w:tc>
          <w:tcPr>
            <w:tcW w:w="823"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产生工序及装置</w:t>
            </w:r>
          </w:p>
        </w:tc>
        <w:tc>
          <w:tcPr>
            <w:tcW w:w="430"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形态</w:t>
            </w:r>
          </w:p>
        </w:tc>
        <w:tc>
          <w:tcPr>
            <w:tcW w:w="731"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主要成分</w:t>
            </w:r>
          </w:p>
        </w:tc>
        <w:tc>
          <w:tcPr>
            <w:tcW w:w="709"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有害成分</w:t>
            </w:r>
          </w:p>
        </w:tc>
        <w:tc>
          <w:tcPr>
            <w:tcW w:w="567"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产废周期</w:t>
            </w:r>
          </w:p>
        </w:tc>
        <w:tc>
          <w:tcPr>
            <w:tcW w:w="744"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危险</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特性</w:t>
            </w:r>
          </w:p>
        </w:tc>
        <w:tc>
          <w:tcPr>
            <w:tcW w:w="1155"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污染防治措施</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431"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1</w:t>
            </w:r>
          </w:p>
        </w:tc>
        <w:tc>
          <w:tcPr>
            <w:tcW w:w="5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危险分拣废物</w:t>
            </w:r>
          </w:p>
        </w:tc>
        <w:tc>
          <w:tcPr>
            <w:tcW w:w="810"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ascii="Times New Roman" w:hAnsi="Times New Roman"/>
                <w:color w:val="auto"/>
                <w:sz w:val="18"/>
                <w:szCs w:val="18"/>
              </w:rPr>
              <w:t>HW49</w:t>
            </w:r>
          </w:p>
        </w:tc>
        <w:tc>
          <w:tcPr>
            <w:tcW w:w="8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900-041-49</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0.1</w:t>
            </w:r>
          </w:p>
        </w:tc>
        <w:tc>
          <w:tcPr>
            <w:tcW w:w="8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原料分拣</w:t>
            </w:r>
          </w:p>
        </w:tc>
        <w:tc>
          <w:tcPr>
            <w:tcW w:w="43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固态</w:t>
            </w:r>
          </w:p>
        </w:tc>
        <w:tc>
          <w:tcPr>
            <w:tcW w:w="73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残留危化品、废</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塑料等</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残留危化品</w:t>
            </w:r>
          </w:p>
        </w:tc>
        <w:tc>
          <w:tcPr>
            <w:tcW w:w="567"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每天</w:t>
            </w:r>
          </w:p>
        </w:tc>
        <w:tc>
          <w:tcPr>
            <w:tcW w:w="744"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ascii="Times New Roman" w:hAnsi="Times New Roman"/>
                <w:color w:val="auto"/>
                <w:kern w:val="0"/>
                <w:sz w:val="18"/>
                <w:szCs w:val="18"/>
              </w:rPr>
              <w:t>T/In</w:t>
            </w:r>
          </w:p>
        </w:tc>
        <w:tc>
          <w:tcPr>
            <w:tcW w:w="1155" w:type="dxa"/>
            <w:vMerge w:val="restar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进行分类</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收集、分类存放，并委托相关资质单位处理</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431"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2</w:t>
            </w:r>
          </w:p>
        </w:tc>
        <w:tc>
          <w:tcPr>
            <w:tcW w:w="5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废活性炭</w:t>
            </w:r>
          </w:p>
        </w:tc>
        <w:tc>
          <w:tcPr>
            <w:tcW w:w="810"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ascii="Times New Roman" w:hAnsi="Times New Roman"/>
                <w:color w:val="auto"/>
                <w:sz w:val="18"/>
                <w:szCs w:val="18"/>
              </w:rPr>
              <w:t>HW49</w:t>
            </w:r>
          </w:p>
        </w:tc>
        <w:tc>
          <w:tcPr>
            <w:tcW w:w="8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900-041-49</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27</w:t>
            </w:r>
          </w:p>
        </w:tc>
        <w:tc>
          <w:tcPr>
            <w:tcW w:w="8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废气治理</w:t>
            </w:r>
          </w:p>
        </w:tc>
        <w:tc>
          <w:tcPr>
            <w:tcW w:w="43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固态</w:t>
            </w:r>
          </w:p>
        </w:tc>
        <w:tc>
          <w:tcPr>
            <w:tcW w:w="73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VOCs、活性炭</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VOCs</w:t>
            </w:r>
          </w:p>
        </w:tc>
        <w:tc>
          <w:tcPr>
            <w:tcW w:w="567"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每天</w:t>
            </w:r>
          </w:p>
        </w:tc>
        <w:tc>
          <w:tcPr>
            <w:tcW w:w="744"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ascii="Times New Roman" w:hAnsi="Times New Roman"/>
                <w:color w:val="auto"/>
                <w:kern w:val="0"/>
                <w:sz w:val="18"/>
                <w:szCs w:val="18"/>
              </w:rPr>
              <w:t>T/In</w:t>
            </w:r>
          </w:p>
        </w:tc>
        <w:tc>
          <w:tcPr>
            <w:tcW w:w="1155" w:type="dxa"/>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431"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3</w:t>
            </w:r>
          </w:p>
        </w:tc>
        <w:tc>
          <w:tcPr>
            <w:tcW w:w="5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21"/>
              </w:rPr>
              <w:t>废齿轮油</w:t>
            </w:r>
          </w:p>
        </w:tc>
        <w:tc>
          <w:tcPr>
            <w:tcW w:w="810"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21"/>
              </w:rPr>
              <w:t>HW08</w:t>
            </w:r>
          </w:p>
        </w:tc>
        <w:tc>
          <w:tcPr>
            <w:tcW w:w="8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21"/>
              </w:rPr>
              <w:t>900-249-08</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0.2</w:t>
            </w:r>
          </w:p>
        </w:tc>
        <w:tc>
          <w:tcPr>
            <w:tcW w:w="8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设备使用</w:t>
            </w:r>
          </w:p>
        </w:tc>
        <w:tc>
          <w:tcPr>
            <w:tcW w:w="43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液态</w:t>
            </w:r>
          </w:p>
        </w:tc>
        <w:tc>
          <w:tcPr>
            <w:tcW w:w="73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废矿物油</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废矿物油</w:t>
            </w:r>
          </w:p>
        </w:tc>
        <w:tc>
          <w:tcPr>
            <w:tcW w:w="567"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一年</w:t>
            </w:r>
          </w:p>
        </w:tc>
        <w:tc>
          <w:tcPr>
            <w:tcW w:w="744"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T，I</w:t>
            </w:r>
          </w:p>
        </w:tc>
        <w:tc>
          <w:tcPr>
            <w:tcW w:w="1155" w:type="dxa"/>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431"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4</w:t>
            </w:r>
          </w:p>
        </w:tc>
        <w:tc>
          <w:tcPr>
            <w:tcW w:w="5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810"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21"/>
              </w:rPr>
              <w:t>HW08</w:t>
            </w:r>
          </w:p>
        </w:tc>
        <w:tc>
          <w:tcPr>
            <w:tcW w:w="8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21"/>
              </w:rPr>
              <w:t>900-249-08</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0.7</w:t>
            </w:r>
          </w:p>
        </w:tc>
        <w:tc>
          <w:tcPr>
            <w:tcW w:w="8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油烟处理</w:t>
            </w:r>
          </w:p>
        </w:tc>
        <w:tc>
          <w:tcPr>
            <w:tcW w:w="43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液态</w:t>
            </w:r>
          </w:p>
        </w:tc>
        <w:tc>
          <w:tcPr>
            <w:tcW w:w="73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废矿物油</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废矿物油</w:t>
            </w:r>
          </w:p>
        </w:tc>
        <w:tc>
          <w:tcPr>
            <w:tcW w:w="567"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每天</w:t>
            </w:r>
          </w:p>
        </w:tc>
        <w:tc>
          <w:tcPr>
            <w:tcW w:w="744"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T，I</w:t>
            </w:r>
          </w:p>
        </w:tc>
        <w:tc>
          <w:tcPr>
            <w:tcW w:w="1155" w:type="dxa"/>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431"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5</w:t>
            </w:r>
          </w:p>
        </w:tc>
        <w:tc>
          <w:tcPr>
            <w:tcW w:w="5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810"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HW29</w:t>
            </w:r>
          </w:p>
        </w:tc>
        <w:tc>
          <w:tcPr>
            <w:tcW w:w="85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900-023-29</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0.01</w:t>
            </w:r>
          </w:p>
        </w:tc>
        <w:tc>
          <w:tcPr>
            <w:tcW w:w="82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43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固废</w:t>
            </w:r>
          </w:p>
        </w:tc>
        <w:tc>
          <w:tcPr>
            <w:tcW w:w="73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21"/>
              </w:rPr>
              <w:t>含汞废物</w:t>
            </w:r>
          </w:p>
        </w:tc>
        <w:tc>
          <w:tcPr>
            <w:tcW w:w="70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21"/>
              </w:rPr>
              <w:t>含汞废物</w:t>
            </w:r>
          </w:p>
        </w:tc>
        <w:tc>
          <w:tcPr>
            <w:tcW w:w="567"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三年</w:t>
            </w:r>
          </w:p>
        </w:tc>
        <w:tc>
          <w:tcPr>
            <w:tcW w:w="744" w:type="dxa"/>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r>
              <w:rPr>
                <w:rFonts w:hint="eastAsia" w:ascii="Times New Roman" w:hAnsi="Times New Roman"/>
                <w:color w:val="auto"/>
                <w:kern w:val="0"/>
                <w:sz w:val="18"/>
                <w:szCs w:val="18"/>
              </w:rPr>
              <w:t>T</w:t>
            </w:r>
          </w:p>
        </w:tc>
        <w:tc>
          <w:tcPr>
            <w:tcW w:w="1155" w:type="dxa"/>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18"/>
                <w:szCs w:val="18"/>
              </w:rPr>
            </w:pPr>
          </w:p>
        </w:tc>
      </w:tr>
    </w:tbl>
    <w:p>
      <w:pPr>
        <w:ind w:firstLine="480"/>
        <w:rPr>
          <w:rFonts w:ascii="Times New Roman" w:hAnsi="Times New Roman"/>
          <w:color w:val="auto"/>
        </w:rPr>
      </w:pPr>
      <w:r>
        <w:rPr>
          <w:rFonts w:ascii="Times New Roman" w:hAnsi="Times New Roman"/>
          <w:color w:val="auto"/>
        </w:rPr>
        <w:t>（2）生活垃圾</w:t>
      </w:r>
    </w:p>
    <w:p>
      <w:pPr>
        <w:ind w:firstLine="480"/>
        <w:rPr>
          <w:rFonts w:ascii="Times New Roman" w:hAnsi="Times New Roman"/>
          <w:color w:val="auto"/>
          <w:szCs w:val="24"/>
        </w:rPr>
      </w:pPr>
      <w:r>
        <w:rPr>
          <w:rFonts w:ascii="Times New Roman" w:hAnsi="Times New Roman"/>
          <w:color w:val="auto"/>
          <w:szCs w:val="24"/>
        </w:rPr>
        <w:t>本项目劳动定员</w:t>
      </w:r>
      <w:r>
        <w:rPr>
          <w:rFonts w:hint="eastAsia" w:ascii="Times New Roman" w:hAnsi="Times New Roman"/>
          <w:color w:val="auto"/>
          <w:szCs w:val="24"/>
        </w:rPr>
        <w:t>54</w:t>
      </w:r>
      <w:r>
        <w:rPr>
          <w:rFonts w:ascii="Times New Roman" w:hAnsi="Times New Roman"/>
          <w:color w:val="auto"/>
          <w:szCs w:val="24"/>
        </w:rPr>
        <w:t>人，年工作3</w:t>
      </w:r>
      <w:r>
        <w:rPr>
          <w:rFonts w:hint="eastAsia" w:ascii="Times New Roman" w:hAnsi="Times New Roman"/>
          <w:color w:val="auto"/>
          <w:szCs w:val="24"/>
        </w:rPr>
        <w:t>3</w:t>
      </w:r>
      <w:r>
        <w:rPr>
          <w:rFonts w:ascii="Times New Roman" w:hAnsi="Times New Roman"/>
          <w:color w:val="auto"/>
          <w:szCs w:val="24"/>
        </w:rPr>
        <w:t>0天，生活垃圾产生量按照</w:t>
      </w:r>
      <w:r>
        <w:rPr>
          <w:rFonts w:hint="eastAsia" w:ascii="Times New Roman" w:hAnsi="Times New Roman"/>
          <w:color w:val="auto"/>
          <w:szCs w:val="24"/>
        </w:rPr>
        <w:t>1</w:t>
      </w:r>
      <w:r>
        <w:rPr>
          <w:rFonts w:ascii="Times New Roman" w:hAnsi="Times New Roman"/>
          <w:color w:val="auto"/>
          <w:szCs w:val="24"/>
        </w:rPr>
        <w:t>kg/人·d计，则生活垃圾产生量</w:t>
      </w:r>
      <w:r>
        <w:rPr>
          <w:rFonts w:hint="eastAsia" w:ascii="Times New Roman" w:hAnsi="Times New Roman"/>
          <w:color w:val="auto"/>
          <w:szCs w:val="24"/>
        </w:rPr>
        <w:t>17.82</w:t>
      </w:r>
      <w:r>
        <w:rPr>
          <w:rFonts w:ascii="Times New Roman" w:hAnsi="Times New Roman"/>
          <w:color w:val="auto"/>
          <w:szCs w:val="24"/>
        </w:rPr>
        <w:t>t/a。生活垃圾经收集后由当地环卫部门统一清运。</w:t>
      </w:r>
    </w:p>
    <w:p>
      <w:pPr>
        <w:ind w:firstLine="480"/>
        <w:rPr>
          <w:rFonts w:ascii="Times New Roman" w:hAnsi="Times New Roman"/>
          <w:color w:val="auto"/>
        </w:rPr>
      </w:pPr>
      <w:r>
        <w:rPr>
          <w:rFonts w:hint="eastAsia" w:ascii="Times New Roman" w:hAnsi="Times New Roman"/>
          <w:color w:val="auto"/>
        </w:rPr>
        <w:t>（3）</w:t>
      </w:r>
      <w:r>
        <w:rPr>
          <w:rFonts w:ascii="Times New Roman" w:hAnsi="Times New Roman"/>
          <w:color w:val="auto"/>
        </w:rPr>
        <w:t>固体废物分析情况汇总</w:t>
      </w:r>
    </w:p>
    <w:p>
      <w:pPr>
        <w:ind w:firstLine="480"/>
        <w:rPr>
          <w:rFonts w:ascii="Times New Roman" w:hAnsi="Times New Roman"/>
          <w:color w:val="auto"/>
        </w:rPr>
      </w:pPr>
      <w:bookmarkStart w:id="44" w:name="_Toc255410981"/>
      <w:bookmarkStart w:id="45" w:name="_Toc255563095"/>
      <w:bookmarkStart w:id="46" w:name="_Toc247508868"/>
      <w:bookmarkStart w:id="47" w:name="_Toc248732929"/>
      <w:bookmarkStart w:id="48" w:name="_Toc248047519"/>
      <w:r>
        <w:rPr>
          <w:rFonts w:ascii="Times New Roman" w:hAnsi="Times New Roman"/>
          <w:color w:val="auto"/>
        </w:rPr>
        <w:t>综上所述，本项目固体产生情况汇总表如表3-</w:t>
      </w:r>
      <w:r>
        <w:rPr>
          <w:rFonts w:hint="eastAsia" w:ascii="Times New Roman" w:hAnsi="Times New Roman"/>
          <w:color w:val="auto"/>
        </w:rPr>
        <w:t>20</w:t>
      </w:r>
      <w:r>
        <w:rPr>
          <w:rFonts w:ascii="Times New Roman" w:hAnsi="Times New Roman"/>
          <w:color w:val="auto"/>
        </w:rPr>
        <w:t>所示。</w:t>
      </w:r>
      <w:bookmarkEnd w:id="44"/>
      <w:bookmarkEnd w:id="45"/>
      <w:bookmarkEnd w:id="46"/>
      <w:bookmarkEnd w:id="47"/>
      <w:bookmarkEnd w:id="48"/>
    </w:p>
    <w:p>
      <w:pPr>
        <w:numPr>
          <w:ilvl w:val="0"/>
          <w:numId w:val="16"/>
        </w:numPr>
        <w:spacing w:line="240" w:lineRule="auto"/>
        <w:ind w:left="0" w:firstLine="0" w:firstLineChars="0"/>
        <w:jc w:val="right"/>
        <w:rPr>
          <w:rFonts w:ascii="Times New Roman" w:hAnsi="Times New Roman"/>
          <w:b/>
          <w:color w:val="auto"/>
          <w:sz w:val="21"/>
        </w:rPr>
      </w:pPr>
      <w:r>
        <w:rPr>
          <w:rFonts w:ascii="Times New Roman" w:hAnsi="Times New Roman"/>
          <w:b/>
          <w:color w:val="auto"/>
          <w:sz w:val="21"/>
        </w:rPr>
        <w:t>固体废物</w:t>
      </w:r>
      <w:r>
        <w:rPr>
          <w:rFonts w:hint="eastAsia" w:ascii="Times New Roman" w:hAnsi="Times New Roman"/>
          <w:b/>
          <w:color w:val="auto"/>
          <w:sz w:val="21"/>
        </w:rPr>
        <w:t xml:space="preserve">污染源源强核算结果及相关参数一览表         </w:t>
      </w:r>
      <w:r>
        <w:rPr>
          <w:rFonts w:ascii="Times New Roman" w:hAnsi="Times New Roman"/>
          <w:b/>
          <w:color w:val="auto"/>
          <w:sz w:val="21"/>
        </w:rPr>
        <w:t>单位：t/a</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686"/>
        <w:gridCol w:w="1477"/>
        <w:gridCol w:w="909"/>
        <w:gridCol w:w="1172"/>
        <w:gridCol w:w="1066"/>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固体废物名称</w:t>
            </w:r>
          </w:p>
        </w:tc>
        <w:tc>
          <w:tcPr>
            <w:tcW w:w="402"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固废属性</w:t>
            </w:r>
          </w:p>
        </w:tc>
        <w:tc>
          <w:tcPr>
            <w:tcW w:w="1399"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产生情况</w:t>
            </w:r>
          </w:p>
        </w:tc>
        <w:tc>
          <w:tcPr>
            <w:tcW w:w="1312"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处置措施</w:t>
            </w:r>
          </w:p>
        </w:tc>
        <w:tc>
          <w:tcPr>
            <w:tcW w:w="1312"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02"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核算方法</w:t>
            </w:r>
          </w:p>
        </w:tc>
        <w:tc>
          <w:tcPr>
            <w:tcW w:w="5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产生量</w:t>
            </w:r>
          </w:p>
        </w:tc>
        <w:tc>
          <w:tcPr>
            <w:tcW w:w="68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工艺</w:t>
            </w:r>
          </w:p>
        </w:tc>
        <w:tc>
          <w:tcPr>
            <w:tcW w:w="62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处置量</w:t>
            </w:r>
          </w:p>
        </w:tc>
        <w:tc>
          <w:tcPr>
            <w:tcW w:w="1312"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类比法</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0.3t/a</w:t>
            </w:r>
          </w:p>
        </w:tc>
        <w:tc>
          <w:tcPr>
            <w:tcW w:w="687"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由相关单位回收综合利用</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废旧物资回收单位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类比法</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4.7t/a</w:t>
            </w:r>
          </w:p>
        </w:tc>
        <w:tc>
          <w:tcPr>
            <w:tcW w:w="68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废旧物资回收单位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类比法</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0.1t/a</w:t>
            </w:r>
          </w:p>
        </w:tc>
        <w:tc>
          <w:tcPr>
            <w:tcW w:w="6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委托有资质单位处置</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有相应危险资质处理单位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物料平衡</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12t/a</w:t>
            </w:r>
          </w:p>
        </w:tc>
        <w:tc>
          <w:tcPr>
            <w:tcW w:w="6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环卫部门清运</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color w:val="auto"/>
                <w:sz w:val="21"/>
              </w:rPr>
              <w:t>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挤出机废弃过滤网</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类比法</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2t/a</w:t>
            </w:r>
          </w:p>
        </w:tc>
        <w:tc>
          <w:tcPr>
            <w:tcW w:w="68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color w:val="auto"/>
                <w:sz w:val="21"/>
              </w:rPr>
              <w:t>废旧物资回收单位回收</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废旧物资回收单位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排污系数</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r>
              <w:rPr>
                <w:rFonts w:ascii="Times New Roman" w:hAnsi="Times New Roman"/>
                <w:color w:val="auto"/>
                <w:sz w:val="21"/>
              </w:rPr>
              <w:t>t/a</w:t>
            </w:r>
          </w:p>
        </w:tc>
        <w:tc>
          <w:tcPr>
            <w:tcW w:w="6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委托有资质单位处置</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r>
              <w:rPr>
                <w:rFonts w:ascii="Times New Roman" w:hAnsi="Times New Roman"/>
                <w:color w:val="auto"/>
                <w:sz w:val="21"/>
              </w:rPr>
              <w:t>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有相应危险资质处理单位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类比法</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r>
              <w:rPr>
                <w:rFonts w:ascii="Times New Roman" w:hAnsi="Times New Roman"/>
                <w:color w:val="auto"/>
                <w:sz w:val="21"/>
              </w:rPr>
              <w:t xml:space="preserve"> t/a</w:t>
            </w:r>
          </w:p>
        </w:tc>
        <w:tc>
          <w:tcPr>
            <w:tcW w:w="6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委托有资质单位处置</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r>
              <w:rPr>
                <w:rFonts w:ascii="Times New Roman" w:hAnsi="Times New Roman"/>
                <w:color w:val="auto"/>
                <w:sz w:val="21"/>
              </w:rPr>
              <w:t xml:space="preserve"> 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有相应危险资质处理单位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类比法</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r>
              <w:rPr>
                <w:rFonts w:ascii="Times New Roman" w:hAnsi="Times New Roman"/>
                <w:color w:val="auto"/>
                <w:sz w:val="21"/>
              </w:rPr>
              <w:t xml:space="preserve"> t/a</w:t>
            </w:r>
          </w:p>
        </w:tc>
        <w:tc>
          <w:tcPr>
            <w:tcW w:w="6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委托有资质单位处置</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r>
              <w:rPr>
                <w:rFonts w:ascii="Times New Roman" w:hAnsi="Times New Roman"/>
                <w:color w:val="auto"/>
                <w:sz w:val="21"/>
              </w:rPr>
              <w:t xml:space="preserve"> 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有相应危险资质处理单位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40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危险固废</w:t>
            </w:r>
          </w:p>
        </w:tc>
        <w:tc>
          <w:tcPr>
            <w:tcW w:w="86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类比法</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r>
              <w:rPr>
                <w:rFonts w:ascii="Times New Roman" w:hAnsi="Times New Roman"/>
                <w:color w:val="auto"/>
                <w:sz w:val="21"/>
              </w:rPr>
              <w:t xml:space="preserve"> t/a</w:t>
            </w:r>
          </w:p>
        </w:tc>
        <w:tc>
          <w:tcPr>
            <w:tcW w:w="6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委托有资质单位处置</w:t>
            </w:r>
          </w:p>
        </w:tc>
        <w:tc>
          <w:tcPr>
            <w:tcW w:w="62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r>
              <w:rPr>
                <w:rFonts w:ascii="Times New Roman" w:hAnsi="Times New Roman"/>
                <w:color w:val="auto"/>
                <w:sz w:val="21"/>
              </w:rPr>
              <w:t xml:space="preserve"> t/a</w:t>
            </w:r>
          </w:p>
        </w:tc>
        <w:tc>
          <w:tcPr>
            <w:tcW w:w="13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有相应危险资质处理单位</w:t>
            </w:r>
          </w:p>
        </w:tc>
      </w:tr>
    </w:tbl>
    <w:p>
      <w:pPr>
        <w:pStyle w:val="592"/>
        <w:numPr>
          <w:ilvl w:val="0"/>
          <w:numId w:val="15"/>
        </w:numPr>
        <w:tabs>
          <w:tab w:val="left" w:pos="0"/>
        </w:tabs>
        <w:rPr>
          <w:color w:val="auto"/>
        </w:rPr>
      </w:pPr>
      <w:bookmarkStart w:id="49" w:name="_Toc400909609"/>
      <w:bookmarkStart w:id="50" w:name="_Toc37350060"/>
      <w:r>
        <w:rPr>
          <w:color w:val="auto"/>
        </w:rPr>
        <w:t>污染源强汇总</w:t>
      </w:r>
      <w:bookmarkEnd w:id="49"/>
      <w:bookmarkEnd w:id="50"/>
    </w:p>
    <w:p>
      <w:pPr>
        <w:ind w:firstLine="480"/>
        <w:rPr>
          <w:rFonts w:ascii="Times New Roman" w:hAnsi="Times New Roman"/>
          <w:color w:val="auto"/>
        </w:rPr>
      </w:pPr>
      <w:r>
        <w:rPr>
          <w:rFonts w:ascii="Times New Roman" w:hAnsi="Times New Roman"/>
          <w:color w:val="auto"/>
        </w:rPr>
        <w:t>项目污染物产生、削减及排放情况详见表3-</w:t>
      </w:r>
      <w:r>
        <w:rPr>
          <w:rFonts w:hint="eastAsia" w:ascii="Times New Roman" w:hAnsi="Times New Roman"/>
          <w:color w:val="auto"/>
        </w:rPr>
        <w:t>21</w:t>
      </w:r>
      <w:r>
        <w:rPr>
          <w:rFonts w:ascii="Times New Roman" w:hAnsi="Times New Roman"/>
          <w:color w:val="auto"/>
        </w:rPr>
        <w:t>。</w:t>
      </w:r>
    </w:p>
    <w:p>
      <w:pPr>
        <w:numPr>
          <w:ilvl w:val="0"/>
          <w:numId w:val="16"/>
        </w:numPr>
        <w:spacing w:line="240" w:lineRule="auto"/>
        <w:ind w:left="0" w:firstLine="0" w:firstLineChars="0"/>
        <w:jc w:val="right"/>
        <w:rPr>
          <w:rFonts w:ascii="Times New Roman" w:hAnsi="Times New Roman"/>
          <w:b/>
          <w:color w:val="auto"/>
          <w:sz w:val="21"/>
        </w:rPr>
      </w:pPr>
      <w:r>
        <w:rPr>
          <w:rFonts w:ascii="Times New Roman" w:hAnsi="Times New Roman"/>
          <w:b/>
          <w:color w:val="auto"/>
          <w:sz w:val="21"/>
        </w:rPr>
        <w:t>项目污染物源强汇总</w:t>
      </w:r>
      <w:r>
        <w:rPr>
          <w:rFonts w:hint="eastAsia" w:ascii="Times New Roman" w:hAnsi="Times New Roman"/>
          <w:b/>
          <w:color w:val="auto"/>
          <w:sz w:val="21"/>
        </w:rPr>
        <w:t xml:space="preserve">                       </w:t>
      </w:r>
      <w:r>
        <w:rPr>
          <w:rFonts w:ascii="Times New Roman" w:hAnsi="Times New Roman"/>
          <w:b/>
          <w:color w:val="auto"/>
          <w:sz w:val="21"/>
        </w:rPr>
        <w:t>单位：t/a</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2605"/>
        <w:gridCol w:w="899"/>
        <w:gridCol w:w="1322"/>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类型</w:t>
            </w:r>
          </w:p>
        </w:tc>
        <w:tc>
          <w:tcPr>
            <w:tcW w:w="11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排放工序</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污染物名称</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产生量</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削减量</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最终排放量</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员工生活</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废水量</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14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COD</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0.356</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0.285</w:t>
            </w:r>
          </w:p>
        </w:tc>
        <w:tc>
          <w:tcPr>
            <w:tcW w:w="14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氨氮</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0.007</w:t>
            </w:r>
          </w:p>
        </w:tc>
        <w:tc>
          <w:tcPr>
            <w:tcW w:w="14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废气</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熔融挤出</w:t>
            </w:r>
            <w:r>
              <w:rPr>
                <w:rFonts w:ascii="Times New Roman" w:hAnsi="Times New Roman"/>
                <w:color w:val="auto"/>
                <w:sz w:val="21"/>
              </w:rPr>
              <w:t>工序</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非甲烷总烃</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7.06</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5.088</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ind w:left="0" w:right="0" w:firstLine="42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0.11</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0.078</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ind w:left="0" w:right="0" w:firstLine="42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ind w:left="0" w:right="0" w:firstLine="42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氨</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0.09</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0.065</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粉尘</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12.019</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固废</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原料包装</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粉尘收集、打扫</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煅烧炉</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挤出机废弃过滤网</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设备使用</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油烟处理</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员工生活</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生活垃圾</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17.82</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17.82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bl>
    <w:p>
      <w:pPr>
        <w:pStyle w:val="592"/>
        <w:numPr>
          <w:ilvl w:val="0"/>
          <w:numId w:val="15"/>
        </w:numPr>
        <w:tabs>
          <w:tab w:val="left" w:pos="0"/>
        </w:tabs>
        <w:rPr>
          <w:color w:val="auto"/>
        </w:rPr>
      </w:pPr>
      <w:bookmarkStart w:id="51" w:name="_Toc37350061"/>
      <w:r>
        <w:rPr>
          <w:rFonts w:hint="eastAsia"/>
          <w:color w:val="auto"/>
        </w:rPr>
        <w:t>物料平衡</w:t>
      </w:r>
      <w:bookmarkEnd w:id="51"/>
    </w:p>
    <w:p>
      <w:pPr>
        <w:numPr>
          <w:ilvl w:val="0"/>
          <w:numId w:val="16"/>
        </w:numPr>
        <w:spacing w:line="240" w:lineRule="auto"/>
        <w:ind w:left="0" w:firstLine="0" w:firstLineChars="0"/>
        <w:jc w:val="center"/>
        <w:rPr>
          <w:rFonts w:ascii="Times New Roman" w:hAnsi="Times New Roman"/>
          <w:b/>
          <w:color w:val="auto"/>
          <w:sz w:val="21"/>
        </w:rPr>
      </w:pPr>
      <w:r>
        <w:rPr>
          <w:rFonts w:hint="eastAsia" w:ascii="Times New Roman" w:hAnsi="Times New Roman"/>
          <w:b/>
          <w:color w:val="auto"/>
          <w:sz w:val="21"/>
        </w:rPr>
        <w:t>项目物料平衡表 单位：t/a</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1747"/>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进料</w:t>
            </w:r>
          </w:p>
        </w:tc>
        <w:tc>
          <w:tcPr>
            <w:tcW w:w="1024" w:type="pct"/>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t>用量</w:t>
            </w:r>
            <w:r>
              <w:rPr>
                <w:rFonts w:hint="eastAsia"/>
                <w:color w:val="auto"/>
                <w:kern w:val="2"/>
                <w:szCs w:val="21"/>
              </w:rPr>
              <w:t>（t/a）</w:t>
            </w:r>
          </w:p>
        </w:tc>
        <w:tc>
          <w:tcPr>
            <w:tcW w:w="2500" w:type="pct"/>
            <w:gridSpan w:val="2"/>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hint="eastAsia" w:ascii="Times New Roman" w:hAnsi="Times New Roman"/>
                <w:b/>
                <w:color w:val="auto"/>
                <w:sz w:val="21"/>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trPr>
        <w:tc>
          <w:tcPr>
            <w:tcW w:w="1476"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PP/PET、PP/PA、PE/PET、PE/PA废料</w:t>
            </w:r>
          </w:p>
        </w:tc>
        <w:tc>
          <w:tcPr>
            <w:tcW w:w="1024" w:type="pct"/>
            <w:vMerge w:val="restar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15000</w:t>
            </w:r>
          </w:p>
        </w:tc>
        <w:tc>
          <w:tcPr>
            <w:tcW w:w="1250"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产品</w:t>
            </w:r>
          </w:p>
        </w:tc>
        <w:tc>
          <w:tcPr>
            <w:tcW w:w="1250"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1024" w:type="pct"/>
            <w:vMerge w:val="continue"/>
            <w:vAlign w:val="center"/>
          </w:tcPr>
          <w:p>
            <w:pPr>
              <w:pStyle w:val="36"/>
              <w:keepNext w:val="0"/>
              <w:keepLines w:val="0"/>
              <w:suppressLineNumbers w:val="0"/>
              <w:spacing w:before="0" w:beforeAutospacing="0" w:after="0" w:afterAutospacing="0"/>
              <w:ind w:left="0" w:right="0"/>
              <w:rPr>
                <w:color w:val="auto"/>
                <w:kern w:val="2"/>
                <w:szCs w:val="21"/>
              </w:rPr>
            </w:pPr>
          </w:p>
        </w:tc>
        <w:tc>
          <w:tcPr>
            <w:tcW w:w="1250"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废气</w:t>
            </w:r>
          </w:p>
        </w:tc>
        <w:tc>
          <w:tcPr>
            <w:tcW w:w="1250"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PP聚丙烯废料</w:t>
            </w:r>
          </w:p>
        </w:tc>
        <w:tc>
          <w:tcPr>
            <w:tcW w:w="1024"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5000</w:t>
            </w:r>
          </w:p>
        </w:tc>
        <w:tc>
          <w:tcPr>
            <w:tcW w:w="1250"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颗粒物</w:t>
            </w:r>
          </w:p>
        </w:tc>
        <w:tc>
          <w:tcPr>
            <w:tcW w:w="1250"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PE聚乙烯废料</w:t>
            </w:r>
          </w:p>
        </w:tc>
        <w:tc>
          <w:tcPr>
            <w:tcW w:w="1024"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4500</w:t>
            </w:r>
          </w:p>
        </w:tc>
        <w:tc>
          <w:tcPr>
            <w:tcW w:w="1250"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一般固废</w:t>
            </w:r>
          </w:p>
        </w:tc>
        <w:tc>
          <w:tcPr>
            <w:tcW w:w="1250"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PA聚酰胺</w:t>
            </w:r>
          </w:p>
        </w:tc>
        <w:tc>
          <w:tcPr>
            <w:tcW w:w="1024"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1400</w:t>
            </w:r>
          </w:p>
        </w:tc>
        <w:tc>
          <w:tcPr>
            <w:tcW w:w="1250"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rPr>
              <w:t>危险分拣废物</w:t>
            </w:r>
          </w:p>
        </w:tc>
        <w:tc>
          <w:tcPr>
            <w:tcW w:w="1250" w:type="pct"/>
            <w:vAlign w:val="center"/>
          </w:tcPr>
          <w:p>
            <w:pPr>
              <w:pStyle w:val="36"/>
              <w:keepNext w:val="0"/>
              <w:keepLines w:val="0"/>
              <w:suppressLineNumbers w:val="0"/>
              <w:spacing w:before="0" w:beforeAutospacing="0" w:after="0" w:afterAutospacing="0"/>
              <w:ind w:left="0" w:right="0"/>
              <w:rPr>
                <w:color w:val="auto"/>
                <w:szCs w:val="21"/>
              </w:rPr>
            </w:pPr>
            <w:r>
              <w:rPr>
                <w:rFonts w:hint="eastAsia"/>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合计</w:t>
            </w:r>
          </w:p>
        </w:tc>
        <w:tc>
          <w:tcPr>
            <w:tcW w:w="1024" w:type="pct"/>
            <w:vAlign w:val="center"/>
          </w:tcPr>
          <w:p>
            <w:pPr>
              <w:pStyle w:val="36"/>
              <w:keepNext w:val="0"/>
              <w:keepLines w:val="0"/>
              <w:suppressLineNumbers w:val="0"/>
              <w:spacing w:before="0" w:beforeAutospacing="0" w:after="0" w:afterAutospacing="0"/>
              <w:ind w:left="0" w:right="0"/>
              <w:rPr>
                <w:color w:val="auto"/>
              </w:rPr>
            </w:pPr>
            <w:r>
              <w:rPr>
                <w:color w:val="auto"/>
              </w:rPr>
              <w:fldChar w:fldCharType="begin"/>
            </w:r>
            <w:r>
              <w:rPr>
                <w:color w:val="auto"/>
              </w:rPr>
              <w:instrText xml:space="preserve"> =SUM(ABOVE) </w:instrText>
            </w:r>
            <w:r>
              <w:rPr>
                <w:color w:val="auto"/>
              </w:rPr>
              <w:fldChar w:fldCharType="separate"/>
            </w:r>
            <w:r>
              <w:rPr>
                <w:color w:val="auto"/>
              </w:rPr>
              <w:t>32025</w:t>
            </w:r>
            <w:r>
              <w:rPr>
                <w:color w:val="auto"/>
              </w:rPr>
              <w:fldChar w:fldCharType="end"/>
            </w:r>
          </w:p>
        </w:tc>
        <w:tc>
          <w:tcPr>
            <w:tcW w:w="1250"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合计</w:t>
            </w:r>
          </w:p>
        </w:tc>
        <w:tc>
          <w:tcPr>
            <w:tcW w:w="1250" w:type="pct"/>
            <w:vAlign w:val="center"/>
          </w:tcPr>
          <w:p>
            <w:pPr>
              <w:pStyle w:val="36"/>
              <w:keepNext w:val="0"/>
              <w:keepLines w:val="0"/>
              <w:suppressLineNumbers w:val="0"/>
              <w:spacing w:before="0" w:beforeAutospacing="0" w:after="0" w:afterAutospacing="0"/>
              <w:ind w:left="0" w:right="0"/>
              <w:rPr>
                <w:color w:val="auto"/>
              </w:rPr>
            </w:pPr>
            <w:r>
              <w:rPr>
                <w:color w:val="auto"/>
              </w:rPr>
              <w:fldChar w:fldCharType="begin"/>
            </w:r>
            <w:r>
              <w:rPr>
                <w:color w:val="auto"/>
              </w:rPr>
              <w:instrText xml:space="preserve"> =SUM(ABOVE) </w:instrText>
            </w:r>
            <w:r>
              <w:rPr>
                <w:color w:val="auto"/>
              </w:rPr>
              <w:fldChar w:fldCharType="separate"/>
            </w:r>
            <w:r>
              <w:rPr>
                <w:color w:val="auto"/>
              </w:rPr>
              <w:t>32025</w:t>
            </w:r>
            <w:r>
              <w:rPr>
                <w:color w:val="aut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PC</w:t>
            </w:r>
            <w:r>
              <w:rPr>
                <w:color w:val="auto"/>
                <w:kern w:val="2"/>
                <w:szCs w:val="21"/>
              </w:rPr>
              <w:t>聚碳酸酯</w:t>
            </w:r>
          </w:p>
        </w:tc>
        <w:tc>
          <w:tcPr>
            <w:tcW w:w="1024"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1900</w:t>
            </w:r>
          </w:p>
        </w:tc>
        <w:tc>
          <w:tcPr>
            <w:tcW w:w="2500" w:type="pct"/>
            <w:gridSpan w:val="2"/>
            <w:vMerge w:val="restart"/>
            <w:vAlign w:val="center"/>
          </w:tcPr>
          <w:p>
            <w:pPr>
              <w:pStyle w:val="36"/>
              <w:keepNext w:val="0"/>
              <w:keepLines w:val="0"/>
              <w:suppressLineNumbers w:val="0"/>
              <w:spacing w:before="0" w:beforeAutospacing="0" w:after="0" w:afterAutospacing="0"/>
              <w:ind w:left="0" w:right="0"/>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PS聚苯乙烯</w:t>
            </w:r>
          </w:p>
        </w:tc>
        <w:tc>
          <w:tcPr>
            <w:tcW w:w="1024"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1300</w:t>
            </w:r>
          </w:p>
        </w:tc>
        <w:tc>
          <w:tcPr>
            <w:tcW w:w="2500" w:type="pct"/>
            <w:gridSpan w:val="2"/>
            <w:vMerge w:val="continue"/>
            <w:vAlign w:val="center"/>
          </w:tcPr>
          <w:p>
            <w:pPr>
              <w:pStyle w:val="36"/>
              <w:keepNext w:val="0"/>
              <w:keepLines w:val="0"/>
              <w:suppressLineNumbers w:val="0"/>
              <w:spacing w:before="0" w:beforeAutospacing="0" w:after="0" w:afterAutospacing="0"/>
              <w:ind w:left="0" w:right="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476" w:type="pct"/>
            <w:tcBorders>
              <w:bottom w:val="single" w:color="auto" w:sz="4" w:space="0"/>
            </w:tcBorders>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PMMA</w:t>
            </w:r>
            <w:r>
              <w:rPr>
                <w:color w:val="auto"/>
                <w:kern w:val="2"/>
                <w:szCs w:val="21"/>
              </w:rPr>
              <w:t xml:space="preserve"> </w:t>
            </w:r>
            <w:r>
              <w:rPr>
                <w:color w:val="auto"/>
              </w:rPr>
              <w:fldChar w:fldCharType="begin"/>
            </w:r>
            <w:r>
              <w:rPr>
                <w:color w:val="auto"/>
              </w:rPr>
              <w:instrText xml:space="preserve"> HYPERLINK "https://baike.baidu.com/item/%E8%81%9A%E7%94%B2%E5%9F%BA%E4%B8%99%E7%83%AF%E9%85%B8%E7%94%B2%E9%85%AF/10402338" \t "_blank" </w:instrText>
            </w:r>
            <w:r>
              <w:rPr>
                <w:color w:val="auto"/>
              </w:rPr>
              <w:fldChar w:fldCharType="separate"/>
            </w:r>
            <w:r>
              <w:rPr>
                <w:color w:val="auto"/>
                <w:kern w:val="2"/>
              </w:rPr>
              <w:t>聚甲基丙烯酸甲酯</w:t>
            </w:r>
            <w:r>
              <w:rPr>
                <w:color w:val="auto"/>
                <w:kern w:val="2"/>
              </w:rPr>
              <w:fldChar w:fldCharType="end"/>
            </w:r>
          </w:p>
        </w:tc>
        <w:tc>
          <w:tcPr>
            <w:tcW w:w="1024" w:type="pct"/>
            <w:tcBorders>
              <w:bottom w:val="single" w:color="auto" w:sz="4" w:space="0"/>
            </w:tcBorders>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1000</w:t>
            </w:r>
          </w:p>
        </w:tc>
        <w:tc>
          <w:tcPr>
            <w:tcW w:w="2500" w:type="pct"/>
            <w:gridSpan w:val="2"/>
            <w:vMerge w:val="continue"/>
            <w:vAlign w:val="center"/>
          </w:tcPr>
          <w:p>
            <w:pPr>
              <w:pStyle w:val="36"/>
              <w:keepNext w:val="0"/>
              <w:keepLines w:val="0"/>
              <w:suppressLineNumbers w:val="0"/>
              <w:spacing w:before="0" w:beforeAutospacing="0" w:after="0" w:afterAutospacing="0"/>
              <w:ind w:left="0" w:right="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助剂</w:t>
            </w:r>
          </w:p>
        </w:tc>
        <w:tc>
          <w:tcPr>
            <w:tcW w:w="1024"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125</w:t>
            </w:r>
          </w:p>
        </w:tc>
        <w:tc>
          <w:tcPr>
            <w:tcW w:w="2500" w:type="pct"/>
            <w:gridSpan w:val="2"/>
            <w:vMerge w:val="continue"/>
            <w:vAlign w:val="center"/>
          </w:tcPr>
          <w:p>
            <w:pPr>
              <w:pStyle w:val="36"/>
              <w:keepNext w:val="0"/>
              <w:keepLines w:val="0"/>
              <w:suppressLineNumbers w:val="0"/>
              <w:spacing w:before="0" w:beforeAutospacing="0" w:after="0" w:afterAutospacing="0"/>
              <w:ind w:left="0" w:right="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vAlign w:val="center"/>
          </w:tcPr>
          <w:p>
            <w:pPr>
              <w:pStyle w:val="36"/>
              <w:keepNext w:val="0"/>
              <w:keepLines w:val="0"/>
              <w:suppressLineNumbers w:val="0"/>
              <w:spacing w:before="0" w:beforeAutospacing="0" w:after="0" w:afterAutospacing="0"/>
              <w:ind w:left="0" w:right="0"/>
              <w:rPr>
                <w:color w:val="auto"/>
                <w:kern w:val="2"/>
                <w:szCs w:val="21"/>
              </w:rPr>
            </w:pPr>
            <w:r>
              <w:rPr>
                <w:rFonts w:hint="eastAsia"/>
                <w:color w:val="auto"/>
                <w:kern w:val="2"/>
                <w:szCs w:val="21"/>
              </w:rPr>
              <w:t>合计</w:t>
            </w:r>
          </w:p>
        </w:tc>
        <w:tc>
          <w:tcPr>
            <w:tcW w:w="1024" w:type="pct"/>
            <w:vAlign w:val="center"/>
          </w:tcPr>
          <w:p>
            <w:pPr>
              <w:pStyle w:val="36"/>
              <w:keepNext w:val="0"/>
              <w:keepLines w:val="0"/>
              <w:suppressLineNumbers w:val="0"/>
              <w:spacing w:before="0" w:beforeAutospacing="0" w:after="0" w:afterAutospacing="0"/>
              <w:ind w:left="0" w:right="0"/>
              <w:rPr>
                <w:color w:val="auto"/>
                <w:kern w:val="2"/>
                <w:szCs w:val="21"/>
              </w:rPr>
            </w:pPr>
            <w:r>
              <w:rPr>
                <w:color w:val="auto"/>
                <w:kern w:val="2"/>
                <w:szCs w:val="21"/>
              </w:rPr>
              <w:fldChar w:fldCharType="begin"/>
            </w:r>
            <w:r>
              <w:rPr>
                <w:color w:val="auto"/>
                <w:kern w:val="2"/>
                <w:szCs w:val="21"/>
              </w:rPr>
              <w:instrText xml:space="preserve"> =SUM(ABOVE) </w:instrText>
            </w:r>
            <w:r>
              <w:rPr>
                <w:color w:val="auto"/>
                <w:kern w:val="2"/>
                <w:szCs w:val="21"/>
              </w:rPr>
              <w:fldChar w:fldCharType="separate"/>
            </w:r>
            <w:r>
              <w:rPr>
                <w:color w:val="auto"/>
                <w:kern w:val="2"/>
                <w:szCs w:val="21"/>
              </w:rPr>
              <w:t>32025</w:t>
            </w:r>
            <w:r>
              <w:rPr>
                <w:color w:val="auto"/>
                <w:kern w:val="2"/>
                <w:szCs w:val="21"/>
              </w:rPr>
              <w:fldChar w:fldCharType="end"/>
            </w:r>
          </w:p>
        </w:tc>
        <w:tc>
          <w:tcPr>
            <w:tcW w:w="2500" w:type="pct"/>
            <w:gridSpan w:val="2"/>
            <w:vMerge w:val="continue"/>
            <w:vAlign w:val="center"/>
          </w:tcPr>
          <w:p>
            <w:pPr>
              <w:pStyle w:val="36"/>
              <w:keepNext w:val="0"/>
              <w:keepLines w:val="0"/>
              <w:suppressLineNumbers w:val="0"/>
              <w:spacing w:before="0" w:beforeAutospacing="0" w:after="0" w:afterAutospacing="0"/>
              <w:ind w:left="0" w:right="0"/>
              <w:rPr>
                <w:color w:val="auto"/>
                <w:szCs w:val="21"/>
              </w:rPr>
            </w:pPr>
          </w:p>
        </w:tc>
      </w:tr>
    </w:tbl>
    <w:p>
      <w:pPr>
        <w:spacing w:line="240" w:lineRule="auto"/>
        <w:ind w:firstLineChars="0"/>
        <w:jc w:val="center"/>
        <w:rPr>
          <w:rFonts w:ascii="Times New Roman" w:hAnsi="Times New Roman"/>
          <w:b/>
          <w:color w:val="auto"/>
          <w:sz w:val="21"/>
        </w:rPr>
      </w:pPr>
    </w:p>
    <w:p>
      <w:pPr>
        <w:pStyle w:val="592"/>
        <w:numPr>
          <w:ilvl w:val="0"/>
          <w:numId w:val="15"/>
        </w:numPr>
        <w:tabs>
          <w:tab w:val="left" w:pos="0"/>
        </w:tabs>
        <w:rPr>
          <w:color w:val="auto"/>
        </w:rPr>
      </w:pPr>
      <w:bookmarkStart w:id="52" w:name="_Toc37350062"/>
      <w:r>
        <w:rPr>
          <w:rFonts w:hint="eastAsia"/>
          <w:color w:val="auto"/>
        </w:rPr>
        <w:t>污染物排放总量控制</w:t>
      </w:r>
      <w:bookmarkEnd w:id="52"/>
    </w:p>
    <w:p>
      <w:pPr>
        <w:pStyle w:val="4"/>
        <w:numPr>
          <w:ilvl w:val="0"/>
          <w:numId w:val="20"/>
        </w:numPr>
        <w:spacing w:beforeLines="0"/>
        <w:rPr>
          <w:rFonts w:ascii="Times New Roman" w:hAnsi="Times New Roman"/>
          <w:color w:val="auto"/>
          <w:sz w:val="24"/>
          <w:szCs w:val="24"/>
        </w:rPr>
      </w:pPr>
      <w:bookmarkStart w:id="53" w:name="_Toc323721060"/>
      <w:bookmarkStart w:id="54" w:name="_Toc242451810"/>
      <w:r>
        <w:rPr>
          <w:rFonts w:ascii="Times New Roman" w:hAnsi="Times New Roman"/>
          <w:color w:val="auto"/>
          <w:sz w:val="24"/>
          <w:szCs w:val="24"/>
        </w:rPr>
        <w:t>总量控制目的</w:t>
      </w:r>
      <w:bookmarkEnd w:id="53"/>
    </w:p>
    <w:p>
      <w:pPr>
        <w:ind w:firstLine="480"/>
        <w:rPr>
          <w:rFonts w:ascii="Times New Roman" w:hAnsi="Times New Roman"/>
          <w:color w:val="auto"/>
        </w:rPr>
      </w:pPr>
      <w:r>
        <w:rPr>
          <w:rFonts w:ascii="Times New Roman" w:hAnsi="Times New Roman"/>
          <w:color w:val="auto"/>
        </w:rPr>
        <w:t>（1）控制区域污染物排放总量，使其满足区域控制目标，以保证环境质量不致进一步恶化。</w:t>
      </w:r>
    </w:p>
    <w:p>
      <w:pPr>
        <w:ind w:firstLine="480"/>
        <w:rPr>
          <w:rFonts w:ascii="Times New Roman" w:hAnsi="Times New Roman"/>
          <w:color w:val="auto"/>
        </w:rPr>
      </w:pPr>
      <w:r>
        <w:rPr>
          <w:rFonts w:ascii="Times New Roman" w:hAnsi="Times New Roman"/>
          <w:color w:val="auto"/>
        </w:rPr>
        <w:t>（2）通过达标排放，改进生产工艺、提高治理深度等办法，尽可能减少污染物的排放量。</w:t>
      </w:r>
    </w:p>
    <w:p>
      <w:pPr>
        <w:ind w:firstLine="480"/>
        <w:rPr>
          <w:rFonts w:ascii="Times New Roman" w:hAnsi="Times New Roman"/>
          <w:color w:val="auto"/>
        </w:rPr>
      </w:pPr>
      <w:r>
        <w:rPr>
          <w:rFonts w:ascii="Times New Roman" w:hAnsi="Times New Roman"/>
          <w:color w:val="auto"/>
        </w:rPr>
        <w:t>（3）提出合理可行的总量控制目标，为企业的排污总量指标申报和环保部门开展总量控制工作提供依据。</w:t>
      </w:r>
    </w:p>
    <w:p>
      <w:pPr>
        <w:pStyle w:val="4"/>
        <w:numPr>
          <w:ilvl w:val="0"/>
          <w:numId w:val="20"/>
        </w:numPr>
        <w:spacing w:beforeLines="0"/>
        <w:rPr>
          <w:rFonts w:ascii="Times New Roman" w:hAnsi="Times New Roman"/>
          <w:color w:val="auto"/>
          <w:sz w:val="24"/>
          <w:szCs w:val="24"/>
        </w:rPr>
      </w:pPr>
      <w:r>
        <w:rPr>
          <w:rFonts w:ascii="Times New Roman" w:hAnsi="Times New Roman"/>
          <w:color w:val="auto"/>
          <w:sz w:val="24"/>
          <w:szCs w:val="24"/>
        </w:rPr>
        <w:t>总量控制目标确定</w:t>
      </w:r>
      <w:bookmarkEnd w:id="54"/>
    </w:p>
    <w:p>
      <w:pPr>
        <w:ind w:firstLine="480"/>
        <w:rPr>
          <w:rFonts w:ascii="Times New Roman" w:hAnsi="Times New Roman"/>
          <w:color w:val="auto"/>
        </w:rPr>
      </w:pPr>
      <w:r>
        <w:rPr>
          <w:rFonts w:ascii="Times New Roman" w:hAnsi="Times New Roman"/>
          <w:color w:val="auto"/>
        </w:rPr>
        <w:t>污染物排放实施总量控制是执行环保管理目标责任制的基本原则之一。为了控制环境污染的进一步加剧，国家提出污染物总量控制的要求。结合项目特征，确定本项目实施总量控制的污染物为COD、氨氮，同时根据《浙江省挥发性有机物污染整治方案》（浙环发〔2013〕54号），将VOC</w:t>
      </w:r>
      <w:r>
        <w:rPr>
          <w:rFonts w:ascii="Times New Roman" w:hAnsi="Times New Roman"/>
          <w:color w:val="auto"/>
          <w:vertAlign w:val="subscript"/>
        </w:rPr>
        <w:t>S</w:t>
      </w:r>
      <w:r>
        <w:rPr>
          <w:rFonts w:ascii="Times New Roman" w:hAnsi="Times New Roman"/>
          <w:color w:val="auto"/>
        </w:rPr>
        <w:t>纳入总量控制的指标</w:t>
      </w:r>
      <w:r>
        <w:rPr>
          <w:rFonts w:hint="eastAsia" w:ascii="Times New Roman" w:hAnsi="Times New Roman"/>
          <w:color w:val="auto"/>
        </w:rPr>
        <w:t>。</w:t>
      </w:r>
    </w:p>
    <w:p>
      <w:pPr>
        <w:ind w:firstLine="480"/>
        <w:rPr>
          <w:rFonts w:ascii="Times New Roman" w:hAnsi="Times New Roman"/>
          <w:color w:val="auto"/>
        </w:rPr>
      </w:pPr>
      <w:r>
        <w:rPr>
          <w:rFonts w:ascii="Times New Roman" w:hAnsi="Times New Roman"/>
          <w:color w:val="auto"/>
        </w:rPr>
        <w:t>结合本项目特征，确定本项目实施总量控制的污染物为COD、氨氮和VOCs。</w:t>
      </w:r>
    </w:p>
    <w:p>
      <w:pPr>
        <w:pStyle w:val="4"/>
        <w:numPr>
          <w:ilvl w:val="0"/>
          <w:numId w:val="20"/>
        </w:numPr>
        <w:spacing w:beforeLines="0"/>
        <w:rPr>
          <w:rFonts w:ascii="Times New Roman" w:hAnsi="Times New Roman"/>
          <w:color w:val="auto"/>
          <w:sz w:val="24"/>
          <w:szCs w:val="24"/>
        </w:rPr>
      </w:pPr>
      <w:r>
        <w:rPr>
          <w:rFonts w:ascii="Times New Roman" w:hAnsi="Times New Roman"/>
          <w:color w:val="auto"/>
          <w:sz w:val="24"/>
          <w:szCs w:val="24"/>
        </w:rPr>
        <w:t>总量控制指标</w:t>
      </w:r>
    </w:p>
    <w:p>
      <w:pPr>
        <w:ind w:firstLine="480"/>
        <w:rPr>
          <w:rFonts w:ascii="Times New Roman" w:hAnsi="Times New Roman"/>
          <w:color w:val="auto"/>
        </w:rPr>
      </w:pPr>
      <w:r>
        <w:rPr>
          <w:rFonts w:ascii="Times New Roman" w:hAnsi="Times New Roman"/>
          <w:color w:val="auto"/>
        </w:rPr>
        <w:t>本项目总量排放情况见表</w:t>
      </w:r>
      <w:r>
        <w:rPr>
          <w:rFonts w:hint="eastAsia" w:ascii="Times New Roman" w:hAnsi="Times New Roman"/>
          <w:color w:val="auto"/>
        </w:rPr>
        <w:t>3-21</w:t>
      </w:r>
      <w:r>
        <w:rPr>
          <w:rFonts w:ascii="Times New Roman" w:hAnsi="Times New Roman"/>
          <w:color w:val="auto"/>
        </w:rPr>
        <w:t>。</w:t>
      </w:r>
    </w:p>
    <w:p>
      <w:pPr>
        <w:numPr>
          <w:ilvl w:val="0"/>
          <w:numId w:val="16"/>
        </w:numPr>
        <w:spacing w:line="240" w:lineRule="auto"/>
        <w:ind w:left="0" w:firstLine="0" w:firstLineChars="0"/>
        <w:jc w:val="right"/>
        <w:rPr>
          <w:rFonts w:ascii="Times New Roman" w:hAnsi="Times New Roman"/>
          <w:b/>
          <w:color w:val="auto"/>
          <w:sz w:val="21"/>
        </w:rPr>
      </w:pPr>
      <w:r>
        <w:rPr>
          <w:rFonts w:ascii="Times New Roman" w:hAnsi="Times New Roman"/>
          <w:b/>
          <w:color w:val="auto"/>
          <w:sz w:val="21"/>
        </w:rPr>
        <w:t>总量控制指标</w:t>
      </w:r>
      <w:r>
        <w:rPr>
          <w:rFonts w:hint="eastAsia" w:ascii="Times New Roman" w:hAnsi="Times New Roman"/>
          <w:b/>
          <w:color w:val="auto"/>
          <w:sz w:val="21"/>
        </w:rPr>
        <w:t xml:space="preserve">                     </w:t>
      </w:r>
      <w:r>
        <w:rPr>
          <w:rFonts w:ascii="Times New Roman" w:hAnsi="Times New Roman"/>
          <w:b/>
          <w:color w:val="auto"/>
          <w:sz w:val="21"/>
        </w:rPr>
        <w:t>单位：t/a</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912"/>
        <w:gridCol w:w="1438"/>
        <w:gridCol w:w="1598"/>
        <w:gridCol w:w="1453"/>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1"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污染物种类</w:t>
            </w:r>
          </w:p>
        </w:tc>
        <w:tc>
          <w:tcPr>
            <w:tcW w:w="53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项目</w:t>
            </w:r>
          </w:p>
        </w:tc>
        <w:tc>
          <w:tcPr>
            <w:tcW w:w="84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产生量</w:t>
            </w:r>
          </w:p>
        </w:tc>
        <w:tc>
          <w:tcPr>
            <w:tcW w:w="93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自身削减量</w:t>
            </w:r>
          </w:p>
        </w:tc>
        <w:tc>
          <w:tcPr>
            <w:tcW w:w="85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环境排放量</w:t>
            </w:r>
          </w:p>
        </w:tc>
        <w:tc>
          <w:tcPr>
            <w:tcW w:w="11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总量交易建议值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2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废气</w:t>
            </w:r>
          </w:p>
        </w:tc>
        <w:tc>
          <w:tcPr>
            <w:tcW w:w="53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VOCs</w:t>
            </w:r>
          </w:p>
        </w:tc>
        <w:tc>
          <w:tcPr>
            <w:tcW w:w="84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fldChar w:fldCharType="begin"/>
            </w:r>
            <w:r>
              <w:rPr>
                <w:rFonts w:ascii="Times New Roman" w:hAnsi="Times New Roman"/>
                <w:color w:val="auto"/>
                <w:sz w:val="21"/>
              </w:rPr>
              <w:instrText xml:space="preserve"> </w:instrText>
            </w:r>
            <w:r>
              <w:rPr>
                <w:rFonts w:hint="eastAsia" w:ascii="Times New Roman" w:hAnsi="Times New Roman"/>
                <w:color w:val="auto"/>
                <w:sz w:val="21"/>
              </w:rPr>
              <w:instrText xml:space="preserve">=SUM(ABOVE)</w:instrText>
            </w:r>
            <w:r>
              <w:rPr>
                <w:rFonts w:ascii="Times New Roman" w:hAnsi="Times New Roman"/>
                <w:color w:val="auto"/>
                <w:sz w:val="21"/>
              </w:rPr>
              <w:instrText xml:space="preserve"> </w:instrText>
            </w:r>
            <w:r>
              <w:rPr>
                <w:rFonts w:ascii="Times New Roman" w:hAnsi="Times New Roman"/>
                <w:color w:val="auto"/>
                <w:sz w:val="21"/>
              </w:rPr>
              <w:fldChar w:fldCharType="separate"/>
            </w:r>
            <w:r>
              <w:rPr>
                <w:rFonts w:ascii="Times New Roman" w:hAnsi="Times New Roman"/>
                <w:color w:val="auto"/>
                <w:sz w:val="21"/>
              </w:rPr>
              <w:t>7.</w:t>
            </w:r>
            <w:r>
              <w:rPr>
                <w:rFonts w:hint="eastAsia" w:ascii="Times New Roman" w:hAnsi="Times New Roman"/>
                <w:color w:val="auto"/>
                <w:sz w:val="21"/>
              </w:rPr>
              <w:t>31</w:t>
            </w:r>
            <w:r>
              <w:rPr>
                <w:rFonts w:ascii="Times New Roman" w:hAnsi="Times New Roman"/>
                <w:color w:val="auto"/>
                <w:sz w:val="21"/>
              </w:rPr>
              <w:fldChar w:fldCharType="end"/>
            </w:r>
          </w:p>
        </w:tc>
        <w:tc>
          <w:tcPr>
            <w:tcW w:w="93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5.266</w:t>
            </w:r>
          </w:p>
        </w:tc>
        <w:tc>
          <w:tcPr>
            <w:tcW w:w="85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2.044</w:t>
            </w:r>
          </w:p>
        </w:tc>
        <w:tc>
          <w:tcPr>
            <w:tcW w:w="11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尚未进行总量交易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721"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w:t>
            </w:r>
          </w:p>
        </w:tc>
        <w:tc>
          <w:tcPr>
            <w:tcW w:w="53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p>
        </w:tc>
        <w:tc>
          <w:tcPr>
            <w:tcW w:w="84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0.356</w:t>
            </w:r>
          </w:p>
        </w:tc>
        <w:tc>
          <w:tcPr>
            <w:tcW w:w="93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0.285</w:t>
            </w:r>
          </w:p>
        </w:tc>
        <w:tc>
          <w:tcPr>
            <w:tcW w:w="85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w:t>
            </w:r>
          </w:p>
        </w:tc>
        <w:tc>
          <w:tcPr>
            <w:tcW w:w="11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72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3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84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c>
          <w:tcPr>
            <w:tcW w:w="93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0.007</w:t>
            </w:r>
          </w:p>
        </w:tc>
        <w:tc>
          <w:tcPr>
            <w:tcW w:w="85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0.018</w:t>
            </w:r>
          </w:p>
        </w:tc>
        <w:tc>
          <w:tcPr>
            <w:tcW w:w="111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bl>
    <w:p>
      <w:pPr>
        <w:pStyle w:val="4"/>
        <w:numPr>
          <w:ilvl w:val="0"/>
          <w:numId w:val="20"/>
        </w:numPr>
        <w:spacing w:beforeLines="0"/>
        <w:rPr>
          <w:rFonts w:ascii="Times New Roman" w:hAnsi="Times New Roman"/>
          <w:color w:val="auto"/>
          <w:sz w:val="24"/>
          <w:szCs w:val="24"/>
        </w:rPr>
      </w:pPr>
      <w:r>
        <w:rPr>
          <w:rFonts w:ascii="Times New Roman" w:hAnsi="Times New Roman"/>
          <w:color w:val="auto"/>
          <w:sz w:val="24"/>
          <w:szCs w:val="24"/>
        </w:rPr>
        <w:t>总量平衡方案</w:t>
      </w:r>
    </w:p>
    <w:p>
      <w:pPr>
        <w:ind w:firstLine="480"/>
        <w:rPr>
          <w:rFonts w:ascii="Times New Roman" w:hAnsi="Times New Roman"/>
          <w:color w:val="auto"/>
        </w:rPr>
      </w:pPr>
      <w:bookmarkStart w:id="55" w:name="_Hlk3453749"/>
      <w:r>
        <w:rPr>
          <w:rFonts w:ascii="Times New Roman" w:hAnsi="Times New Roman"/>
          <w:color w:val="auto"/>
        </w:rPr>
        <w:t>本项目外排的废水仅为生活污水。根据《浙江省建设项目主要污染物总量准入审核办法（试行）》（浙环发[2012]10号）及《温州市建设项目环评审批污染物总量替代管理办法（试行）》（温环发[2010]88号）文件，建设项目不排放生产废水，只排放生活污水的，其新增生活污水排放量不需区域替代削减。同时，根据《温州市排污权有偿使用和交易试行办法》（温州市人民政府令第123号），本项目只排放生活污水，无需购买COD、氨氮排污权指标。</w:t>
      </w:r>
    </w:p>
    <w:p>
      <w:pPr>
        <w:ind w:firstLine="480"/>
        <w:rPr>
          <w:rFonts w:ascii="Times New Roman" w:hAnsi="Times New Roman"/>
          <w:color w:val="auto"/>
        </w:rPr>
      </w:pPr>
      <w:r>
        <w:rPr>
          <w:rFonts w:hint="eastAsia" w:ascii="Times New Roman" w:hAnsi="Times New Roman"/>
          <w:color w:val="auto"/>
          <w:szCs w:val="32"/>
        </w:rPr>
        <w:t>根据《关于做好挥发性有机物总量控制工作的通知》（浙环发</w:t>
      </w:r>
      <w:r>
        <w:rPr>
          <w:rFonts w:ascii="Times New Roman" w:hAnsi="Times New Roman"/>
          <w:color w:val="auto"/>
          <w:szCs w:val="32"/>
        </w:rPr>
        <w:t>[2017]29 号），建设项目VOCs 排放量实行区域内现役源2倍削减量替代</w:t>
      </w:r>
      <w:r>
        <w:rPr>
          <w:rFonts w:hint="eastAsia" w:ascii="Times New Roman" w:hAnsi="Times New Roman"/>
          <w:color w:val="auto"/>
          <w:szCs w:val="32"/>
        </w:rPr>
        <w:t>，</w:t>
      </w:r>
      <w:r>
        <w:rPr>
          <w:rFonts w:hint="eastAsia" w:ascii="Times New Roman" w:hAnsi="Times New Roman"/>
          <w:color w:val="auto"/>
        </w:rPr>
        <w:t>目前尚未对</w:t>
      </w:r>
      <w:r>
        <w:rPr>
          <w:rFonts w:ascii="Times New Roman" w:hAnsi="Times New Roman"/>
          <w:color w:val="auto"/>
        </w:rPr>
        <w:t>VOCs排污权指标实施交易，</w:t>
      </w:r>
      <w:r>
        <w:rPr>
          <w:rFonts w:hint="eastAsia" w:ascii="Times New Roman" w:hAnsi="Times New Roman"/>
          <w:color w:val="auto"/>
        </w:rPr>
        <w:t>本环评仅提出总量控制建议值，即</w:t>
      </w:r>
      <w:r>
        <w:rPr>
          <w:rFonts w:ascii="Times New Roman" w:hAnsi="Times New Roman"/>
          <w:color w:val="auto"/>
        </w:rPr>
        <w:t>VOC</w:t>
      </w:r>
      <w:r>
        <w:rPr>
          <w:rFonts w:ascii="Times New Roman" w:hAnsi="Times New Roman"/>
          <w:color w:val="auto"/>
          <w:vertAlign w:val="subscript"/>
        </w:rPr>
        <w:t>S</w:t>
      </w:r>
      <w:r>
        <w:rPr>
          <w:rFonts w:ascii="Times New Roman" w:hAnsi="Times New Roman"/>
          <w:color w:val="auto"/>
        </w:rPr>
        <w:t>排放量为</w:t>
      </w:r>
      <w:r>
        <w:rPr>
          <w:rFonts w:hint="eastAsia" w:ascii="Times New Roman" w:hAnsi="Times New Roman"/>
          <w:color w:val="auto"/>
          <w:szCs w:val="32"/>
        </w:rPr>
        <w:t>2.044</w:t>
      </w:r>
      <w:r>
        <w:rPr>
          <w:rFonts w:ascii="Times New Roman" w:hAnsi="Times New Roman"/>
          <w:color w:val="auto"/>
          <w:szCs w:val="32"/>
        </w:rPr>
        <w:t>t/a</w:t>
      </w:r>
      <w:r>
        <w:rPr>
          <w:rFonts w:ascii="Times New Roman" w:hAnsi="Times New Roman"/>
          <w:color w:val="auto"/>
        </w:rPr>
        <w:t>，替代削减比例为1:2，总量</w:t>
      </w:r>
      <w:r>
        <w:rPr>
          <w:rFonts w:hint="eastAsia" w:ascii="Times New Roman" w:hAnsi="Times New Roman"/>
          <w:color w:val="auto"/>
        </w:rPr>
        <w:t>控制替代值为4.088</w:t>
      </w:r>
      <w:r>
        <w:rPr>
          <w:rFonts w:ascii="Times New Roman" w:hAnsi="Times New Roman"/>
          <w:color w:val="auto"/>
        </w:rPr>
        <w:t>t/a。</w:t>
      </w:r>
    </w:p>
    <w:bookmarkEnd w:id="55"/>
    <w:p>
      <w:pPr>
        <w:pStyle w:val="592"/>
        <w:numPr>
          <w:ilvl w:val="0"/>
          <w:numId w:val="21"/>
        </w:numPr>
        <w:tabs>
          <w:tab w:val="left" w:pos="0"/>
        </w:tabs>
        <w:rPr>
          <w:color w:val="auto"/>
        </w:rPr>
      </w:pPr>
      <w:bookmarkStart w:id="56" w:name="_Toc37350063"/>
      <w:r>
        <w:rPr>
          <w:rFonts w:hint="eastAsia"/>
          <w:color w:val="auto"/>
        </w:rPr>
        <w:t>清洁生产</w:t>
      </w:r>
      <w:bookmarkEnd w:id="56"/>
    </w:p>
    <w:p>
      <w:pPr>
        <w:pStyle w:val="4"/>
        <w:numPr>
          <w:ilvl w:val="0"/>
          <w:numId w:val="22"/>
        </w:numPr>
        <w:spacing w:beforeLines="0"/>
        <w:rPr>
          <w:rFonts w:ascii="Times New Roman" w:hAnsi="Times New Roman"/>
          <w:color w:val="auto"/>
          <w:sz w:val="24"/>
          <w:szCs w:val="24"/>
        </w:rPr>
      </w:pPr>
      <w:r>
        <w:rPr>
          <w:rFonts w:ascii="Times New Roman" w:hAnsi="Times New Roman"/>
          <w:color w:val="auto"/>
          <w:sz w:val="24"/>
          <w:szCs w:val="24"/>
        </w:rPr>
        <w:t>本项目清洁生产水平</w:t>
      </w:r>
    </w:p>
    <w:p>
      <w:pPr>
        <w:ind w:firstLine="480"/>
        <w:rPr>
          <w:rFonts w:ascii="Times New Roman" w:hAnsi="Times New Roman"/>
          <w:color w:val="auto"/>
        </w:rPr>
      </w:pPr>
      <w:r>
        <w:rPr>
          <w:rFonts w:ascii="Times New Roman" w:hAnsi="Times New Roman"/>
          <w:color w:val="auto"/>
        </w:rPr>
        <w:t>可持续发展是我国两大发展战略之一，环境保护既是我国基本国策，又是政府行为。实现经济、社会和环境的可持续发展是人类面临的唯一选择，而推行清洁生产是保护环境的根本途径之一。</w:t>
      </w:r>
    </w:p>
    <w:p>
      <w:pPr>
        <w:ind w:firstLine="480"/>
        <w:rPr>
          <w:rFonts w:ascii="Times New Roman" w:hAnsi="Times New Roman"/>
          <w:color w:val="auto"/>
        </w:rPr>
      </w:pPr>
      <w:r>
        <w:rPr>
          <w:rFonts w:ascii="Times New Roman" w:hAnsi="Times New Roman"/>
          <w:color w:val="auto"/>
        </w:rPr>
        <w:t>清洁生产是指将整体预防污染的环境策略持续应用于生产过程、产品和服务中，以增加生态效率和减少人类及环境的风险。清洁生产打破了传统的“末端”管理模式，注重从源头寻找使污染最少化的途径，将预防和治理污染贯穿于整个生产过程和产品消费使用过程，通过实施清洁生产能够节约能源、降低原材料消耗、减少污染、降低产品成本和“废物”处理费用，提高劳动生产率，改善劳动条件，直接或间接地提高经济效益，是实现企业可持续发展的一种新模式。</w:t>
      </w:r>
    </w:p>
    <w:p>
      <w:pPr>
        <w:ind w:firstLine="480"/>
        <w:rPr>
          <w:rFonts w:ascii="Times New Roman" w:hAnsi="Times New Roman"/>
          <w:color w:val="auto"/>
        </w:rPr>
      </w:pPr>
      <w:r>
        <w:rPr>
          <w:rFonts w:ascii="Times New Roman" w:hAnsi="Times New Roman"/>
          <w:color w:val="auto"/>
        </w:rPr>
        <w:t>对于本次项目的清洁生产水平，从以下几大方面分析：</w:t>
      </w:r>
    </w:p>
    <w:p>
      <w:pPr>
        <w:ind w:firstLine="480"/>
        <w:rPr>
          <w:rFonts w:ascii="Times New Roman" w:hAnsi="Times New Roman"/>
          <w:color w:val="auto"/>
        </w:rPr>
      </w:pPr>
      <w:bookmarkStart w:id="57" w:name="_Toc201547025"/>
      <w:r>
        <w:rPr>
          <w:rFonts w:hint="eastAsia" w:ascii="Times New Roman" w:hAnsi="Times New Roman"/>
          <w:color w:val="auto"/>
        </w:rPr>
        <w:t>（1）生产工艺与装备要求</w:t>
      </w:r>
    </w:p>
    <w:p>
      <w:pPr>
        <w:ind w:firstLine="480"/>
        <w:rPr>
          <w:rFonts w:ascii="Times New Roman" w:hAnsi="Times New Roman"/>
          <w:color w:val="auto"/>
        </w:rPr>
      </w:pPr>
      <w:r>
        <w:rPr>
          <w:rFonts w:ascii="Times New Roman" w:hAnsi="Times New Roman"/>
          <w:color w:val="auto"/>
        </w:rPr>
        <w:t>本项目所采用主要工艺均为典型的生产工艺，不属于</w:t>
      </w:r>
      <w:r>
        <w:rPr>
          <w:rFonts w:ascii="Times New Roman" w:hAnsi="Times New Roman"/>
          <w:color w:val="auto"/>
          <w:szCs w:val="24"/>
        </w:rPr>
        <w:t>《产业结构调整指导目录（201</w:t>
      </w:r>
      <w:r>
        <w:rPr>
          <w:rFonts w:hint="eastAsia" w:ascii="Times New Roman" w:hAnsi="Times New Roman"/>
          <w:color w:val="auto"/>
          <w:szCs w:val="24"/>
        </w:rPr>
        <w:t>9</w:t>
      </w:r>
      <w:r>
        <w:rPr>
          <w:rFonts w:ascii="Times New Roman" w:hAnsi="Times New Roman"/>
          <w:color w:val="auto"/>
          <w:szCs w:val="24"/>
        </w:rPr>
        <w:t>年本）》</w:t>
      </w:r>
      <w:r>
        <w:rPr>
          <w:rFonts w:ascii="Times New Roman" w:hAnsi="Times New Roman"/>
          <w:color w:val="auto"/>
        </w:rPr>
        <w:t>中落后淘汰生产工艺。本项目</w:t>
      </w:r>
      <w:r>
        <w:rPr>
          <w:rFonts w:hint="eastAsia" w:ascii="Times New Roman" w:hAnsi="Times New Roman"/>
          <w:color w:val="auto"/>
        </w:rPr>
        <w:t>拟</w:t>
      </w:r>
      <w:r>
        <w:rPr>
          <w:rFonts w:ascii="Times New Roman" w:hAnsi="Times New Roman"/>
          <w:color w:val="auto"/>
        </w:rPr>
        <w:t>采用设备不属于国家明令禁止使用的落后淘汰设备</w:t>
      </w:r>
      <w:r>
        <w:rPr>
          <w:rFonts w:hint="eastAsia" w:ascii="Times New Roman" w:hAnsi="Times New Roman"/>
          <w:color w:val="auto"/>
        </w:rPr>
        <w:t>和工艺</w:t>
      </w:r>
      <w:r>
        <w:rPr>
          <w:rFonts w:ascii="Times New Roman" w:hAnsi="Times New Roman"/>
          <w:color w:val="auto"/>
        </w:rPr>
        <w:t>。</w:t>
      </w:r>
    </w:p>
    <w:p>
      <w:pPr>
        <w:ind w:firstLine="480"/>
        <w:rPr>
          <w:rFonts w:ascii="Times New Roman" w:hAnsi="Times New Roman"/>
          <w:color w:val="auto"/>
        </w:rPr>
      </w:pPr>
      <w:r>
        <w:rPr>
          <w:rFonts w:ascii="Times New Roman" w:hAnsi="Times New Roman"/>
          <w:color w:val="auto"/>
        </w:rPr>
        <w:t>对于设备选型应建议选用国家产业政策支持的先进设备，可参考“节能节水专用设备企业所得税优惠目录（2008年版）、环境保护专用设备企业所得税优惠目录（2008年版）、国家鼓励发展的重大环保技术装备目录（2011年版）。</w:t>
      </w:r>
    </w:p>
    <w:p>
      <w:pPr>
        <w:ind w:firstLine="480"/>
        <w:rPr>
          <w:rFonts w:ascii="Times New Roman" w:hAnsi="Times New Roman"/>
          <w:color w:val="auto"/>
        </w:rPr>
      </w:pPr>
      <w:r>
        <w:rPr>
          <w:rFonts w:hint="eastAsia" w:ascii="Times New Roman" w:hAnsi="Times New Roman"/>
          <w:color w:val="auto"/>
        </w:rPr>
        <w:t>（2）资源能源利用指标</w:t>
      </w:r>
    </w:p>
    <w:p>
      <w:pPr>
        <w:ind w:firstLine="480"/>
        <w:rPr>
          <w:rFonts w:ascii="Times New Roman" w:hAnsi="Times New Roman"/>
          <w:color w:val="auto"/>
        </w:rPr>
      </w:pPr>
      <w:r>
        <w:rPr>
          <w:rFonts w:hint="eastAsia" w:ascii="Times New Roman" w:hAnsi="Times New Roman"/>
          <w:color w:val="auto"/>
        </w:rPr>
        <w:t>本项目使用的原料均为无毒或低毒的物料。</w:t>
      </w:r>
    </w:p>
    <w:p>
      <w:pPr>
        <w:ind w:firstLine="480"/>
        <w:rPr>
          <w:rFonts w:ascii="Times New Roman" w:hAnsi="Times New Roman"/>
          <w:color w:val="auto"/>
        </w:rPr>
      </w:pPr>
      <w:r>
        <w:rPr>
          <w:rFonts w:hint="eastAsia" w:ascii="Times New Roman" w:hAnsi="Times New Roman"/>
          <w:color w:val="auto"/>
        </w:rPr>
        <w:t>（3）产品指标</w:t>
      </w:r>
    </w:p>
    <w:p>
      <w:pPr>
        <w:ind w:firstLine="480"/>
        <w:rPr>
          <w:rFonts w:ascii="Times New Roman" w:hAnsi="Times New Roman"/>
          <w:color w:val="auto"/>
        </w:rPr>
      </w:pPr>
      <w:r>
        <w:rPr>
          <w:rFonts w:hint="eastAsia" w:ascii="Times New Roman" w:hAnsi="Times New Roman"/>
          <w:color w:val="auto"/>
        </w:rPr>
        <w:t>本项目生产过程中应注重改进工艺、提高员工操作水平，保障产品的一次合格率。</w:t>
      </w:r>
    </w:p>
    <w:p>
      <w:pPr>
        <w:ind w:firstLine="480"/>
        <w:rPr>
          <w:rFonts w:ascii="Times New Roman" w:hAnsi="Times New Roman"/>
          <w:color w:val="auto"/>
        </w:rPr>
      </w:pPr>
      <w:r>
        <w:rPr>
          <w:rFonts w:hint="eastAsia" w:ascii="Times New Roman" w:hAnsi="Times New Roman"/>
          <w:color w:val="auto"/>
        </w:rPr>
        <w:t>（4）污染物产生指标</w:t>
      </w:r>
    </w:p>
    <w:p>
      <w:pPr>
        <w:ind w:firstLine="480"/>
        <w:rPr>
          <w:rFonts w:ascii="Times New Roman" w:hAnsi="Times New Roman"/>
          <w:color w:val="auto"/>
        </w:rPr>
      </w:pPr>
      <w:r>
        <w:rPr>
          <w:rFonts w:hint="eastAsia" w:ascii="Times New Roman" w:hAnsi="Times New Roman"/>
          <w:color w:val="auto"/>
        </w:rPr>
        <w:t>本项目产生的主要污染物为有机废气。项目单位产品产生的污染物产生量较少，具有一定的清洁生产水平。</w:t>
      </w:r>
    </w:p>
    <w:p>
      <w:pPr>
        <w:ind w:firstLine="480"/>
        <w:rPr>
          <w:rFonts w:ascii="Times New Roman" w:hAnsi="Times New Roman"/>
          <w:color w:val="auto"/>
        </w:rPr>
      </w:pPr>
      <w:r>
        <w:rPr>
          <w:rFonts w:hint="eastAsia" w:ascii="Times New Roman" w:hAnsi="Times New Roman"/>
          <w:color w:val="auto"/>
        </w:rPr>
        <w:t>（5）废物回收利用指标</w:t>
      </w:r>
    </w:p>
    <w:p>
      <w:pPr>
        <w:ind w:firstLine="480"/>
        <w:rPr>
          <w:rFonts w:ascii="Times New Roman" w:hAnsi="Times New Roman"/>
          <w:color w:val="auto"/>
        </w:rPr>
      </w:pPr>
      <w:r>
        <w:rPr>
          <w:rFonts w:hint="eastAsia" w:ascii="Times New Roman" w:hAnsi="Times New Roman"/>
          <w:color w:val="auto"/>
        </w:rPr>
        <w:t>本项目生活污水经处理达标后排放；有机废气</w:t>
      </w:r>
      <w:r>
        <w:rPr>
          <w:rFonts w:ascii="Times New Roman" w:hAnsi="Times New Roman"/>
          <w:color w:val="auto"/>
          <w:spacing w:val="-4"/>
        </w:rPr>
        <w:t>经</w:t>
      </w:r>
      <w:r>
        <w:rPr>
          <w:rFonts w:ascii="Times New Roman" w:hAnsi="Times New Roman"/>
          <w:color w:val="auto"/>
        </w:rPr>
        <w:t>喷射塔+</w:t>
      </w:r>
      <w:r>
        <w:rPr>
          <w:rFonts w:hint="eastAsia" w:ascii="Times New Roman" w:hAnsi="Times New Roman"/>
          <w:color w:val="auto"/>
        </w:rPr>
        <w:t>油烟净化器+</w:t>
      </w:r>
      <w:r>
        <w:rPr>
          <w:rFonts w:ascii="Times New Roman" w:hAnsi="Times New Roman"/>
          <w:color w:val="auto"/>
        </w:rPr>
        <w:t>UV光氧+活性炭装置</w:t>
      </w:r>
      <w:r>
        <w:rPr>
          <w:rFonts w:hint="eastAsia" w:ascii="Times New Roman" w:hAnsi="Times New Roman"/>
          <w:color w:val="auto"/>
          <w:spacing w:val="-4"/>
        </w:rPr>
        <w:t>净化后</w:t>
      </w:r>
      <w:r>
        <w:rPr>
          <w:rFonts w:ascii="Times New Roman" w:hAnsi="Times New Roman"/>
          <w:color w:val="auto"/>
        </w:rPr>
        <w:t>高空排放</w:t>
      </w:r>
      <w:r>
        <w:rPr>
          <w:rFonts w:hint="eastAsia" w:ascii="Times New Roman" w:hAnsi="Times New Roman"/>
          <w:color w:val="auto"/>
        </w:rPr>
        <w:t>，大大减少了有机废气的排放；一般工业固废综合利用，符合清洁生产要求。</w:t>
      </w:r>
    </w:p>
    <w:p>
      <w:pPr>
        <w:ind w:firstLine="480"/>
        <w:rPr>
          <w:rFonts w:ascii="Times New Roman" w:hAnsi="Times New Roman"/>
          <w:color w:val="auto"/>
        </w:rPr>
      </w:pPr>
      <w:r>
        <w:rPr>
          <w:rFonts w:hint="eastAsia" w:ascii="Times New Roman" w:hAnsi="Times New Roman"/>
          <w:color w:val="auto"/>
        </w:rPr>
        <w:t>（6）环境管理要求</w:t>
      </w:r>
    </w:p>
    <w:p>
      <w:pPr>
        <w:ind w:firstLine="480"/>
        <w:rPr>
          <w:rFonts w:ascii="Times New Roman" w:hAnsi="Times New Roman"/>
          <w:color w:val="auto"/>
        </w:rPr>
      </w:pPr>
      <w:r>
        <w:rPr>
          <w:rFonts w:ascii="Times New Roman" w:hAnsi="Times New Roman"/>
          <w:color w:val="auto"/>
        </w:rPr>
        <w:t>职工素质是企业素质的基础，人员培训事关重大，是保证生产设备正常运转，产品质量达到工艺要求，节约原辅材料，降低消耗定额，增加经济效益的重要措施。</w:t>
      </w:r>
    </w:p>
    <w:p>
      <w:pPr>
        <w:ind w:firstLine="480"/>
        <w:rPr>
          <w:rFonts w:ascii="Times New Roman" w:hAnsi="Times New Roman"/>
          <w:color w:val="auto"/>
        </w:rPr>
      </w:pPr>
      <w:r>
        <w:rPr>
          <w:rFonts w:ascii="Times New Roman" w:hAnsi="Times New Roman"/>
          <w:color w:val="auto"/>
        </w:rPr>
        <w:t>操作人员要进行培训，可以采用请进来或走出去的方式，在进行理论学习、实际操作培训之后，经考核合格方可上岗操作</w:t>
      </w:r>
      <w:r>
        <w:rPr>
          <w:rFonts w:hint="eastAsia" w:ascii="Times New Roman" w:hAnsi="Times New Roman"/>
          <w:color w:val="auto"/>
        </w:rPr>
        <w:t>，提倡员工主动参与清洁生产。</w:t>
      </w:r>
    </w:p>
    <w:p>
      <w:pPr>
        <w:ind w:firstLine="480"/>
        <w:rPr>
          <w:rFonts w:ascii="Times New Roman" w:hAnsi="Times New Roman"/>
          <w:color w:val="auto"/>
        </w:rPr>
      </w:pPr>
      <w:r>
        <w:rPr>
          <w:rFonts w:ascii="Times New Roman" w:hAnsi="Times New Roman"/>
          <w:color w:val="auto"/>
        </w:rPr>
        <w:t>综上所述，</w:t>
      </w:r>
      <w:r>
        <w:rPr>
          <w:rFonts w:hint="eastAsia" w:ascii="Times New Roman" w:hAnsi="Times New Roman"/>
          <w:color w:val="auto"/>
        </w:rPr>
        <w:t>本</w:t>
      </w:r>
      <w:r>
        <w:rPr>
          <w:rFonts w:ascii="Times New Roman" w:hAnsi="Times New Roman"/>
          <w:color w:val="auto"/>
        </w:rPr>
        <w:t>项目的建设</w:t>
      </w:r>
      <w:r>
        <w:rPr>
          <w:rFonts w:hint="eastAsia" w:ascii="Times New Roman" w:hAnsi="Times New Roman"/>
          <w:color w:val="auto"/>
        </w:rPr>
        <w:t>具有一定的清洁生产水平，</w:t>
      </w:r>
      <w:r>
        <w:rPr>
          <w:rFonts w:ascii="Times New Roman" w:hAnsi="Times New Roman"/>
          <w:color w:val="auto"/>
        </w:rPr>
        <w:t>符合清洁生产的要求。</w:t>
      </w:r>
    </w:p>
    <w:p>
      <w:pPr>
        <w:pStyle w:val="4"/>
        <w:numPr>
          <w:ilvl w:val="0"/>
          <w:numId w:val="22"/>
        </w:numPr>
        <w:spacing w:beforeLines="0"/>
        <w:rPr>
          <w:rFonts w:ascii="Times New Roman" w:hAnsi="Times New Roman"/>
          <w:color w:val="auto"/>
          <w:sz w:val="24"/>
          <w:szCs w:val="24"/>
        </w:rPr>
      </w:pPr>
      <w:bookmarkStart w:id="58" w:name="_Toc226450188"/>
      <w:bookmarkStart w:id="59" w:name="_Toc219570960"/>
      <w:r>
        <w:rPr>
          <w:rFonts w:ascii="Times New Roman" w:hAnsi="Times New Roman"/>
          <w:color w:val="auto"/>
          <w:sz w:val="24"/>
          <w:szCs w:val="24"/>
        </w:rPr>
        <w:t>清洁生产建议</w:t>
      </w:r>
      <w:bookmarkEnd w:id="57"/>
      <w:bookmarkEnd w:id="58"/>
      <w:bookmarkEnd w:id="59"/>
    </w:p>
    <w:p>
      <w:pPr>
        <w:ind w:firstLine="480"/>
        <w:rPr>
          <w:rFonts w:ascii="Times New Roman" w:hAnsi="Times New Roman"/>
          <w:color w:val="auto"/>
        </w:rPr>
      </w:pPr>
      <w:r>
        <w:rPr>
          <w:rFonts w:ascii="Times New Roman" w:hAnsi="Times New Roman"/>
          <w:color w:val="auto"/>
        </w:rPr>
        <w:t>1、清洁生产水平评价分析</w:t>
      </w:r>
    </w:p>
    <w:p>
      <w:pPr>
        <w:ind w:firstLine="480"/>
        <w:rPr>
          <w:rFonts w:ascii="Times New Roman" w:hAnsi="Times New Roman"/>
          <w:color w:val="auto"/>
        </w:rPr>
      </w:pPr>
      <w:r>
        <w:rPr>
          <w:rFonts w:ascii="Times New Roman" w:hAnsi="Times New Roman"/>
          <w:color w:val="auto"/>
        </w:rPr>
        <w:t>根据以上分析，建设项目符合国家和地方产业政策的要求，通过清洁生产水平分析，本项目生产工艺较先进，做到节能、节耗，使用清洁能源；做到了在生产过程中控制污染物产生和排放。同时，同时本项目重视物料和能源的循环利用，体现了循环经济理念。</w:t>
      </w:r>
    </w:p>
    <w:p>
      <w:pPr>
        <w:ind w:firstLine="480"/>
        <w:rPr>
          <w:rFonts w:ascii="Times New Roman" w:hAnsi="Times New Roman"/>
          <w:color w:val="auto"/>
        </w:rPr>
      </w:pPr>
      <w:r>
        <w:rPr>
          <w:rFonts w:ascii="Times New Roman" w:hAnsi="Times New Roman"/>
          <w:color w:val="auto"/>
        </w:rPr>
        <w:t>2、进一步清洁生产要求</w:t>
      </w:r>
    </w:p>
    <w:p>
      <w:pPr>
        <w:ind w:firstLine="535" w:firstLineChars="223"/>
        <w:rPr>
          <w:rFonts w:ascii="Times New Roman" w:hAnsi="Times New Roman"/>
          <w:color w:val="auto"/>
        </w:rPr>
      </w:pPr>
      <w:r>
        <w:rPr>
          <w:rFonts w:ascii="Times New Roman" w:hAnsi="Times New Roman"/>
          <w:color w:val="auto"/>
        </w:rPr>
        <w:t>本项目的清洁生产水平较高，在今后的工作中应从以下等各方面保持或进一步提高本项目的清洁生产水平：</w:t>
      </w:r>
    </w:p>
    <w:p>
      <w:pPr>
        <w:autoSpaceDE w:val="0"/>
        <w:autoSpaceDN w:val="0"/>
        <w:adjustRightInd w:val="0"/>
        <w:ind w:firstLine="535" w:firstLineChars="223"/>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建立和完善清洁生产组织</w:t>
      </w:r>
    </w:p>
    <w:p>
      <w:pPr>
        <w:pStyle w:val="187"/>
        <w:spacing w:line="360" w:lineRule="auto"/>
        <w:ind w:firstLine="480"/>
        <w:rPr>
          <w:rFonts w:ascii="Times New Roman" w:hAnsi="Times New Roman" w:cs="Times New Roman"/>
          <w:color w:val="auto"/>
        </w:rPr>
      </w:pPr>
      <w:r>
        <w:rPr>
          <w:rFonts w:ascii="Times New Roman" w:hAnsi="Times New Roman" w:cs="Times New Roman"/>
          <w:color w:val="auto"/>
        </w:rPr>
        <w:t>根据国内清洁生产试点工作经验，加强管理是所有方案中最重要的无费、低费和少费方案，约占清洁生产方案总数的40%，因此企业进行清洁生产，必须首先从加强管理入手。</w:t>
      </w:r>
    </w:p>
    <w:p>
      <w:pPr>
        <w:pStyle w:val="187"/>
        <w:spacing w:line="360" w:lineRule="auto"/>
        <w:ind w:firstLine="480"/>
        <w:rPr>
          <w:rFonts w:ascii="Times New Roman" w:hAnsi="Times New Roman" w:cs="Times New Roman"/>
          <w:color w:val="auto"/>
        </w:rPr>
      </w:pPr>
      <w:r>
        <w:rPr>
          <w:rFonts w:ascii="Times New Roman" w:hAnsi="Times New Roman" w:cs="Times New Roman"/>
          <w:color w:val="auto"/>
        </w:rPr>
        <w:t>由于清洁生产是全过程的污染控制，涉及到公司各个部门，因此必须由企业主要负责人全面负责，长抓不懈，并由主要负责人出面，按照分工负责原则，确定各职能部门的职责和责任人员。公司应制订《环境保护管理制度》、《环保科工作职责》等环境保护管理制度。为了使环保工作真正落到实处，环保科要制定各车间废水排放标准，并在此基础上制订《废水计量考核制度》、《一体化考核环保考核制度》，使各车间的经济效益直接与其环保工作、清洁生产工作联系起来，真正调动车间治理污染、消除污染的积极性。</w:t>
      </w:r>
    </w:p>
    <w:p>
      <w:pPr>
        <w:autoSpaceDE w:val="0"/>
        <w:autoSpaceDN w:val="0"/>
        <w:adjustRightInd w:val="0"/>
        <w:ind w:firstLine="535" w:firstLineChars="223"/>
        <w:rPr>
          <w:rFonts w:ascii="Times New Roman" w:hAnsi="Times New Roman"/>
          <w:color w:val="auto"/>
        </w:rPr>
      </w:pPr>
      <w:r>
        <w:rPr>
          <w:rFonts w:hint="eastAsia" w:ascii="Times New Roman" w:hAnsi="Times New Roman"/>
          <w:color w:val="auto"/>
        </w:rPr>
        <w:t>（2）</w:t>
      </w:r>
      <w:r>
        <w:rPr>
          <w:rFonts w:ascii="Times New Roman" w:hAnsi="Times New Roman"/>
          <w:color w:val="auto"/>
        </w:rPr>
        <w:t>建立和完善清洁生产管理制度</w:t>
      </w:r>
    </w:p>
    <w:p>
      <w:pPr>
        <w:ind w:firstLine="535" w:firstLineChars="223"/>
        <w:rPr>
          <w:rFonts w:ascii="Times New Roman" w:hAnsi="Times New Roman"/>
          <w:color w:val="auto"/>
        </w:rPr>
      </w:pPr>
      <w:r>
        <w:rPr>
          <w:rFonts w:ascii="Times New Roman" w:hAnsi="Times New Roman"/>
          <w:color w:val="auto"/>
        </w:rPr>
        <w:t>建立和完善清洁生产管理制度，应该把审核成果纳入公司的日常管理轨道，建立激励机制和保证稳定的清洁生产资金来源，具体如下：</w:t>
      </w:r>
    </w:p>
    <w:p>
      <w:pPr>
        <w:tabs>
          <w:tab w:val="left" w:pos="0"/>
        </w:tabs>
        <w:ind w:firstLine="556" w:firstLineChars="232"/>
        <w:rPr>
          <w:rFonts w:ascii="Times New Roman" w:hAnsi="Times New Roman"/>
          <w:color w:val="auto"/>
        </w:rPr>
      </w:pPr>
      <w:r>
        <w:rPr>
          <w:rFonts w:hint="eastAsia" w:ascii="Times New Roman" w:hAnsi="Times New Roman"/>
          <w:color w:val="auto"/>
        </w:rPr>
        <w:t>1）</w:t>
      </w:r>
      <w:r>
        <w:rPr>
          <w:rFonts w:ascii="Times New Roman" w:hAnsi="Times New Roman"/>
          <w:color w:val="auto"/>
        </w:rPr>
        <w:t>把清洁生产审核提出的加强管理的措施文件化、制度化。</w:t>
      </w:r>
    </w:p>
    <w:p>
      <w:pPr>
        <w:ind w:firstLine="535" w:firstLineChars="223"/>
        <w:rPr>
          <w:rFonts w:ascii="Times New Roman" w:hAnsi="Times New Roman"/>
          <w:color w:val="auto"/>
        </w:rPr>
      </w:pPr>
      <w:r>
        <w:rPr>
          <w:rFonts w:hint="eastAsia" w:ascii="Times New Roman" w:hAnsi="Times New Roman"/>
          <w:color w:val="auto"/>
        </w:rPr>
        <w:t>2）</w:t>
      </w:r>
      <w:r>
        <w:rPr>
          <w:rFonts w:ascii="Times New Roman" w:hAnsi="Times New Roman"/>
          <w:color w:val="auto"/>
        </w:rPr>
        <w:t>把清洁生产审核提出的岗位操作改进措施，写入岗位的操作规程，并要求严格遵照执行。</w:t>
      </w:r>
    </w:p>
    <w:p>
      <w:pPr>
        <w:ind w:firstLine="535" w:firstLineChars="223"/>
        <w:rPr>
          <w:rFonts w:ascii="Times New Roman" w:hAnsi="Times New Roman"/>
          <w:color w:val="auto"/>
        </w:rPr>
      </w:pPr>
      <w:r>
        <w:rPr>
          <w:rFonts w:hint="eastAsia" w:ascii="Times New Roman" w:hAnsi="Times New Roman"/>
          <w:color w:val="auto"/>
        </w:rPr>
        <w:t>3）</w:t>
      </w:r>
      <w:r>
        <w:rPr>
          <w:rFonts w:ascii="Times New Roman" w:hAnsi="Times New Roman"/>
          <w:color w:val="auto"/>
        </w:rPr>
        <w:t>把清洁生产审核提出的工艺过程控制的改进措施，写入公司的技术规范。</w:t>
      </w:r>
    </w:p>
    <w:p>
      <w:pPr>
        <w:ind w:firstLine="535" w:firstLineChars="223"/>
        <w:rPr>
          <w:rFonts w:ascii="Times New Roman" w:hAnsi="Times New Roman"/>
          <w:color w:val="auto"/>
        </w:rPr>
      </w:pPr>
      <w:r>
        <w:rPr>
          <w:rFonts w:hint="eastAsia" w:ascii="Times New Roman" w:hAnsi="Times New Roman"/>
          <w:color w:val="auto"/>
        </w:rPr>
        <w:t>4）</w:t>
      </w:r>
      <w:r>
        <w:rPr>
          <w:rFonts w:ascii="Times New Roman" w:hAnsi="Times New Roman"/>
          <w:color w:val="auto"/>
        </w:rPr>
        <w:t>制定清洁生产考核办法，使清洁生产工作与部门及员工的奖金、工资分配、提升、降级、上岗、下岗、表彰、批评等诸多方面结合起来，以调动全体员工参与清洁生产的积极性。</w:t>
      </w:r>
    </w:p>
    <w:p>
      <w:pPr>
        <w:ind w:firstLine="535" w:firstLineChars="223"/>
        <w:rPr>
          <w:rFonts w:ascii="Times New Roman" w:hAnsi="Times New Roman"/>
          <w:color w:val="auto"/>
        </w:rPr>
      </w:pPr>
      <w:r>
        <w:rPr>
          <w:rFonts w:hint="eastAsia" w:ascii="Times New Roman" w:hAnsi="Times New Roman"/>
          <w:color w:val="auto"/>
        </w:rPr>
        <w:t>5）</w:t>
      </w:r>
      <w:r>
        <w:rPr>
          <w:rFonts w:ascii="Times New Roman" w:hAnsi="Times New Roman"/>
          <w:color w:val="auto"/>
        </w:rPr>
        <w:t>积极主动争取各种清洁生产资金的来源，如充分利用国家推进清洁生产的政策争取银行贷款、清洁生产补助、贴息等外部资金；同时建议公司财务对清洁生产的投资和效益单独建账，保证实施清洁生产取得的效益部分或全部用于清洁生产的开展，持续滚动的推行清洁生产。</w:t>
      </w:r>
    </w:p>
    <w:p>
      <w:pPr>
        <w:autoSpaceDE w:val="0"/>
        <w:autoSpaceDN w:val="0"/>
        <w:adjustRightInd w:val="0"/>
        <w:ind w:firstLine="535" w:firstLineChars="223"/>
        <w:rPr>
          <w:rFonts w:ascii="Times New Roman" w:hAnsi="Times New Roman"/>
          <w:color w:val="auto"/>
        </w:rPr>
      </w:pPr>
      <w:r>
        <w:rPr>
          <w:rFonts w:hint="eastAsia" w:ascii="Times New Roman" w:hAnsi="Times New Roman"/>
          <w:color w:val="auto"/>
        </w:rPr>
        <w:t>（3）</w:t>
      </w:r>
      <w:r>
        <w:rPr>
          <w:rFonts w:ascii="Times New Roman" w:hAnsi="Times New Roman"/>
          <w:color w:val="auto"/>
        </w:rPr>
        <w:t>制定持续清洁生产计划</w:t>
      </w:r>
    </w:p>
    <w:p>
      <w:pPr>
        <w:ind w:firstLine="535" w:firstLineChars="223"/>
        <w:rPr>
          <w:rFonts w:ascii="Times New Roman" w:hAnsi="Times New Roman"/>
          <w:color w:val="auto"/>
        </w:rPr>
      </w:pPr>
      <w:r>
        <w:rPr>
          <w:rFonts w:ascii="Times New Roman" w:hAnsi="Times New Roman"/>
          <w:color w:val="auto"/>
        </w:rPr>
        <w:t>清洁生产是一个动态的持续的过程，因而需要制定持续清洁生产计划，使清洁生产工作有组织、有计划地开展下去。</w:t>
      </w:r>
    </w:p>
    <w:p>
      <w:pPr>
        <w:ind w:firstLine="535" w:firstLineChars="223"/>
        <w:rPr>
          <w:rFonts w:ascii="Times New Roman" w:hAnsi="Times New Roman"/>
          <w:color w:val="auto"/>
        </w:rPr>
      </w:pPr>
      <w:r>
        <w:rPr>
          <w:rFonts w:ascii="Times New Roman" w:hAnsi="Times New Roman"/>
          <w:color w:val="auto"/>
        </w:rPr>
        <w:t>通过持续清洁生产，使公司整体形象得到进一步提升。根据工艺技术水平和管理水平的提高，争取使该公司主要能源消耗和排污水平处于国内同行的先进水平。</w:t>
      </w:r>
    </w:p>
    <w:p>
      <w:pPr>
        <w:autoSpaceDE w:val="0"/>
        <w:autoSpaceDN w:val="0"/>
        <w:adjustRightInd w:val="0"/>
        <w:ind w:firstLine="535" w:firstLineChars="223"/>
        <w:rPr>
          <w:rFonts w:ascii="Times New Roman" w:hAnsi="Times New Roman"/>
          <w:color w:val="auto"/>
        </w:rPr>
      </w:pPr>
      <w:r>
        <w:rPr>
          <w:rFonts w:hint="eastAsia" w:ascii="Times New Roman" w:hAnsi="Times New Roman"/>
          <w:color w:val="auto"/>
        </w:rPr>
        <w:t>（4）</w:t>
      </w:r>
      <w:r>
        <w:rPr>
          <w:rFonts w:ascii="Times New Roman" w:hAnsi="Times New Roman"/>
          <w:color w:val="auto"/>
        </w:rPr>
        <w:t>加强管理</w:t>
      </w:r>
    </w:p>
    <w:p>
      <w:pPr>
        <w:ind w:firstLine="535" w:firstLineChars="223"/>
        <w:rPr>
          <w:rFonts w:ascii="Times New Roman" w:hAnsi="Times New Roman"/>
          <w:color w:val="auto"/>
        </w:rPr>
      </w:pPr>
      <w:r>
        <w:rPr>
          <w:rFonts w:ascii="Times New Roman" w:hAnsi="Times New Roman"/>
          <w:color w:val="auto"/>
        </w:rPr>
        <w:t>具体应从车间物耗管理、现场管理、工艺管理、设备管理等方面具体落实，建议如下：</w:t>
      </w:r>
    </w:p>
    <w:p>
      <w:pPr>
        <w:ind w:firstLine="535" w:firstLineChars="223"/>
        <w:rPr>
          <w:rFonts w:ascii="Times New Roman" w:hAnsi="Times New Roman"/>
          <w:color w:val="auto"/>
        </w:rPr>
      </w:pPr>
      <w:r>
        <w:rPr>
          <w:rFonts w:hint="eastAsia" w:ascii="Times New Roman" w:hAnsi="Times New Roman" w:cs="宋体"/>
          <w:color w:val="auto"/>
        </w:rPr>
        <w:t>①</w:t>
      </w:r>
      <w:r>
        <w:rPr>
          <w:rFonts w:ascii="Times New Roman" w:hAnsi="Times New Roman"/>
          <w:color w:val="auto"/>
        </w:rPr>
        <w:t>车间物耗管理</w:t>
      </w:r>
    </w:p>
    <w:p>
      <w:pPr>
        <w:ind w:firstLine="535" w:firstLineChars="223"/>
        <w:rPr>
          <w:rFonts w:ascii="Times New Roman" w:hAnsi="Times New Roman"/>
          <w:color w:val="auto"/>
        </w:rPr>
      </w:pPr>
      <w:r>
        <w:rPr>
          <w:rFonts w:ascii="Times New Roman" w:hAnsi="Times New Roman"/>
          <w:color w:val="auto"/>
        </w:rPr>
        <w:t>车间内应加强和细化物耗管理工作，即推进企业清洁生产审计，车间每月生产加工的产品量及其对应的物耗量应有详细记录，从而有效地控制物料的投入、降低成本。通过清洁生产审计，能够核对企业单元操作中原料、产品、水耗和能耗等因素，从而确定污染源的来源、数量和类型，进而制定污染削减目标，提出相应的技术措施。实施清洁生产审计还能提高企业管理水平，最终提高企业的产品质量和经济效益。</w:t>
      </w:r>
    </w:p>
    <w:p>
      <w:pPr>
        <w:ind w:firstLine="535" w:firstLineChars="223"/>
        <w:rPr>
          <w:rFonts w:ascii="Times New Roman" w:hAnsi="Times New Roman"/>
          <w:color w:val="auto"/>
        </w:rPr>
      </w:pPr>
      <w:r>
        <w:rPr>
          <w:rFonts w:hint="eastAsia" w:ascii="Times New Roman" w:hAnsi="Times New Roman" w:cs="宋体"/>
          <w:color w:val="auto"/>
        </w:rPr>
        <w:t>②</w:t>
      </w:r>
      <w:r>
        <w:rPr>
          <w:rFonts w:ascii="Times New Roman" w:hAnsi="Times New Roman"/>
          <w:color w:val="auto"/>
        </w:rPr>
        <w:t>现场管理</w:t>
      </w:r>
    </w:p>
    <w:p>
      <w:pPr>
        <w:ind w:firstLine="535" w:firstLineChars="223"/>
        <w:rPr>
          <w:rFonts w:ascii="Times New Roman" w:hAnsi="Times New Roman"/>
          <w:color w:val="auto"/>
        </w:rPr>
      </w:pPr>
      <w:r>
        <w:rPr>
          <w:rFonts w:ascii="Times New Roman" w:hAnsi="Times New Roman"/>
          <w:color w:val="auto"/>
        </w:rPr>
        <w:t>在生产现场，配置计量器，如对用水、用电较大的设备设计量表，从而减少浪费，减轻末端治理的负荷。车间内应考虑水的循环使用和渐序使用，提高水的重复利用率。</w:t>
      </w:r>
    </w:p>
    <w:p>
      <w:pPr>
        <w:ind w:firstLine="535" w:firstLineChars="223"/>
        <w:rPr>
          <w:rFonts w:ascii="Times New Roman" w:hAnsi="Times New Roman"/>
          <w:color w:val="auto"/>
        </w:rPr>
      </w:pPr>
      <w:r>
        <w:rPr>
          <w:rFonts w:hint="eastAsia" w:ascii="Times New Roman" w:hAnsi="Times New Roman" w:cs="宋体"/>
          <w:color w:val="auto"/>
        </w:rPr>
        <w:t>③</w:t>
      </w:r>
      <w:r>
        <w:rPr>
          <w:rFonts w:ascii="Times New Roman" w:hAnsi="Times New Roman"/>
          <w:color w:val="auto"/>
        </w:rPr>
        <w:t>工艺管理</w:t>
      </w:r>
    </w:p>
    <w:p>
      <w:pPr>
        <w:ind w:firstLine="535" w:firstLineChars="223"/>
        <w:rPr>
          <w:rFonts w:ascii="Times New Roman" w:hAnsi="Times New Roman"/>
          <w:color w:val="auto"/>
        </w:rPr>
      </w:pPr>
      <w:r>
        <w:rPr>
          <w:rFonts w:ascii="Times New Roman" w:hAnsi="Times New Roman"/>
          <w:color w:val="auto"/>
        </w:rPr>
        <w:t>企业应加强对工艺、技术人员的环保专业知识的宣传教育，强化环境意识，在引进新工艺、新技术时，征求当地环保部门及其它管理部门的意见。</w:t>
      </w:r>
    </w:p>
    <w:p>
      <w:pPr>
        <w:ind w:firstLine="535" w:firstLineChars="223"/>
        <w:rPr>
          <w:rFonts w:ascii="Times New Roman" w:hAnsi="Times New Roman"/>
          <w:color w:val="auto"/>
        </w:rPr>
      </w:pPr>
      <w:r>
        <w:rPr>
          <w:rFonts w:hint="eastAsia" w:ascii="Times New Roman" w:hAnsi="Times New Roman" w:cs="宋体"/>
          <w:color w:val="auto"/>
        </w:rPr>
        <w:t>④</w:t>
      </w:r>
      <w:r>
        <w:rPr>
          <w:rFonts w:ascii="Times New Roman" w:hAnsi="Times New Roman"/>
          <w:color w:val="auto"/>
        </w:rPr>
        <w:t>设备管理</w:t>
      </w:r>
    </w:p>
    <w:p>
      <w:pPr>
        <w:ind w:firstLine="535" w:firstLineChars="223"/>
        <w:rPr>
          <w:rFonts w:ascii="Times New Roman" w:hAnsi="Times New Roman"/>
          <w:color w:val="auto"/>
        </w:rPr>
      </w:pPr>
      <w:r>
        <w:rPr>
          <w:rFonts w:ascii="Times New Roman" w:hAnsi="Times New Roman"/>
          <w:color w:val="auto"/>
        </w:rPr>
        <w:t>车间的环保设备需定期检修，如遇到运行不正常，则需要维护更新或改进。同时提高环保设备的处理能力，确保废水、废气等均能达标排放，减少其对周围环境的影响。</w:t>
      </w:r>
    </w:p>
    <w:p>
      <w:pPr>
        <w:ind w:firstLine="535" w:firstLineChars="223"/>
        <w:rPr>
          <w:rFonts w:ascii="Times New Roman" w:hAnsi="Times New Roman"/>
          <w:color w:val="auto"/>
        </w:rPr>
      </w:pPr>
      <w:r>
        <w:rPr>
          <w:rFonts w:hint="eastAsia" w:ascii="Times New Roman" w:hAnsi="Times New Roman" w:cs="宋体"/>
          <w:color w:val="auto"/>
        </w:rPr>
        <w:t>⑤</w:t>
      </w:r>
      <w:r>
        <w:rPr>
          <w:rFonts w:ascii="Times New Roman" w:hAnsi="Times New Roman"/>
          <w:color w:val="auto"/>
        </w:rPr>
        <w:t>完善企业环境管理体系，明确分工，责任到人，不断提高环境管理水平，推动企业的清洁生产持续开展，提高企业的清洁生产水平。</w:t>
      </w:r>
    </w:p>
    <w:p>
      <w:pPr>
        <w:ind w:firstLine="535" w:firstLineChars="223"/>
        <w:rPr>
          <w:rFonts w:ascii="Times New Roman" w:hAnsi="Times New Roman"/>
          <w:color w:val="auto"/>
        </w:rPr>
      </w:pPr>
      <w:r>
        <w:rPr>
          <w:rFonts w:hint="eastAsia" w:ascii="Times New Roman" w:hAnsi="Times New Roman"/>
          <w:color w:val="auto"/>
        </w:rPr>
        <w:t>（5）</w:t>
      </w:r>
      <w:r>
        <w:rPr>
          <w:rFonts w:ascii="Times New Roman" w:hAnsi="Times New Roman"/>
          <w:color w:val="auto"/>
        </w:rPr>
        <w:t>污染防治</w:t>
      </w:r>
    </w:p>
    <w:p>
      <w:pPr>
        <w:ind w:firstLine="535" w:firstLineChars="223"/>
        <w:rPr>
          <w:rFonts w:ascii="Times New Roman" w:hAnsi="Times New Roman"/>
          <w:color w:val="auto"/>
        </w:rPr>
      </w:pPr>
      <w:r>
        <w:rPr>
          <w:rFonts w:ascii="Times New Roman" w:hAnsi="Times New Roman"/>
          <w:color w:val="auto"/>
        </w:rPr>
        <w:t>进一步提高各车间集风罩效率，以降低系统通风量，降低废气无组织排放量。</w:t>
      </w:r>
    </w:p>
    <w:p>
      <w:pPr>
        <w:ind w:firstLine="480"/>
        <w:rPr>
          <w:rFonts w:ascii="Times New Roman" w:hAnsi="Times New Roman"/>
          <w:color w:val="auto"/>
        </w:rPr>
      </w:pPr>
      <w:r>
        <w:rPr>
          <w:rFonts w:ascii="Times New Roman" w:hAnsi="Times New Roman"/>
          <w:color w:val="auto"/>
        </w:rPr>
        <w:t>加强现场监测，严格按照制定的环境监管计划，及时发现环境问题，确保工程清洁生产水平达到设计标准。</w:t>
      </w:r>
    </w:p>
    <w:p>
      <w:pPr>
        <w:pStyle w:val="592"/>
        <w:numPr>
          <w:ilvl w:val="0"/>
          <w:numId w:val="23"/>
        </w:numPr>
        <w:tabs>
          <w:tab w:val="left" w:pos="0"/>
        </w:tabs>
        <w:rPr>
          <w:color w:val="auto"/>
        </w:rPr>
      </w:pPr>
      <w:bookmarkStart w:id="60" w:name="_Toc383189315"/>
      <w:bookmarkStart w:id="61" w:name="_Toc37350064"/>
      <w:r>
        <w:rPr>
          <w:color w:val="auto"/>
        </w:rPr>
        <w:t>循环经济</w:t>
      </w:r>
      <w:bookmarkEnd w:id="60"/>
      <w:bookmarkEnd w:id="61"/>
    </w:p>
    <w:p>
      <w:pPr>
        <w:pStyle w:val="4"/>
        <w:numPr>
          <w:ilvl w:val="0"/>
          <w:numId w:val="24"/>
        </w:numPr>
        <w:spacing w:beforeLines="0"/>
        <w:rPr>
          <w:rFonts w:ascii="Times New Roman" w:hAnsi="Times New Roman"/>
          <w:color w:val="auto"/>
          <w:sz w:val="24"/>
          <w:szCs w:val="24"/>
        </w:rPr>
      </w:pPr>
      <w:bookmarkStart w:id="62" w:name="_Toc208810206"/>
      <w:bookmarkStart w:id="63" w:name="_Toc206745111"/>
      <w:bookmarkStart w:id="64" w:name="_Toc157442641"/>
      <w:bookmarkStart w:id="65" w:name="_Toc239562618"/>
      <w:r>
        <w:rPr>
          <w:rFonts w:ascii="Times New Roman" w:hAnsi="Times New Roman"/>
          <w:color w:val="auto"/>
          <w:sz w:val="24"/>
          <w:szCs w:val="24"/>
        </w:rPr>
        <w:t>循环经济的概念与原则</w:t>
      </w:r>
      <w:bookmarkEnd w:id="62"/>
      <w:bookmarkEnd w:id="63"/>
      <w:bookmarkEnd w:id="64"/>
      <w:bookmarkEnd w:id="65"/>
    </w:p>
    <w:p>
      <w:pPr>
        <w:ind w:firstLine="480"/>
        <w:rPr>
          <w:rFonts w:ascii="Times New Roman" w:hAnsi="Times New Roman"/>
          <w:color w:val="auto"/>
        </w:rPr>
      </w:pPr>
      <w:r>
        <w:rPr>
          <w:rFonts w:ascii="Times New Roman" w:hAnsi="Times New Roman"/>
          <w:color w:val="auto"/>
        </w:rPr>
        <w:t>所谓循环经济，本质上是一种生态经济，它要求运用生态学规律而不是机械论规律来指导人类社会的经济活动。循环经济倡导的是一种与环境和谐的经济发展模式。它要求把经济活动组织成一个“资源－产品－再生资源”的反馈式流程，其特征是低开采、高利用、低排放。所有的物质和能源要能在这个不断进行的经济循环中得到合理和持久的利用，以把经济活动对自然环境的影响降低到尽可能小的程度。循环经济为工业化以来的传统经济转向可持续发展的经济提供了战略性的理论范式，从而从根本上消解长期以来环境与发展之间的尖锐冲突。“减量化、再利用、再循环”是循环经济最重要的实际操作原则。</w:t>
      </w:r>
    </w:p>
    <w:p>
      <w:pPr>
        <w:ind w:firstLine="480"/>
        <w:rPr>
          <w:rFonts w:ascii="Times New Roman" w:hAnsi="Times New Roman"/>
          <w:color w:val="auto"/>
        </w:rPr>
      </w:pPr>
      <w:r>
        <w:rPr>
          <w:rFonts w:ascii="Times New Roman" w:hAnsi="Times New Roman"/>
          <w:color w:val="auto"/>
        </w:rPr>
        <w:t>循环经济要求以“3R原则”为经济活动的行为准则。</w:t>
      </w:r>
    </w:p>
    <w:p>
      <w:pPr>
        <w:ind w:firstLine="480"/>
        <w:rPr>
          <w:rFonts w:ascii="Times New Roman" w:hAnsi="Times New Roman"/>
          <w:color w:val="auto"/>
        </w:rPr>
      </w:pPr>
      <w:r>
        <w:rPr>
          <w:rFonts w:ascii="Times New Roman" w:hAnsi="Times New Roman"/>
          <w:color w:val="auto"/>
        </w:rPr>
        <w:t>（1）减量化原则(reduce)：要求用较少的原料和能源投入来达到既定的生产目的或消费目的，进而到从经济活动的源头就注意节约资源和减少污染。减量化有几种不同的表现。在生产中，减量化原则常常表现为要求产品小型化和轻型化。此外，减量化原则要求产品的包装应该追求简单朴实而不是豪华浪费，从而达到减少废物排放的目的。</w:t>
      </w:r>
    </w:p>
    <w:p>
      <w:pPr>
        <w:ind w:firstLine="480"/>
        <w:rPr>
          <w:rFonts w:ascii="Times New Roman" w:hAnsi="Times New Roman"/>
          <w:color w:val="auto"/>
        </w:rPr>
      </w:pPr>
      <w:r>
        <w:rPr>
          <w:rFonts w:ascii="Times New Roman" w:hAnsi="Times New Roman"/>
          <w:color w:val="auto"/>
        </w:rPr>
        <w:t>（2）再使用原则(reuse)：要求制造产品和包装能够以初始的形式被反复使用。再使用原则要求抵制当今世界一次性用品的泛滥。再使用原则还要求制造商应该尽量延长产品的使用期，而不是非常快地更新换代。</w:t>
      </w:r>
    </w:p>
    <w:p>
      <w:pPr>
        <w:ind w:firstLine="480"/>
        <w:rPr>
          <w:rFonts w:ascii="Times New Roman" w:hAnsi="Times New Roman"/>
          <w:color w:val="auto"/>
        </w:rPr>
      </w:pPr>
      <w:r>
        <w:rPr>
          <w:rFonts w:ascii="Times New Roman" w:hAnsi="Times New Roman"/>
          <w:color w:val="auto"/>
        </w:rPr>
        <w:t>（3）再循环原则(recycle)：要求生产出来的物品在完成其使用功能后能重新变成可以利用的资源，而不是不可恢复的垃圾。按照循环经济的思想，再循环有两种情况，一种是原级再循环，即废品被循环用来产生同种类型的新产品；另一种是次级再循环，即将废物资源转化成其它产品的原料。原级再循环在减少原材料消耗上面达到的效率要比次级再循环高得多，是循环经济追求的理想境界。</w:t>
      </w:r>
    </w:p>
    <w:p>
      <w:pPr>
        <w:pStyle w:val="4"/>
        <w:numPr>
          <w:ilvl w:val="0"/>
          <w:numId w:val="24"/>
        </w:numPr>
        <w:spacing w:beforeLines="0"/>
        <w:rPr>
          <w:rFonts w:ascii="Times New Roman" w:hAnsi="Times New Roman"/>
          <w:color w:val="auto"/>
          <w:sz w:val="24"/>
          <w:szCs w:val="24"/>
        </w:rPr>
      </w:pPr>
      <w:bookmarkStart w:id="66" w:name="_Toc201396460"/>
      <w:bookmarkStart w:id="67" w:name="_Toc206745115"/>
      <w:bookmarkStart w:id="68" w:name="_Toc239562622"/>
      <w:r>
        <w:rPr>
          <w:rFonts w:ascii="Times New Roman" w:hAnsi="Times New Roman"/>
          <w:color w:val="auto"/>
          <w:sz w:val="24"/>
          <w:szCs w:val="24"/>
        </w:rPr>
        <w:t>循环经济建议</w:t>
      </w:r>
      <w:bookmarkEnd w:id="66"/>
      <w:bookmarkEnd w:id="67"/>
      <w:bookmarkEnd w:id="68"/>
    </w:p>
    <w:p>
      <w:pPr>
        <w:ind w:firstLine="480"/>
        <w:rPr>
          <w:rFonts w:ascii="Times New Roman" w:hAnsi="Times New Roman"/>
          <w:color w:val="auto"/>
        </w:rPr>
      </w:pPr>
      <w:r>
        <w:rPr>
          <w:rFonts w:ascii="Times New Roman" w:hAnsi="Times New Roman"/>
          <w:color w:val="auto"/>
        </w:rPr>
        <w:t>循环经济是以资源高效利用和循环利用为核心，以“减量化、再利用、资源化”为原则，以低能耗、低排放、高效率为基本特征，符合可持续发展理念的经济增长模式。因此，未来项目除了工艺上要达到比较高的清洁生产水平外，还应从节能降耗方面考虑，提高项目对资源的利用率。本报告拟提出以下几点节能降耗措施。</w:t>
      </w:r>
    </w:p>
    <w:p>
      <w:pPr>
        <w:ind w:firstLine="480"/>
        <w:rPr>
          <w:rFonts w:ascii="Times New Roman" w:hAnsi="Times New Roman"/>
          <w:color w:val="auto"/>
        </w:rPr>
      </w:pPr>
      <w:r>
        <w:rPr>
          <w:rFonts w:ascii="Times New Roman" w:hAnsi="Times New Roman"/>
          <w:color w:val="auto"/>
        </w:rPr>
        <w:t>（1）项目应编制节约能源、节约用水、节约用材等资源节约和循环利用方面的报告，注重太阳能等清洁能源的利用。</w:t>
      </w:r>
    </w:p>
    <w:p>
      <w:pPr>
        <w:ind w:firstLine="480"/>
        <w:rPr>
          <w:rFonts w:ascii="Times New Roman" w:hAnsi="Times New Roman"/>
          <w:color w:val="auto"/>
        </w:rPr>
      </w:pPr>
      <w:r>
        <w:rPr>
          <w:rFonts w:ascii="Times New Roman" w:hAnsi="Times New Roman"/>
          <w:color w:val="auto"/>
        </w:rPr>
        <w:t>（2）提高固体废物的收集率以及综合利用率，使循环经济指标向</w:t>
      </w:r>
      <w:r>
        <w:rPr>
          <w:rFonts w:hint="eastAsia" w:cs="宋体"/>
          <w:color w:val="auto"/>
        </w:rPr>
        <w:t>Ⅰ</w:t>
      </w:r>
      <w:r>
        <w:rPr>
          <w:rFonts w:ascii="Times New Roman" w:hAnsi="Times New Roman"/>
          <w:color w:val="auto"/>
        </w:rPr>
        <w:t>级标准靠近。</w:t>
      </w:r>
    </w:p>
    <w:p>
      <w:pPr>
        <w:ind w:firstLine="0" w:firstLineChars="0"/>
        <w:jc w:val="center"/>
        <w:rPr>
          <w:rFonts w:ascii="Times New Roman" w:hAnsi="Times New Roman"/>
          <w:b/>
          <w:color w:val="auto"/>
        </w:rPr>
      </w:pPr>
    </w:p>
    <w:p>
      <w:pPr>
        <w:ind w:firstLine="0" w:firstLineChars="0"/>
        <w:jc w:val="center"/>
        <w:rPr>
          <w:rFonts w:ascii="Times New Roman" w:hAnsi="Times New Roman"/>
          <w:b/>
          <w:color w:val="auto"/>
        </w:rPr>
      </w:pPr>
    </w:p>
    <w:p>
      <w:pPr>
        <w:ind w:firstLine="0" w:firstLineChars="0"/>
        <w:jc w:val="center"/>
        <w:rPr>
          <w:rFonts w:ascii="Times New Roman" w:hAnsi="Times New Roman"/>
          <w:b/>
          <w:color w:val="auto"/>
        </w:rPr>
      </w:pPr>
    </w:p>
    <w:p>
      <w:pPr>
        <w:ind w:firstLine="0" w:firstLineChars="0"/>
        <w:jc w:val="center"/>
        <w:rPr>
          <w:rFonts w:ascii="Times New Roman" w:hAnsi="Times New Roman"/>
          <w:b/>
          <w:color w:val="auto"/>
        </w:rPr>
        <w:sectPr>
          <w:pgSz w:w="11906" w:h="16838"/>
          <w:pgMar w:top="1440" w:right="1797" w:bottom="1440" w:left="1797" w:header="851" w:footer="992" w:gutter="0"/>
          <w:cols w:space="720" w:num="1"/>
          <w:docGrid w:linePitch="312" w:charSpace="0"/>
        </w:sectPr>
      </w:pPr>
    </w:p>
    <w:p>
      <w:pPr>
        <w:pStyle w:val="438"/>
        <w:spacing w:before="312" w:line="360" w:lineRule="auto"/>
        <w:ind w:left="0" w:firstLine="994" w:firstLineChars="275"/>
        <w:rPr>
          <w:color w:val="auto"/>
        </w:rPr>
      </w:pPr>
      <w:bookmarkStart w:id="69" w:name="_Toc37350065"/>
      <w:r>
        <w:rPr>
          <w:color w:val="auto"/>
        </w:rPr>
        <w:t>环境现状调查与评价</w:t>
      </w:r>
      <w:bookmarkEnd w:id="69"/>
    </w:p>
    <w:p>
      <w:pPr>
        <w:pStyle w:val="592"/>
        <w:numPr>
          <w:ilvl w:val="0"/>
          <w:numId w:val="25"/>
        </w:numPr>
        <w:rPr>
          <w:color w:val="auto"/>
        </w:rPr>
      </w:pPr>
      <w:bookmarkStart w:id="70" w:name="_Toc37350066"/>
      <w:r>
        <w:rPr>
          <w:color w:val="auto"/>
        </w:rPr>
        <w:t>自然环境概况</w:t>
      </w:r>
      <w:bookmarkEnd w:id="70"/>
    </w:p>
    <w:p>
      <w:pPr>
        <w:pStyle w:val="4"/>
        <w:numPr>
          <w:ilvl w:val="0"/>
          <w:numId w:val="26"/>
        </w:numPr>
        <w:spacing w:beforeLines="0"/>
        <w:rPr>
          <w:rFonts w:ascii="Times New Roman" w:hAnsi="Times New Roman"/>
          <w:color w:val="auto"/>
          <w:sz w:val="24"/>
          <w:szCs w:val="24"/>
        </w:rPr>
      </w:pPr>
      <w:bookmarkStart w:id="71" w:name="_Toc278911584"/>
      <w:bookmarkStart w:id="72" w:name="_Toc278967638"/>
      <w:r>
        <w:rPr>
          <w:rFonts w:ascii="Times New Roman" w:hAnsi="Times New Roman"/>
          <w:color w:val="auto"/>
          <w:sz w:val="24"/>
          <w:szCs w:val="24"/>
        </w:rPr>
        <w:t>地理位置</w:t>
      </w:r>
      <w:bookmarkEnd w:id="71"/>
      <w:bookmarkEnd w:id="72"/>
    </w:p>
    <w:p>
      <w:pPr>
        <w:ind w:firstLine="480"/>
        <w:rPr>
          <w:rFonts w:ascii="Times New Roman" w:hAnsi="Times New Roman"/>
          <w:color w:val="auto"/>
        </w:rPr>
      </w:pPr>
      <w:r>
        <w:rPr>
          <w:rFonts w:ascii="Times New Roman" w:hAnsi="Times New Roman"/>
          <w:color w:val="auto"/>
        </w:rPr>
        <w:t>苍南县位于浙江省东南隅，东与东南濒临东海，西南毗连福建省福鼎县，西邻泰顺县，北与平阳、文成两县接壤。陆地界于东经120°07′～121°07′，北纬27°06′～27°36′。领海位于北纬27°00′～27°32′48″，东经121°07′向东至水深200m等深线以内。2006年陆地总面积为1261.08km</w:t>
      </w:r>
      <w:r>
        <w:rPr>
          <w:rFonts w:ascii="Times New Roman" w:hAnsi="Times New Roman"/>
          <w:color w:val="auto"/>
          <w:vertAlign w:val="superscript"/>
        </w:rPr>
        <w:t>2</w:t>
      </w:r>
      <w:r>
        <w:rPr>
          <w:rFonts w:ascii="Times New Roman" w:hAnsi="Times New Roman"/>
          <w:color w:val="auto"/>
        </w:rPr>
        <w:t>，海岸线长155km。沿海滩涂面积97.24km</w:t>
      </w:r>
      <w:r>
        <w:rPr>
          <w:rFonts w:ascii="Times New Roman" w:hAnsi="Times New Roman"/>
          <w:color w:val="auto"/>
          <w:vertAlign w:val="superscript"/>
        </w:rPr>
        <w:t>2</w:t>
      </w:r>
      <w:r>
        <w:rPr>
          <w:rFonts w:ascii="Times New Roman" w:hAnsi="Times New Roman"/>
          <w:color w:val="auto"/>
        </w:rPr>
        <w:t>。县政府驻</w:t>
      </w:r>
      <w:r>
        <w:rPr>
          <w:color w:val="auto"/>
        </w:rPr>
        <w:fldChar w:fldCharType="begin"/>
      </w:r>
      <w:r>
        <w:rPr>
          <w:color w:val="auto"/>
        </w:rPr>
        <w:instrText xml:space="preserve"> HYPERLINK "http://baike.so.com/doc/6100397-6313507.html" \t "http://baike.so.com/doc/_blank" </w:instrText>
      </w:r>
      <w:r>
        <w:rPr>
          <w:color w:val="auto"/>
        </w:rPr>
        <w:fldChar w:fldCharType="separate"/>
      </w:r>
      <w:r>
        <w:rPr>
          <w:rFonts w:ascii="Times New Roman" w:hAnsi="Times New Roman"/>
          <w:color w:val="auto"/>
        </w:rPr>
        <w:t>灵溪镇</w:t>
      </w:r>
      <w:r>
        <w:rPr>
          <w:rFonts w:ascii="Times New Roman" w:hAnsi="Times New Roman"/>
          <w:color w:val="auto"/>
        </w:rPr>
        <w:fldChar w:fldCharType="end"/>
      </w:r>
      <w:r>
        <w:rPr>
          <w:rFonts w:ascii="Times New Roman" w:hAnsi="Times New Roman"/>
          <w:color w:val="auto"/>
        </w:rPr>
        <w:t>人民大道。</w:t>
      </w:r>
    </w:p>
    <w:p>
      <w:pPr>
        <w:ind w:firstLine="480"/>
        <w:rPr>
          <w:rFonts w:ascii="Times New Roman" w:hAnsi="Times New Roman"/>
          <w:color w:val="auto"/>
        </w:rPr>
      </w:pPr>
      <w:r>
        <w:rPr>
          <w:rFonts w:hint="eastAsia" w:ascii="Times New Roman" w:hAnsi="Times New Roman"/>
          <w:color w:val="auto"/>
        </w:rPr>
        <w:t>龙港，浙江省辖县级市，由温州市代管。地处浙江省南部，位于浙江八大水系之一鳌江入海口南岸，东濒东海，西接横阳支江、</w:t>
      </w:r>
      <w:r>
        <w:rPr>
          <w:rFonts w:ascii="Times New Roman" w:hAnsi="Times New Roman"/>
          <w:color w:val="auto"/>
        </w:rPr>
        <w:t>104国道、沈海高速公路和温福铁路，南依江南平原，北为鳌江。中心地理坐标为北纬 27°30′，东经 120°23'。1984年，龙港建镇。2019年9月25日 ，被誉为“中国第一座农民城”的浙江省温州市苍南县龙港镇撤镇设市，“中国共产党龙港市委员会”“龙港市人民政府”揭牌成立。截至2019年，龙港市辖73个行政村，30个社区，面积183.99平方公里，人口38.2万。</w:t>
      </w:r>
    </w:p>
    <w:p>
      <w:pPr>
        <w:widowControl/>
        <w:ind w:firstLine="480"/>
        <w:jc w:val="left"/>
        <w:rPr>
          <w:rFonts w:ascii="Times New Roman" w:hAnsi="Times New Roman"/>
          <w:color w:val="auto"/>
          <w:szCs w:val="24"/>
        </w:rPr>
      </w:pPr>
      <w:r>
        <w:rPr>
          <w:rFonts w:ascii="Times New Roman" w:hAnsi="Times New Roman"/>
          <w:color w:val="auto"/>
          <w:szCs w:val="24"/>
        </w:rPr>
        <w:t>本项目位于</w:t>
      </w:r>
      <w:r>
        <w:rPr>
          <w:rFonts w:ascii="Times New Roman" w:hAnsi="Times New Roman"/>
          <w:color w:val="auto"/>
        </w:rPr>
        <w:t>温州市龙港</w:t>
      </w:r>
      <w:r>
        <w:rPr>
          <w:rFonts w:hint="eastAsia" w:ascii="Times New Roman" w:hAnsi="Times New Roman"/>
          <w:color w:val="auto"/>
        </w:rPr>
        <w:t>临港产业基地启动区东塘路385-441号内4号楼</w:t>
      </w:r>
      <w:r>
        <w:rPr>
          <w:rFonts w:ascii="Times New Roman" w:hAnsi="Times New Roman"/>
          <w:color w:val="auto"/>
        </w:rPr>
        <w:t>厂房</w:t>
      </w:r>
      <w:r>
        <w:rPr>
          <w:rFonts w:ascii="Times New Roman" w:hAnsi="Times New Roman"/>
          <w:color w:val="auto"/>
          <w:szCs w:val="24"/>
        </w:rPr>
        <w:t>，项目地理位置图详见图4-1。</w:t>
      </w:r>
      <w:r>
        <w:rPr>
          <w:rFonts w:hint="eastAsia" w:ascii="Times New Roman" w:hAnsi="Times New Roman"/>
          <w:color w:val="auto"/>
          <w:szCs w:val="24"/>
        </w:rPr>
        <w:t>厂界四周均为其他企业厂房</w:t>
      </w:r>
      <w:r>
        <w:rPr>
          <w:rFonts w:hint="eastAsia" w:ascii="Times New Roman" w:hAnsi="Times New Roman"/>
          <w:color w:val="auto"/>
        </w:rPr>
        <w:t>。</w:t>
      </w:r>
    </w:p>
    <w:p>
      <w:pPr>
        <w:widowControl/>
        <w:spacing w:line="240" w:lineRule="auto"/>
        <w:ind w:firstLine="0" w:firstLineChars="0"/>
        <w:jc w:val="left"/>
        <w:rPr>
          <w:rFonts w:ascii="Times New Roman" w:hAnsi="Times New Roman" w:cs="宋体"/>
          <w:color w:val="auto"/>
          <w:kern w:val="0"/>
          <w:szCs w:val="24"/>
        </w:rPr>
      </w:pPr>
      <w:r>
        <w:rPr>
          <w:rFonts w:ascii="Times New Roman" w:hAnsi="Times New Roman" w:cs="宋体"/>
          <w:color w:val="auto"/>
          <w:kern w:val="0"/>
          <w:szCs w:val="24"/>
        </w:rPr>
        <w:pict>
          <v:shape id="_x0000_s4001" o:spid="_x0000_s4001" o:spt="202" type="#_x0000_t202" style="position:absolute;left:0pt;margin-left:126pt;margin-top:290.55pt;height:42.15pt;width:195.7pt;z-index:251649024;mso-width-relative:page;mso-height-relative:page;" filled="f" stroked="f" coordsize="21600,21600">
            <v:path/>
            <v:fill on="f" focussize="0,0"/>
            <v:stroke on="f" joinstyle="miter"/>
            <v:imagedata o:title=""/>
            <o:lock v:ext="edit"/>
            <v:textbox>
              <w:txbxContent>
                <w:p>
                  <w:pPr>
                    <w:ind w:firstLine="482"/>
                    <w:rPr>
                      <w:rFonts w:ascii="Times New Roman" w:hAnsi="Times New Roman"/>
                      <w:b/>
                      <w:u w:val="single"/>
                    </w:rPr>
                  </w:pPr>
                  <w:r>
                    <w:rPr>
                      <w:rFonts w:ascii="Times New Roman"/>
                      <w:b/>
                      <w:u w:val="single"/>
                    </w:rPr>
                    <w:t>图</w:t>
                  </w:r>
                  <w:r>
                    <w:rPr>
                      <w:rFonts w:ascii="Times New Roman" w:hAnsi="Times New Roman"/>
                      <w:b/>
                      <w:u w:val="single"/>
                    </w:rPr>
                    <w:t xml:space="preserve">4-1 </w:t>
                  </w:r>
                  <w:r>
                    <w:rPr>
                      <w:rFonts w:ascii="Times New Roman"/>
                      <w:b/>
                      <w:u w:val="single"/>
                    </w:rPr>
                    <w:t>项目地理位置图</w:t>
                  </w:r>
                </w:p>
              </w:txbxContent>
            </v:textbox>
          </v:shape>
        </w:pict>
      </w:r>
      <w:r>
        <w:rPr>
          <w:rFonts w:ascii="Times New Roman" w:hAnsi="Times New Roman" w:cs="宋体"/>
          <w:color w:val="auto"/>
          <w:kern w:val="0"/>
          <w:szCs w:val="24"/>
        </w:rPr>
        <w:drawing>
          <wp:inline distT="0" distB="0" distL="0" distR="0">
            <wp:extent cx="5438775" cy="368617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9" cstate="print"/>
                    <a:srcRect/>
                    <a:stretch>
                      <a:fillRect/>
                    </a:stretch>
                  </pic:blipFill>
                  <pic:spPr>
                    <a:xfrm>
                      <a:off x="0" y="0"/>
                      <a:ext cx="5438775" cy="3686175"/>
                    </a:xfrm>
                    <a:prstGeom prst="rect">
                      <a:avLst/>
                    </a:prstGeom>
                    <a:noFill/>
                    <a:ln w="9525">
                      <a:noFill/>
                      <a:miter lim="800000"/>
                      <a:headEnd/>
                      <a:tailEnd/>
                    </a:ln>
                  </pic:spPr>
                </pic:pic>
              </a:graphicData>
            </a:graphic>
          </wp:inline>
        </w:drawing>
      </w:r>
    </w:p>
    <w:p>
      <w:pPr>
        <w:widowControl/>
        <w:spacing w:line="240" w:lineRule="auto"/>
        <w:ind w:firstLine="0" w:firstLineChars="0"/>
        <w:jc w:val="left"/>
        <w:rPr>
          <w:rFonts w:ascii="Times New Roman" w:hAnsi="Times New Roman" w:cs="宋体"/>
          <w:color w:val="auto"/>
          <w:kern w:val="0"/>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r>
        <w:rPr>
          <w:rFonts w:ascii="宋体" w:hAnsi="宋体" w:eastAsia="宋体" w:cs="宋体"/>
          <w:color w:val="auto"/>
          <w:sz w:val="24"/>
          <w:szCs w:val="24"/>
          <w:lang w:eastAsia="zh-CN"/>
        </w:rPr>
        <w:pict>
          <v:group id="_x0000_s5995" o:spid="_x0000_s5995" o:spt="203" style="position:absolute;left:0pt;margin-left:-2.95pt;margin-top:0.75pt;height:682.2pt;width:443.25pt;z-index:251658240;mso-width-relative:page;mso-height-relative:page;" coordorigin="1762,-682" coordsize="7236,11138" editas="canvas">
            <o:lock v:ext="edit"/>
            <v:shape id="_x0000_s5996" o:spid="_x0000_s5996" o:spt="75" type="#_x0000_t75" style="position:absolute;left:1762;top:-682;height:11138;width:7236;" filled="f" o:preferrelative="f" stroked="f" coordsize="21600,21600">
              <v:path/>
              <v:fill on="f" focussize="0,0"/>
              <v:stroke on="f" joinstyle="miter"/>
              <v:imagedata o:title=""/>
              <o:lock v:ext="edit" text="t" aspectratio="t"/>
            </v:shape>
            <v:shape id="_x0000_s5997" o:spid="_x0000_s5997" o:spt="75" type="#_x0000_t75" style="position:absolute;left:2093;top:1984;height:5425;width:6672;" filled="f" o:preferrelative="t" stroked="f" coordsize="21600,21600">
              <v:path/>
              <v:fill on="f" focussize="0,0"/>
              <v:stroke on="f" joinstyle="miter"/>
              <v:imagedata r:id="rId40" o:title=""/>
              <o:lock v:ext="edit" aspectratio="t"/>
            </v:shape>
            <v:shape id="图片 1" o:spid="_x0000_s5998" o:spt="75" alt="东面苍南新晨胶粘制品有限公司" type="#_x0000_t75" style="position:absolute;left:5424;top:-437;height:2421;width:3341;" filled="f" o:preferrelative="t" stroked="f" coordsize="21600,21600">
              <v:path/>
              <v:fill on="f" focussize="0,0"/>
              <v:stroke on="f" joinstyle="miter"/>
              <v:imagedata r:id="rId41" o:title="东面苍南新晨胶粘制品有限公司"/>
              <o:lock v:ext="edit" aspectratio="t"/>
            </v:shape>
            <v:shape id="_x0000_s5999" o:spid="_x0000_s5999" o:spt="202" type="#_x0000_t202" style="position:absolute;left:5166;top:420;height:710;width:3710;"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ind w:left="0" w:right="0" w:firstLine="480"/>
                      <w:jc w:val="left"/>
                      <w:rPr>
                        <w:b/>
                        <w:bCs w:val="0"/>
                        <w:color w:val="FFFF00"/>
                        <w:szCs w:val="24"/>
                        <w:lang w:val="en-US"/>
                      </w:rPr>
                    </w:pPr>
                    <w:r>
                      <w:rPr>
                        <w:rFonts w:hint="eastAsia" w:ascii="Calibri" w:hAnsi="方正仿宋_GBK" w:eastAsia="方正仿宋_GBK" w:cs="方正仿宋_GBK"/>
                        <w:b/>
                        <w:bCs w:val="0"/>
                        <w:color w:val="FFFF00"/>
                        <w:kern w:val="2"/>
                        <w:sz w:val="21"/>
                        <w:szCs w:val="24"/>
                        <w:lang w:val="en-US" w:eastAsia="zh-CN" w:bidi="ar"/>
                      </w:rPr>
                      <w:t>东北侧温州沃御环保科技有限公司</w:t>
                    </w:r>
                  </w:p>
                </w:txbxContent>
              </v:textbox>
            </v:shape>
            <v:shape id="图片 2" o:spid="_x0000_s6000" o:spt="75" alt="西面10#厂房" type="#_x0000_t75" style="position:absolute;left:2093;top:7409;height:2481;width:3331;" filled="f" o:preferrelative="t" stroked="f" coordsize="21600,21600">
              <v:path/>
              <v:fill on="f" focussize="0,0"/>
              <v:stroke on="f" joinstyle="miter"/>
              <v:imagedata r:id="rId42" o:title="西面10#厂房"/>
              <o:lock v:ext="edit" aspectratio="t"/>
            </v:shape>
            <v:shape id="_x0000_s6001" o:spid="_x0000_s6001" o:spt="202" type="#_x0000_t202" style="position:absolute;left:2093;top:8428;height:710;width:2546;"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ind w:left="0" w:right="0" w:firstLine="480"/>
                      <w:jc w:val="left"/>
                      <w:rPr>
                        <w:b/>
                        <w:bCs w:val="0"/>
                        <w:color w:val="FFFF00"/>
                        <w:szCs w:val="24"/>
                        <w:lang w:val="en-US"/>
                      </w:rPr>
                    </w:pPr>
                    <w:r>
                      <w:rPr>
                        <w:rFonts w:hint="eastAsia" w:ascii="Calibri" w:hAnsi="方正仿宋_GBK" w:eastAsia="方正仿宋_GBK" w:cs="方正仿宋_GBK"/>
                        <w:b/>
                        <w:bCs w:val="0"/>
                        <w:color w:val="FFFF00"/>
                        <w:kern w:val="2"/>
                        <w:sz w:val="21"/>
                        <w:szCs w:val="24"/>
                        <w:lang w:val="en-US" w:eastAsia="zh-CN" w:bidi="ar"/>
                      </w:rPr>
                      <w:t>西南侧其他企业厂房</w:t>
                    </w:r>
                  </w:p>
                </w:txbxContent>
              </v:textbox>
            </v:shape>
            <v:shape id="图片 4" o:spid="_x0000_s6002" o:spt="75" alt="南面苍南永盛电子有限公司" type="#_x0000_t75" style="position:absolute;left:5424;top:7409;height:2481;width:3341;" filled="f" o:preferrelative="t" stroked="f" coordsize="21600,21600">
              <v:path/>
              <v:fill on="f" focussize="0,0"/>
              <v:stroke on="f" joinstyle="miter"/>
              <v:imagedata r:id="rId43" o:title="南面苍南永盛电子有限公司"/>
              <o:lock v:ext="edit" aspectratio="t"/>
            </v:shape>
            <v:shape id="_x0000_s6003" o:spid="_x0000_s6003" o:spt="202" type="#_x0000_t202" style="position:absolute;left:5509;top:8538;height:711;width:3256;"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ind w:left="0" w:right="0" w:firstLine="482"/>
                      <w:jc w:val="left"/>
                      <w:rPr>
                        <w:b/>
                        <w:bCs w:val="0"/>
                        <w:color w:val="FFFF00"/>
                        <w:szCs w:val="24"/>
                        <w:lang w:val="en-US"/>
                      </w:rPr>
                    </w:pPr>
                    <w:r>
                      <w:rPr>
                        <w:rFonts w:hint="eastAsia" w:ascii="Calibri" w:hAnsi="Calibri" w:eastAsia="宋体" w:cs="宋体"/>
                        <w:b/>
                        <w:bCs w:val="0"/>
                        <w:color w:val="FFFF00"/>
                        <w:kern w:val="2"/>
                        <w:sz w:val="21"/>
                        <w:szCs w:val="24"/>
                        <w:lang w:val="en-US" w:eastAsia="zh-CN" w:bidi="ar"/>
                      </w:rPr>
                      <w:t>东南侧苍南永盛电子有限公司</w:t>
                    </w:r>
                  </w:p>
                </w:txbxContent>
              </v:textbox>
            </v:shape>
            <v:shape id="图片 6" o:spid="_x0000_s6004" o:spt="75" alt="北面厂房" type="#_x0000_t75" style="position:absolute;left:2093;top:-437;height:2421;width:3416;" filled="f" o:preferrelative="t" stroked="f" coordsize="21600,21600">
              <v:path/>
              <v:fill on="f" focussize="0,0"/>
              <v:stroke on="f" joinstyle="miter"/>
              <v:imagedata r:id="rId44" o:title="北面厂房"/>
              <o:lock v:ext="edit" aspectratio="t"/>
            </v:shape>
            <v:shape id="_x0000_s6005" o:spid="_x0000_s6005" o:spt="202" type="#_x0000_t202" style="position:absolute;left:2204;top:714;height:710;width:3452;"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ind w:left="0" w:right="0" w:firstLine="480"/>
                      <w:jc w:val="left"/>
                      <w:rPr>
                        <w:b/>
                        <w:bCs w:val="0"/>
                        <w:color w:val="FFFF00"/>
                        <w:szCs w:val="24"/>
                        <w:lang w:val="en-US"/>
                      </w:rPr>
                    </w:pPr>
                    <w:r>
                      <w:rPr>
                        <w:rFonts w:hint="eastAsia" w:ascii="Calibri" w:hAnsi="方正仿宋_GBK" w:eastAsia="方正仿宋_GBK" w:cs="方正仿宋_GBK"/>
                        <w:b/>
                        <w:bCs w:val="0"/>
                        <w:color w:val="FFFF00"/>
                        <w:kern w:val="2"/>
                        <w:sz w:val="21"/>
                        <w:szCs w:val="24"/>
                        <w:lang w:val="en-US" w:eastAsia="zh-CN" w:bidi="ar"/>
                      </w:rPr>
                      <w:t>西北侧其他企业厂房</w:t>
                    </w:r>
                  </w:p>
                </w:txbxContent>
              </v:textbox>
            </v:shape>
            <v:shape id="_x0000_s6006" o:spid="_x0000_s6006" o:spt="32" type="#_x0000_t32" style="position:absolute;left:6047;top:1132;flip:y;height:3459;width:882;" o:connectortype="straight" filled="f" stroked="t" coordsize="21600,21600">
              <v:path arrowok="t"/>
              <v:fill on="f" focussize="0,0"/>
              <v:stroke color="#FFFF00" endarrow="block"/>
              <v:imagedata o:title=""/>
              <o:lock v:ext="edit"/>
            </v:shape>
            <v:shape id="_x0000_s6007" o:spid="_x0000_s6007" o:spt="32" type="#_x0000_t32" style="position:absolute;left:3990;top:1398;flip:x y;height:3193;width:1176;" o:connectortype="straight" filled="f" stroked="t" coordsize="21600,21600">
              <v:path arrowok="t"/>
              <v:fill on="f" focussize="0,0"/>
              <v:stroke color="#FFFF00" endarrow="block"/>
              <v:imagedata o:title=""/>
              <o:lock v:ext="edit"/>
            </v:shape>
            <v:shape id="_x0000_s6008" o:spid="_x0000_s6008" o:spt="32" type="#_x0000_t32" style="position:absolute;left:6145;top:5523;height:3060;width:980;" o:connectortype="straight" filled="f" stroked="t" coordsize="21600,21600">
              <v:path arrowok="t"/>
              <v:fill on="f" focussize="0,0"/>
              <v:stroke color="#FFFF00" endarrow="block"/>
              <v:imagedata o:title=""/>
              <o:lock v:ext="edit"/>
            </v:shape>
            <v:shape id="_x0000_s6009" o:spid="_x0000_s6009" o:spt="32" type="#_x0000_t32" style="position:absolute;left:3794;top:5254;flip:x;height:3063;width:1372;" o:connectortype="straight" filled="f" stroked="t" coordsize="21600,21600">
              <v:path arrowok="t"/>
              <v:fill on="f" focussize="0,0"/>
              <v:stroke color="#FFFF00" endarrow="block"/>
              <v:imagedata o:title=""/>
              <o:lock v:ext="edit"/>
            </v:shape>
            <v:shape id="_x0000_s6010" o:spid="_x0000_s6010" o:spt="202" type="#_x0000_t202" style="position:absolute;left:3794;top:9890;height:566;width:3195;"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ind w:left="0" w:right="0" w:firstLine="482"/>
                      <w:jc w:val="both"/>
                      <w:rPr>
                        <w:rFonts w:hint="default" w:ascii="Times New Roman" w:hAnsi="Times New Roman" w:cs="Times New Roman"/>
                        <w:b/>
                        <w:bCs w:val="0"/>
                        <w:u w:val="single"/>
                        <w:lang w:val="en-US"/>
                      </w:rPr>
                    </w:pPr>
                    <w:r>
                      <w:rPr>
                        <w:rFonts w:hint="eastAsia" w:ascii="Times New Roman" w:hAnsi="Calibri" w:eastAsia="宋体" w:cs="宋体"/>
                        <w:b/>
                        <w:bCs w:val="0"/>
                        <w:color w:val="000000"/>
                        <w:kern w:val="2"/>
                        <w:sz w:val="21"/>
                        <w:szCs w:val="22"/>
                        <w:u w:val="single"/>
                        <w:lang w:val="en-US" w:eastAsia="zh-CN" w:bidi="ar"/>
                      </w:rPr>
                      <w:t>图</w:t>
                    </w:r>
                    <w:r>
                      <w:rPr>
                        <w:rFonts w:hint="default" w:ascii="Times New Roman" w:hAnsi="Times New Roman" w:eastAsia="宋体" w:cs="Times New Roman"/>
                        <w:b/>
                        <w:bCs w:val="0"/>
                        <w:color w:val="000000"/>
                        <w:kern w:val="2"/>
                        <w:sz w:val="21"/>
                        <w:szCs w:val="22"/>
                        <w:u w:val="single"/>
                        <w:lang w:val="en-US" w:eastAsia="zh-CN" w:bidi="ar"/>
                      </w:rPr>
                      <w:t xml:space="preserve">4-2  </w:t>
                    </w:r>
                    <w:r>
                      <w:rPr>
                        <w:rFonts w:hint="eastAsia" w:ascii="Times New Roman" w:hAnsi="Times New Roman" w:eastAsia="宋体" w:cs="宋体"/>
                        <w:b/>
                        <w:bCs w:val="0"/>
                        <w:color w:val="000000"/>
                        <w:kern w:val="2"/>
                        <w:sz w:val="21"/>
                        <w:szCs w:val="22"/>
                        <w:u w:val="single"/>
                        <w:lang w:val="en-US" w:eastAsia="zh-CN" w:bidi="ar"/>
                      </w:rPr>
                      <w:t>项目四至关系图</w:t>
                    </w:r>
                  </w:p>
                </w:txbxContent>
              </v:textbox>
            </v:shape>
          </v:group>
        </w:pict>
      </w: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widowControl/>
        <w:ind w:firstLine="480"/>
        <w:jc w:val="left"/>
        <w:rPr>
          <w:rFonts w:ascii="Times New Roman" w:hAnsi="Times New Roman"/>
          <w:color w:val="auto"/>
          <w:szCs w:val="24"/>
        </w:rPr>
      </w:pPr>
    </w:p>
    <w:p>
      <w:pPr>
        <w:pStyle w:val="4"/>
        <w:numPr>
          <w:ilvl w:val="0"/>
          <w:numId w:val="26"/>
        </w:numPr>
        <w:spacing w:beforeLines="0"/>
        <w:rPr>
          <w:rFonts w:ascii="Times New Roman" w:hAnsi="Times New Roman"/>
          <w:color w:val="auto"/>
          <w:sz w:val="24"/>
          <w:szCs w:val="24"/>
        </w:rPr>
      </w:pPr>
      <w:bookmarkStart w:id="73" w:name="_Toc278911585"/>
      <w:bookmarkStart w:id="74" w:name="_Toc278967639"/>
      <w:r>
        <w:rPr>
          <w:rFonts w:ascii="Times New Roman" w:hAnsi="Times New Roman"/>
          <w:color w:val="auto"/>
          <w:sz w:val="24"/>
          <w:szCs w:val="24"/>
        </w:rPr>
        <w:t>地形、地质、地貌</w:t>
      </w:r>
      <w:bookmarkEnd w:id="73"/>
      <w:bookmarkEnd w:id="74"/>
    </w:p>
    <w:p>
      <w:pPr>
        <w:ind w:firstLine="480"/>
        <w:rPr>
          <w:rFonts w:ascii="Times New Roman" w:hAnsi="Times New Roman"/>
          <w:color w:val="auto"/>
        </w:rPr>
      </w:pPr>
      <w:r>
        <w:rPr>
          <w:rFonts w:hint="eastAsia" w:ascii="Times New Roman" w:hAnsi="Times New Roman"/>
          <w:color w:val="auto"/>
        </w:rPr>
        <w:t>龙港市</w:t>
      </w:r>
      <w:r>
        <w:rPr>
          <w:rFonts w:ascii="Times New Roman" w:hAnsi="Times New Roman"/>
          <w:color w:val="auto"/>
        </w:rPr>
        <w:t>的地质基础属华夏古陆的北端或称闽浙台背斜。地质岩性有侏罗纪磨石山组火山碎屑岩、凝灰岩、夹沉积岩、钾长花岗岩、流纹质玻屑岩和白垩统朝川组紫红色砂岩为主的岩体。第四纪以来，特别是中晚更新世以来，沿海平原相继下沉，经受海侵活动后，沿海平原成陆，沉积物厚100-300米，新近浅海沉积物并在继续，至今海岸线仍向外延伸，但淤积速度很慢，属缓慢型淤涨海滩。</w:t>
      </w:r>
    </w:p>
    <w:p>
      <w:pPr>
        <w:numPr>
          <w:ilvl w:val="0"/>
          <w:numId w:val="26"/>
        </w:numPr>
        <w:ind w:firstLineChars="0"/>
        <w:rPr>
          <w:rFonts w:ascii="Times New Roman" w:hAnsi="Times New Roman"/>
          <w:color w:val="auto"/>
        </w:rPr>
      </w:pPr>
      <w:r>
        <w:rPr>
          <w:color w:val="auto"/>
        </w:rPr>
        <w:t>苍南地貌属浙南沿海丘陵地带，地形复杂 ，地貌多样，兼有海岛、滩涂、平原、河谷、丘陵、山地。内陆部分山地多、平原少，山地占全县土地总面积67%，平原占23%，水面占10%，其总体结构大致为“七分山、一分水、二分田”。全县地势西南高，东北低，由西南向东北渐低。</w:t>
      </w:r>
    </w:p>
    <w:p>
      <w:pPr>
        <w:pStyle w:val="4"/>
        <w:numPr>
          <w:ilvl w:val="0"/>
          <w:numId w:val="26"/>
        </w:numPr>
        <w:spacing w:beforeLines="0"/>
        <w:rPr>
          <w:rFonts w:ascii="Times New Roman" w:hAnsi="Times New Roman"/>
          <w:color w:val="auto"/>
          <w:sz w:val="24"/>
          <w:szCs w:val="24"/>
        </w:rPr>
      </w:pPr>
      <w:r>
        <w:rPr>
          <w:rFonts w:hint="eastAsia" w:ascii="Times New Roman" w:hAnsi="Times New Roman"/>
          <w:color w:val="auto"/>
          <w:sz w:val="24"/>
          <w:szCs w:val="24"/>
        </w:rPr>
        <w:t>气候特征</w:t>
      </w:r>
    </w:p>
    <w:p>
      <w:pPr>
        <w:ind w:firstLine="480"/>
        <w:rPr>
          <w:rFonts w:ascii="Times New Roman" w:hAnsi="Times New Roman"/>
          <w:color w:val="auto"/>
        </w:rPr>
      </w:pPr>
      <w:r>
        <w:rPr>
          <w:rFonts w:hint="eastAsia" w:ascii="Times New Roman" w:hAnsi="Times New Roman"/>
          <w:color w:val="auto"/>
        </w:rPr>
        <w:t>龙港市</w:t>
      </w:r>
      <w:r>
        <w:rPr>
          <w:rFonts w:ascii="Times New Roman" w:hAnsi="Times New Roman"/>
          <w:color w:val="auto"/>
        </w:rPr>
        <w:t>属中亚热带海洋性季风气候区。冬夏季风交替显著，四季分明，气候温和，无严寒酷暑，光照较多，热量较优，雨量充足。据相关资料统计，气象主要要素如下：</w:t>
      </w:r>
    </w:p>
    <w:p>
      <w:pPr>
        <w:ind w:firstLine="480"/>
        <w:rPr>
          <w:rFonts w:ascii="Times New Roman" w:hAnsi="Times New Roman"/>
          <w:color w:val="auto"/>
        </w:rPr>
      </w:pPr>
      <w:r>
        <w:rPr>
          <w:rFonts w:ascii="Times New Roman" w:hAnsi="Times New Roman"/>
          <w:color w:val="auto"/>
        </w:rPr>
        <w:t>年平均气温：14～18</w:t>
      </w:r>
      <w:r>
        <w:rPr>
          <w:rFonts w:hint="eastAsia" w:ascii="Times New Roman" w:hAnsi="Times New Roman"/>
          <w:color w:val="auto"/>
        </w:rPr>
        <w:t>℃</w:t>
      </w:r>
    </w:p>
    <w:p>
      <w:pPr>
        <w:ind w:firstLine="480"/>
        <w:rPr>
          <w:rFonts w:ascii="Times New Roman" w:hAnsi="Times New Roman"/>
          <w:color w:val="auto"/>
        </w:rPr>
      </w:pPr>
      <w:r>
        <w:rPr>
          <w:rFonts w:ascii="Times New Roman" w:hAnsi="Times New Roman"/>
          <w:color w:val="auto"/>
        </w:rPr>
        <w:t>年平均无霜期：208～288天</w:t>
      </w:r>
    </w:p>
    <w:p>
      <w:pPr>
        <w:ind w:firstLine="480"/>
        <w:rPr>
          <w:rFonts w:ascii="Times New Roman" w:hAnsi="Times New Roman"/>
          <w:color w:val="auto"/>
        </w:rPr>
      </w:pPr>
      <w:r>
        <w:rPr>
          <w:rFonts w:ascii="Times New Roman" w:hAnsi="Times New Roman"/>
          <w:color w:val="auto"/>
        </w:rPr>
        <w:t>年平均降雨量：1303.9～2140.0毫米</w:t>
      </w:r>
    </w:p>
    <w:p>
      <w:pPr>
        <w:ind w:firstLine="480"/>
        <w:rPr>
          <w:rFonts w:ascii="Times New Roman" w:hAnsi="Times New Roman"/>
          <w:color w:val="auto"/>
        </w:rPr>
      </w:pPr>
      <w:r>
        <w:rPr>
          <w:rFonts w:ascii="Times New Roman" w:hAnsi="Times New Roman"/>
          <w:color w:val="auto"/>
        </w:rPr>
        <w:t>年平均蒸发量：1325.5毫米</w:t>
      </w:r>
    </w:p>
    <w:p>
      <w:pPr>
        <w:ind w:firstLine="480"/>
        <w:rPr>
          <w:rFonts w:ascii="Times New Roman" w:hAnsi="Times New Roman"/>
          <w:color w:val="auto"/>
        </w:rPr>
      </w:pPr>
      <w:r>
        <w:rPr>
          <w:rFonts w:ascii="Times New Roman" w:hAnsi="Times New Roman"/>
          <w:color w:val="auto"/>
        </w:rPr>
        <w:t>年平均绝对湿度：18.9毫米</w:t>
      </w:r>
    </w:p>
    <w:p>
      <w:pPr>
        <w:ind w:firstLine="480"/>
        <w:rPr>
          <w:rFonts w:ascii="Times New Roman" w:hAnsi="Times New Roman"/>
          <w:color w:val="auto"/>
        </w:rPr>
      </w:pPr>
      <w:r>
        <w:rPr>
          <w:rFonts w:ascii="Times New Roman" w:hAnsi="Times New Roman"/>
          <w:color w:val="auto"/>
        </w:rPr>
        <w:t>相对湿度：83％</w:t>
      </w:r>
    </w:p>
    <w:p>
      <w:pPr>
        <w:ind w:firstLine="480"/>
        <w:rPr>
          <w:rFonts w:ascii="Times New Roman" w:hAnsi="Times New Roman"/>
          <w:color w:val="auto"/>
        </w:rPr>
      </w:pPr>
      <w:r>
        <w:rPr>
          <w:rFonts w:ascii="Times New Roman" w:hAnsi="Times New Roman"/>
          <w:color w:val="auto"/>
        </w:rPr>
        <w:t>风向以东南风为主，频率17％，春夏季盛行东南风，秋季以东北风为主，冬季盛吹西北风，年平均风速2米/秒。</w:t>
      </w:r>
    </w:p>
    <w:p>
      <w:pPr>
        <w:pStyle w:val="4"/>
        <w:numPr>
          <w:ilvl w:val="0"/>
          <w:numId w:val="26"/>
        </w:numPr>
        <w:spacing w:beforeLines="0"/>
        <w:rPr>
          <w:rFonts w:ascii="Times New Roman" w:hAnsi="Times New Roman"/>
          <w:color w:val="auto"/>
          <w:sz w:val="24"/>
          <w:szCs w:val="24"/>
        </w:rPr>
      </w:pPr>
      <w:bookmarkStart w:id="75" w:name="_Toc278911587"/>
      <w:bookmarkStart w:id="76" w:name="_Toc278967641"/>
      <w:r>
        <w:rPr>
          <w:rFonts w:ascii="Times New Roman" w:hAnsi="Times New Roman"/>
          <w:color w:val="auto"/>
          <w:sz w:val="24"/>
          <w:szCs w:val="24"/>
        </w:rPr>
        <w:t>水文水系</w:t>
      </w:r>
      <w:bookmarkEnd w:id="75"/>
      <w:bookmarkEnd w:id="76"/>
    </w:p>
    <w:p>
      <w:pPr>
        <w:ind w:firstLine="480"/>
        <w:rPr>
          <w:rFonts w:ascii="Times New Roman" w:hAnsi="Times New Roman"/>
          <w:color w:val="auto"/>
        </w:rPr>
      </w:pPr>
      <w:r>
        <w:rPr>
          <w:rFonts w:ascii="Times New Roman" w:hAnsi="Times New Roman"/>
          <w:color w:val="auto"/>
        </w:rPr>
        <w:t>苍南县主要河流有鳌江、横阳支江、萧江塘河、沪山内河、江南河网、马站河道、赤溪溪流和矾山溪流等。鳌江位于浙江省最南部，为我省八大水系之一，发源于文成县桂山乡吴山麓桂村上游，干流长81公里，流域面积1530平方公里。源头至埭头坡陡流急，为山溪性河流，埭头以下至鳌江口为强感潮河道。流域面积100平方公里以上支流有4条，以南港为最大。南港水系的横阳支江是鳌江的最大支流，发源于泰顺县罗虎山，流经桥墩、灵溪、过朱家站水闸入鳌江，主流长60.5km，其中自桥墩水库至朱家站水闸长27.3km。全县河流（不含鳌江和赤溪、矾山山溪性溪流）集雨面积共1087.8km</w:t>
      </w:r>
      <w:r>
        <w:rPr>
          <w:rFonts w:ascii="Times New Roman" w:hAnsi="Times New Roman"/>
          <w:color w:val="auto"/>
          <w:vertAlign w:val="superscript"/>
        </w:rPr>
        <w:t>2</w:t>
      </w:r>
      <w:r>
        <w:rPr>
          <w:rFonts w:ascii="Times New Roman" w:hAnsi="Times New Roman"/>
          <w:color w:val="auto"/>
        </w:rPr>
        <w:t>，河道总长度1054.221km，水面面积2035.22m</w:t>
      </w:r>
      <w:r>
        <w:rPr>
          <w:rFonts w:ascii="Times New Roman" w:hAnsi="Times New Roman"/>
          <w:color w:val="auto"/>
          <w:vertAlign w:val="superscript"/>
        </w:rPr>
        <w:t>2</w:t>
      </w:r>
      <w:r>
        <w:rPr>
          <w:rFonts w:ascii="Times New Roman" w:hAnsi="Times New Roman"/>
          <w:color w:val="auto"/>
        </w:rPr>
        <w:t>，总容积5002.9万m</w:t>
      </w:r>
      <w:r>
        <w:rPr>
          <w:rFonts w:ascii="Times New Roman" w:hAnsi="Times New Roman"/>
          <w:color w:val="auto"/>
          <w:vertAlign w:val="superscript"/>
        </w:rPr>
        <w:t>3</w:t>
      </w:r>
      <w:r>
        <w:rPr>
          <w:rFonts w:ascii="Times New Roman" w:hAnsi="Times New Roman"/>
          <w:color w:val="auto"/>
        </w:rPr>
        <w:t>，蓄水容积4412.47万m</w:t>
      </w:r>
      <w:r>
        <w:rPr>
          <w:rFonts w:ascii="Times New Roman" w:hAnsi="Times New Roman"/>
          <w:color w:val="auto"/>
          <w:vertAlign w:val="superscript"/>
        </w:rPr>
        <w:t>3</w:t>
      </w:r>
      <w:r>
        <w:rPr>
          <w:rFonts w:ascii="Times New Roman" w:hAnsi="Times New Roman"/>
          <w:color w:val="auto"/>
        </w:rPr>
        <w:t>。</w:t>
      </w:r>
    </w:p>
    <w:p>
      <w:pPr>
        <w:adjustRightInd w:val="0"/>
        <w:snapToGrid w:val="0"/>
        <w:ind w:firstLine="480"/>
        <w:rPr>
          <w:rFonts w:ascii="Times New Roman" w:hAnsi="Times New Roman"/>
          <w:color w:val="auto"/>
        </w:rPr>
      </w:pPr>
      <w:r>
        <w:rPr>
          <w:rFonts w:ascii="Times New Roman" w:hAnsi="Times New Roman"/>
          <w:color w:val="auto"/>
        </w:rPr>
        <w:t>萧江塘河位于横阳支江与沪山内河之间，是南港平原的中心河道。河有二源：主源为萧江塘河控制闸所引的横阳支江之水；次源为原来之源，发源于玉苍山东麓，流经浦亭小亭垟，至灵溪双灵水闸与主源汇合。河水东北流，经渎浦、灵江至萧江水闸（位于平阳</w:t>
      </w:r>
      <w:r>
        <w:rPr>
          <w:color w:val="auto"/>
        </w:rPr>
        <w:fldChar w:fldCharType="begin"/>
      </w:r>
      <w:r>
        <w:rPr>
          <w:color w:val="auto"/>
        </w:rPr>
        <w:instrText xml:space="preserve"> HYPERLINK "http://baike.soso.com/v4988197.htm?ch=ch.bk.innerlink" \t "_blank" </w:instrText>
      </w:r>
      <w:r>
        <w:rPr>
          <w:color w:val="auto"/>
        </w:rPr>
        <w:fldChar w:fldCharType="separate"/>
      </w:r>
      <w:r>
        <w:rPr>
          <w:rFonts w:ascii="Times New Roman" w:hAnsi="Times New Roman"/>
          <w:color w:val="auto"/>
        </w:rPr>
        <w:t>萧江镇</w:t>
      </w:r>
      <w:r>
        <w:rPr>
          <w:rFonts w:ascii="Times New Roman" w:hAnsi="Times New Roman"/>
          <w:color w:val="auto"/>
        </w:rPr>
        <w:fldChar w:fldCharType="end"/>
      </w:r>
      <w:r>
        <w:rPr>
          <w:rFonts w:ascii="Times New Roman" w:hAnsi="Times New Roman"/>
          <w:color w:val="auto"/>
        </w:rPr>
        <w:t>）注入鳌江，长10.9公里。河道平均宽度44.71米，正常水位3.12米，航运水位1.62米，灌溉、排涝受益农田约5.5万亩，可通航10吨以下船舶。萧江塘河左岸别出之河，皆与沪山内河相通，右岸别出之河，经水闸与横阳之江沟通。</w:t>
      </w:r>
    </w:p>
    <w:p>
      <w:pPr>
        <w:pStyle w:val="592"/>
        <w:numPr>
          <w:ilvl w:val="0"/>
          <w:numId w:val="25"/>
        </w:numPr>
        <w:rPr>
          <w:color w:val="auto"/>
        </w:rPr>
      </w:pPr>
      <w:bookmarkStart w:id="77" w:name="_Toc37350067"/>
      <w:r>
        <w:rPr>
          <w:color w:val="auto"/>
        </w:rPr>
        <w:t>环境</w:t>
      </w:r>
      <w:r>
        <w:rPr>
          <w:rFonts w:hint="eastAsia"/>
          <w:color w:val="auto"/>
        </w:rPr>
        <w:t>保护目标调查</w:t>
      </w:r>
      <w:bookmarkEnd w:id="77"/>
    </w:p>
    <w:p>
      <w:pPr>
        <w:pStyle w:val="4"/>
        <w:numPr>
          <w:ilvl w:val="0"/>
          <w:numId w:val="27"/>
        </w:numPr>
        <w:spacing w:beforeLines="0"/>
        <w:rPr>
          <w:rFonts w:ascii="Times New Roman" w:hAnsi="Times New Roman"/>
          <w:color w:val="auto"/>
          <w:sz w:val="24"/>
          <w:szCs w:val="24"/>
        </w:rPr>
      </w:pPr>
      <w:r>
        <w:rPr>
          <w:rFonts w:ascii="Times New Roman" w:hAnsi="Times New Roman"/>
          <w:color w:val="auto"/>
          <w:sz w:val="24"/>
          <w:szCs w:val="24"/>
        </w:rPr>
        <w:t>项目区域环境功能区划</w:t>
      </w:r>
    </w:p>
    <w:p>
      <w:pPr>
        <w:adjustRightInd w:val="0"/>
        <w:snapToGrid w:val="0"/>
        <w:ind w:firstLine="480"/>
        <w:jc w:val="left"/>
        <w:rPr>
          <w:rFonts w:ascii="Times New Roman" w:hAnsi="Times New Roman"/>
          <w:color w:val="auto"/>
          <w:kern w:val="0"/>
          <w:szCs w:val="20"/>
        </w:rPr>
      </w:pPr>
      <w:r>
        <w:rPr>
          <w:rFonts w:ascii="Times New Roman" w:hAnsi="Times New Roman"/>
          <w:color w:val="auto"/>
          <w:kern w:val="0"/>
          <w:szCs w:val="20"/>
        </w:rPr>
        <w:t>1、环境空气</w:t>
      </w:r>
    </w:p>
    <w:p>
      <w:pPr>
        <w:adjustRightInd w:val="0"/>
        <w:snapToGrid w:val="0"/>
        <w:ind w:firstLine="480"/>
        <w:rPr>
          <w:rFonts w:ascii="Times New Roman" w:hAnsi="Times New Roman"/>
          <w:color w:val="auto"/>
          <w:kern w:val="0"/>
          <w:szCs w:val="20"/>
        </w:rPr>
      </w:pPr>
      <w:r>
        <w:rPr>
          <w:rFonts w:ascii="Times New Roman" w:hAnsi="Times New Roman"/>
          <w:color w:val="auto"/>
          <w:kern w:val="0"/>
          <w:szCs w:val="20"/>
        </w:rPr>
        <w:t>本项目评价范围内属于二类环境空气质量功能区，空气质量保护目标为二级。</w:t>
      </w:r>
    </w:p>
    <w:p>
      <w:pPr>
        <w:adjustRightInd w:val="0"/>
        <w:snapToGrid w:val="0"/>
        <w:ind w:firstLine="480"/>
        <w:jc w:val="left"/>
        <w:rPr>
          <w:rFonts w:ascii="Times New Roman" w:hAnsi="Times New Roman"/>
          <w:color w:val="auto"/>
          <w:kern w:val="0"/>
          <w:szCs w:val="20"/>
        </w:rPr>
      </w:pPr>
      <w:r>
        <w:rPr>
          <w:rFonts w:ascii="Times New Roman" w:hAnsi="Times New Roman"/>
          <w:color w:val="auto"/>
          <w:kern w:val="0"/>
          <w:szCs w:val="20"/>
        </w:rPr>
        <w:t>2、地表水环境</w:t>
      </w:r>
    </w:p>
    <w:p>
      <w:pPr>
        <w:ind w:firstLine="472"/>
        <w:rPr>
          <w:rFonts w:ascii="Times New Roman" w:hAnsi="Times New Roman"/>
          <w:color w:val="auto"/>
          <w:spacing w:val="-2"/>
        </w:rPr>
      </w:pPr>
      <w:r>
        <w:rPr>
          <w:rFonts w:ascii="Times New Roman" w:hAnsi="Times New Roman"/>
          <w:color w:val="auto"/>
          <w:spacing w:val="-2"/>
        </w:rPr>
        <w:t>根据《浙江省水功能区水环境功能区划分方案（</w:t>
      </w:r>
      <w:r>
        <w:rPr>
          <w:rFonts w:hint="eastAsia" w:ascii="Times New Roman" w:hAnsi="Times New Roman"/>
          <w:color w:val="auto"/>
          <w:spacing w:val="-2"/>
        </w:rPr>
        <w:t>2015</w:t>
      </w:r>
      <w:r>
        <w:rPr>
          <w:rFonts w:ascii="Times New Roman" w:hAnsi="Times New Roman"/>
          <w:color w:val="auto"/>
          <w:spacing w:val="-2"/>
        </w:rPr>
        <w:t>）》，本项目附近地表水属于</w:t>
      </w:r>
      <w:r>
        <w:rPr>
          <w:rFonts w:hint="eastAsia" w:ascii="Times New Roman" w:hAnsi="Times New Roman"/>
          <w:color w:val="auto"/>
          <w:spacing w:val="-2"/>
        </w:rPr>
        <w:t>鳌江</w:t>
      </w:r>
      <w:r>
        <w:rPr>
          <w:rFonts w:ascii="Times New Roman" w:hAnsi="Times New Roman"/>
          <w:color w:val="auto"/>
          <w:spacing w:val="-2"/>
        </w:rPr>
        <w:t>，编号为</w:t>
      </w:r>
      <w:r>
        <w:rPr>
          <w:rFonts w:hint="eastAsia" w:ascii="Times New Roman" w:hAnsi="Times New Roman"/>
          <w:color w:val="auto"/>
          <w:spacing w:val="-2"/>
        </w:rPr>
        <w:t>鳌江17，水功能区为江南河网苍南工业、农业用水区，水环境功能为工业、农业用水区，</w:t>
      </w:r>
      <w:r>
        <w:rPr>
          <w:rFonts w:hint="eastAsia" w:ascii="Times New Roman" w:hAnsi="Times New Roman"/>
          <w:color w:val="auto"/>
        </w:rPr>
        <w:t>属鳌江水系浙闽皖流域，起止断面为龙港镇至金乡镇，</w:t>
      </w:r>
      <w:r>
        <w:rPr>
          <w:rFonts w:ascii="Times New Roman" w:hAnsi="Times New Roman"/>
          <w:color w:val="auto"/>
          <w:spacing w:val="-2"/>
        </w:rPr>
        <w:t>目标水质为</w:t>
      </w:r>
      <w:r>
        <w:rPr>
          <w:rFonts w:hint="eastAsia" w:ascii="Times New Roman" w:hAnsi="Times New Roman" w:cs="宋体"/>
          <w:color w:val="auto"/>
          <w:spacing w:val="-2"/>
        </w:rPr>
        <w:t>Ⅳ</w:t>
      </w:r>
      <w:r>
        <w:rPr>
          <w:rFonts w:ascii="Times New Roman" w:hAnsi="Times New Roman"/>
          <w:color w:val="auto"/>
          <w:spacing w:val="-2"/>
        </w:rPr>
        <w:t>类，</w:t>
      </w:r>
      <w:r>
        <w:rPr>
          <w:rFonts w:hint="eastAsia" w:ascii="Times New Roman" w:hAnsi="Times New Roman"/>
          <w:color w:val="auto"/>
          <w:spacing w:val="-2"/>
        </w:rPr>
        <w:t>其</w:t>
      </w:r>
      <w:r>
        <w:rPr>
          <w:rFonts w:ascii="Times New Roman" w:hAnsi="Times New Roman"/>
          <w:color w:val="auto"/>
          <w:spacing w:val="-2"/>
        </w:rPr>
        <w:t>水质执行《地表水环境质量标准》（GB3838-2002）</w:t>
      </w:r>
      <w:r>
        <w:rPr>
          <w:rFonts w:hint="eastAsia" w:ascii="Times New Roman" w:hAnsi="Times New Roman" w:cs="宋体"/>
          <w:color w:val="auto"/>
          <w:spacing w:val="-2"/>
        </w:rPr>
        <w:t>Ⅳ</w:t>
      </w:r>
      <w:r>
        <w:rPr>
          <w:rFonts w:ascii="Times New Roman" w:hAnsi="Times New Roman"/>
          <w:color w:val="auto"/>
          <w:spacing w:val="-2"/>
        </w:rPr>
        <w:t>类标准。</w:t>
      </w:r>
    </w:p>
    <w:p>
      <w:pPr>
        <w:adjustRightInd w:val="0"/>
        <w:snapToGrid w:val="0"/>
        <w:ind w:firstLine="480"/>
        <w:jc w:val="left"/>
        <w:rPr>
          <w:rFonts w:ascii="Times New Roman" w:hAnsi="Times New Roman"/>
          <w:color w:val="auto"/>
          <w:kern w:val="0"/>
          <w:szCs w:val="20"/>
        </w:rPr>
      </w:pPr>
      <w:r>
        <w:rPr>
          <w:rFonts w:ascii="Times New Roman" w:hAnsi="Times New Roman"/>
          <w:color w:val="auto"/>
          <w:kern w:val="0"/>
          <w:szCs w:val="20"/>
        </w:rPr>
        <w:t>3、声环境</w:t>
      </w:r>
    </w:p>
    <w:p>
      <w:pPr>
        <w:adjustRightInd w:val="0"/>
        <w:snapToGrid w:val="0"/>
        <w:ind w:firstLine="480"/>
        <w:rPr>
          <w:rFonts w:ascii="Times New Roman" w:hAnsi="Times New Roman"/>
          <w:color w:val="auto"/>
        </w:rPr>
      </w:pPr>
      <w:r>
        <w:rPr>
          <w:rFonts w:ascii="Times New Roman" w:hAnsi="Times New Roman"/>
          <w:color w:val="auto"/>
        </w:rPr>
        <w:t>项目所在地声环境为</w:t>
      </w:r>
      <w:r>
        <w:rPr>
          <w:rFonts w:hint="eastAsia" w:ascii="Times New Roman" w:hAnsi="Times New Roman"/>
          <w:color w:val="auto"/>
        </w:rPr>
        <w:t>3</w:t>
      </w:r>
      <w:r>
        <w:rPr>
          <w:rFonts w:ascii="Times New Roman" w:hAnsi="Times New Roman"/>
          <w:color w:val="auto"/>
        </w:rPr>
        <w:t>类声环境功能区。</w:t>
      </w:r>
    </w:p>
    <w:p>
      <w:pPr>
        <w:pStyle w:val="4"/>
        <w:spacing w:beforeLines="0"/>
        <w:rPr>
          <w:rFonts w:ascii="Times New Roman" w:hAnsi="Times New Roman"/>
          <w:color w:val="auto"/>
          <w:sz w:val="24"/>
          <w:szCs w:val="24"/>
        </w:rPr>
      </w:pPr>
      <w:r>
        <w:rPr>
          <w:rFonts w:hint="eastAsia" w:ascii="Times New Roman" w:hAnsi="Times New Roman"/>
          <w:color w:val="auto"/>
          <w:sz w:val="24"/>
          <w:szCs w:val="24"/>
        </w:rPr>
        <w:t>4.2.2环境敏感区（环境保护目标）</w:t>
      </w:r>
    </w:p>
    <w:p>
      <w:pPr>
        <w:adjustRightInd w:val="0"/>
        <w:snapToGrid w:val="0"/>
        <w:ind w:firstLine="480" w:firstLineChars="0"/>
        <w:jc w:val="left"/>
        <w:rPr>
          <w:rFonts w:ascii="Times New Roman" w:hAnsi="Times New Roman"/>
          <w:color w:val="auto"/>
          <w:szCs w:val="20"/>
        </w:rPr>
      </w:pPr>
      <w:r>
        <w:rPr>
          <w:rFonts w:ascii="Times New Roman" w:hAnsi="Times New Roman"/>
          <w:color w:val="auto"/>
          <w:szCs w:val="24"/>
        </w:rPr>
        <w:t>主要保护目标情况详见</w:t>
      </w:r>
      <w:r>
        <w:rPr>
          <w:rFonts w:hint="eastAsia" w:ascii="Times New Roman" w:hAnsi="Times New Roman"/>
          <w:color w:val="auto"/>
          <w:szCs w:val="24"/>
        </w:rPr>
        <w:t>2.5章节</w:t>
      </w:r>
      <w:r>
        <w:rPr>
          <w:rFonts w:ascii="Times New Roman" w:hAnsi="Times New Roman"/>
          <w:color w:val="auto"/>
          <w:szCs w:val="24"/>
        </w:rPr>
        <w:t>。</w:t>
      </w:r>
    </w:p>
    <w:p>
      <w:pPr>
        <w:pStyle w:val="592"/>
        <w:numPr>
          <w:ilvl w:val="0"/>
          <w:numId w:val="25"/>
        </w:numPr>
        <w:rPr>
          <w:color w:val="auto"/>
        </w:rPr>
      </w:pPr>
      <w:bookmarkStart w:id="78" w:name="_Toc37350068"/>
      <w:r>
        <w:rPr>
          <w:color w:val="auto"/>
        </w:rPr>
        <w:t>环境质量现状监测与评价</w:t>
      </w:r>
      <w:bookmarkEnd w:id="78"/>
    </w:p>
    <w:p>
      <w:pPr>
        <w:pStyle w:val="4"/>
        <w:numPr>
          <w:ilvl w:val="0"/>
          <w:numId w:val="28"/>
        </w:numPr>
        <w:spacing w:beforeLines="0"/>
        <w:rPr>
          <w:rFonts w:ascii="Times New Roman" w:hAnsi="Times New Roman"/>
          <w:color w:val="auto"/>
          <w:sz w:val="24"/>
          <w:szCs w:val="24"/>
        </w:rPr>
      </w:pPr>
      <w:r>
        <w:rPr>
          <w:rFonts w:ascii="Times New Roman" w:hAnsi="Times New Roman"/>
          <w:color w:val="auto"/>
          <w:sz w:val="24"/>
          <w:szCs w:val="24"/>
        </w:rPr>
        <w:t>大气环境质量现状评价</w:t>
      </w:r>
    </w:p>
    <w:p>
      <w:pPr>
        <w:ind w:firstLine="480"/>
        <w:rPr>
          <w:rFonts w:ascii="Times New Roman" w:hAnsi="Times New Roman"/>
          <w:color w:val="auto"/>
        </w:rPr>
      </w:pPr>
      <w:r>
        <w:rPr>
          <w:rFonts w:hint="eastAsia" w:ascii="Times New Roman" w:hAnsi="Times New Roman"/>
          <w:color w:val="auto"/>
        </w:rPr>
        <w:t>1、基本污染物</w:t>
      </w:r>
    </w:p>
    <w:p>
      <w:pPr>
        <w:pStyle w:val="31"/>
        <w:spacing w:after="0" w:line="360" w:lineRule="auto"/>
        <w:ind w:firstLine="480" w:firstLineChars="200"/>
        <w:rPr>
          <w:color w:val="auto"/>
          <w:sz w:val="24"/>
        </w:rPr>
      </w:pPr>
      <w:r>
        <w:rPr>
          <w:rFonts w:hint="eastAsia"/>
          <w:color w:val="auto"/>
          <w:sz w:val="24"/>
        </w:rPr>
        <w:t>本项目所在地为环境空气质量二类区。根据《苍南县环境质量状况公报（</w:t>
      </w:r>
      <w:r>
        <w:rPr>
          <w:color w:val="auto"/>
          <w:sz w:val="24"/>
        </w:rPr>
        <w:t xml:space="preserve">2018 </w:t>
      </w:r>
      <w:r>
        <w:rPr>
          <w:rFonts w:hint="eastAsia"/>
          <w:color w:val="auto"/>
          <w:sz w:val="24"/>
        </w:rPr>
        <w:t xml:space="preserve">年度）》，对区域内灵溪、龙港两个空气质量自动监测站平均浓度进行评价，全年有效监测 </w:t>
      </w:r>
      <w:r>
        <w:rPr>
          <w:color w:val="auto"/>
          <w:sz w:val="24"/>
        </w:rPr>
        <w:t>365</w:t>
      </w:r>
      <w:r>
        <w:rPr>
          <w:rFonts w:hint="eastAsia"/>
          <w:color w:val="auto"/>
          <w:sz w:val="24"/>
        </w:rPr>
        <w:t xml:space="preserve">天，全年空气质量优良率（二级以上）为 </w:t>
      </w:r>
      <w:r>
        <w:rPr>
          <w:color w:val="auto"/>
          <w:sz w:val="24"/>
        </w:rPr>
        <w:t>97.5%</w:t>
      </w:r>
      <w:r>
        <w:rPr>
          <w:rFonts w:hint="eastAsia"/>
          <w:color w:val="auto"/>
          <w:sz w:val="24"/>
        </w:rPr>
        <w:t xml:space="preserve">，比 </w:t>
      </w:r>
      <w:r>
        <w:rPr>
          <w:color w:val="auto"/>
          <w:sz w:val="24"/>
        </w:rPr>
        <w:t xml:space="preserve">2017 </w:t>
      </w:r>
      <w:r>
        <w:rPr>
          <w:rFonts w:hint="eastAsia"/>
          <w:color w:val="auto"/>
          <w:sz w:val="24"/>
        </w:rPr>
        <w:t xml:space="preserve">年上升了 </w:t>
      </w:r>
      <w:r>
        <w:rPr>
          <w:color w:val="auto"/>
          <w:sz w:val="24"/>
        </w:rPr>
        <w:t xml:space="preserve">2.2 </w:t>
      </w:r>
      <w:r>
        <w:rPr>
          <w:rFonts w:hint="eastAsia"/>
          <w:color w:val="auto"/>
          <w:sz w:val="24"/>
        </w:rPr>
        <w:t>个百分点，首要污染物为可吸入颗粒物（</w:t>
      </w:r>
      <w:r>
        <w:rPr>
          <w:color w:val="auto"/>
          <w:sz w:val="24"/>
        </w:rPr>
        <w:t>PM</w:t>
      </w:r>
      <w:r>
        <w:rPr>
          <w:color w:val="auto"/>
          <w:sz w:val="24"/>
          <w:vertAlign w:val="subscript"/>
        </w:rPr>
        <w:t>10</w:t>
      </w:r>
      <w:r>
        <w:rPr>
          <w:rFonts w:hint="eastAsia"/>
          <w:color w:val="auto"/>
          <w:sz w:val="24"/>
        </w:rPr>
        <w:t>）</w:t>
      </w:r>
      <w:r>
        <w:rPr>
          <w:color w:val="auto"/>
          <w:sz w:val="24"/>
        </w:rPr>
        <w:t xml:space="preserve">75 </w:t>
      </w:r>
      <w:r>
        <w:rPr>
          <w:rFonts w:hint="eastAsia"/>
          <w:color w:val="auto"/>
          <w:sz w:val="24"/>
        </w:rPr>
        <w:t>天、细颗粒物（</w:t>
      </w:r>
      <w:r>
        <w:rPr>
          <w:color w:val="auto"/>
          <w:sz w:val="24"/>
        </w:rPr>
        <w:t>PM</w:t>
      </w:r>
      <w:r>
        <w:rPr>
          <w:color w:val="auto"/>
          <w:sz w:val="24"/>
          <w:vertAlign w:val="subscript"/>
        </w:rPr>
        <w:t>2.5</w:t>
      </w:r>
      <w:r>
        <w:rPr>
          <w:rFonts w:hint="eastAsia"/>
          <w:color w:val="auto"/>
          <w:sz w:val="24"/>
        </w:rPr>
        <w:t>）</w:t>
      </w:r>
      <w:r>
        <w:rPr>
          <w:color w:val="auto"/>
          <w:sz w:val="24"/>
        </w:rPr>
        <w:t xml:space="preserve">65 </w:t>
      </w:r>
      <w:r>
        <w:rPr>
          <w:rFonts w:hint="eastAsia"/>
          <w:color w:val="auto"/>
          <w:sz w:val="24"/>
        </w:rPr>
        <w:t xml:space="preserve">天、臭氧 </w:t>
      </w:r>
      <w:r>
        <w:rPr>
          <w:color w:val="auto"/>
          <w:sz w:val="24"/>
        </w:rPr>
        <w:t xml:space="preserve">64 </w:t>
      </w:r>
      <w:r>
        <w:rPr>
          <w:rFonts w:hint="eastAsia"/>
          <w:color w:val="auto"/>
          <w:sz w:val="24"/>
        </w:rPr>
        <w:t xml:space="preserve">天，混合污染 </w:t>
      </w:r>
      <w:r>
        <w:rPr>
          <w:color w:val="auto"/>
          <w:sz w:val="24"/>
        </w:rPr>
        <w:t>8</w:t>
      </w:r>
      <w:r>
        <w:rPr>
          <w:rFonts w:hint="eastAsia"/>
          <w:color w:val="auto"/>
          <w:sz w:val="24"/>
        </w:rPr>
        <w:t>天。二氧化硫、二氧化氮、</w:t>
      </w:r>
      <w:r>
        <w:rPr>
          <w:color w:val="auto"/>
          <w:sz w:val="24"/>
        </w:rPr>
        <w:t>PM</w:t>
      </w:r>
      <w:r>
        <w:rPr>
          <w:color w:val="auto"/>
          <w:sz w:val="24"/>
          <w:vertAlign w:val="subscript"/>
        </w:rPr>
        <w:t>10</w:t>
      </w:r>
      <w:r>
        <w:rPr>
          <w:rFonts w:hint="eastAsia"/>
          <w:color w:val="auto"/>
          <w:sz w:val="24"/>
        </w:rPr>
        <w:t>、</w:t>
      </w:r>
      <w:r>
        <w:rPr>
          <w:color w:val="auto"/>
          <w:sz w:val="24"/>
        </w:rPr>
        <w:t>PM</w:t>
      </w:r>
      <w:r>
        <w:rPr>
          <w:color w:val="auto"/>
          <w:sz w:val="24"/>
          <w:vertAlign w:val="subscript"/>
        </w:rPr>
        <w:t>2.5</w:t>
      </w:r>
      <w:r>
        <w:rPr>
          <w:rFonts w:hint="eastAsia"/>
          <w:color w:val="auto"/>
          <w:sz w:val="24"/>
        </w:rPr>
        <w:t>年两个监测点均浓度均达到环境功能要求的二级标准，</w:t>
      </w:r>
      <w:r>
        <w:rPr>
          <w:color w:val="auto"/>
          <w:sz w:val="24"/>
        </w:rPr>
        <w:t>CO</w:t>
      </w:r>
      <w:r>
        <w:rPr>
          <w:rFonts w:hint="eastAsia"/>
          <w:color w:val="auto"/>
          <w:sz w:val="24"/>
        </w:rPr>
        <w:t xml:space="preserve">日最大 </w:t>
      </w:r>
      <w:r>
        <w:rPr>
          <w:color w:val="auto"/>
          <w:sz w:val="24"/>
        </w:rPr>
        <w:t>8</w:t>
      </w:r>
      <w:r>
        <w:rPr>
          <w:rFonts w:hint="eastAsia"/>
          <w:color w:val="auto"/>
          <w:sz w:val="24"/>
        </w:rPr>
        <w:t xml:space="preserve">小时平均第 </w:t>
      </w:r>
      <w:r>
        <w:rPr>
          <w:color w:val="auto"/>
          <w:sz w:val="24"/>
        </w:rPr>
        <w:t xml:space="preserve">95 </w:t>
      </w:r>
      <w:r>
        <w:rPr>
          <w:rFonts w:hint="eastAsia"/>
          <w:color w:val="auto"/>
          <w:sz w:val="24"/>
        </w:rPr>
        <w:t>百分位数浓度、</w:t>
      </w:r>
      <w:r>
        <w:rPr>
          <w:color w:val="auto"/>
          <w:sz w:val="24"/>
        </w:rPr>
        <w:t>O</w:t>
      </w:r>
      <w:r>
        <w:rPr>
          <w:color w:val="auto"/>
          <w:sz w:val="24"/>
          <w:vertAlign w:val="subscript"/>
        </w:rPr>
        <w:t>3</w:t>
      </w:r>
      <w:r>
        <w:rPr>
          <w:color w:val="auto"/>
          <w:sz w:val="24"/>
        </w:rPr>
        <w:t xml:space="preserve"> </w:t>
      </w:r>
      <w:r>
        <w:rPr>
          <w:rFonts w:hint="eastAsia"/>
          <w:color w:val="auto"/>
          <w:sz w:val="24"/>
        </w:rPr>
        <w:t xml:space="preserve">日最大 </w:t>
      </w:r>
      <w:r>
        <w:rPr>
          <w:color w:val="auto"/>
          <w:sz w:val="24"/>
        </w:rPr>
        <w:t>8</w:t>
      </w:r>
      <w:r>
        <w:rPr>
          <w:rFonts w:hint="eastAsia"/>
          <w:color w:val="auto"/>
          <w:sz w:val="24"/>
        </w:rPr>
        <w:t xml:space="preserve">小时平均第 </w:t>
      </w:r>
      <w:r>
        <w:rPr>
          <w:color w:val="auto"/>
          <w:sz w:val="24"/>
        </w:rPr>
        <w:t>90</w:t>
      </w:r>
      <w:r>
        <w:rPr>
          <w:rFonts w:hint="eastAsia"/>
          <w:color w:val="auto"/>
          <w:sz w:val="24"/>
        </w:rPr>
        <w:t>百分位数浓度均达到环境功能要求的二级标准，故评价区环境质量达标，属于达标区。</w:t>
      </w:r>
      <w:r>
        <w:rPr>
          <w:color w:val="auto"/>
          <w:sz w:val="24"/>
        </w:rPr>
        <w:t>监测数据见表</w:t>
      </w:r>
      <w:r>
        <w:rPr>
          <w:rFonts w:hint="eastAsia"/>
          <w:color w:val="auto"/>
          <w:sz w:val="24"/>
        </w:rPr>
        <w:t>4</w:t>
      </w:r>
      <w:r>
        <w:rPr>
          <w:color w:val="auto"/>
          <w:sz w:val="24"/>
        </w:rPr>
        <w:t>-</w:t>
      </w:r>
      <w:r>
        <w:rPr>
          <w:rFonts w:hint="eastAsia"/>
          <w:color w:val="auto"/>
          <w:sz w:val="24"/>
        </w:rPr>
        <w:t>1</w:t>
      </w:r>
      <w:r>
        <w:rPr>
          <w:color w:val="auto"/>
          <w:sz w:val="24"/>
        </w:rPr>
        <w:t>。</w:t>
      </w:r>
    </w:p>
    <w:p>
      <w:pPr>
        <w:numPr>
          <w:ilvl w:val="0"/>
          <w:numId w:val="29"/>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苍南县基本污染物</w:t>
      </w:r>
      <w:r>
        <w:rPr>
          <w:rFonts w:ascii="Times New Roman" w:hAnsi="Times New Roman"/>
          <w:b/>
          <w:color w:val="auto"/>
          <w:sz w:val="21"/>
        </w:rPr>
        <w:t>空气质量现状评价表</w:t>
      </w:r>
    </w:p>
    <w:tbl>
      <w:tblPr>
        <w:tblStyle w:val="83"/>
        <w:tblW w:w="50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64"/>
        <w:gridCol w:w="527"/>
        <w:gridCol w:w="3499"/>
        <w:gridCol w:w="1046"/>
        <w:gridCol w:w="881"/>
        <w:gridCol w:w="786"/>
        <w:gridCol w:w="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875"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污染物</w:t>
            </w:r>
          </w:p>
        </w:tc>
        <w:tc>
          <w:tcPr>
            <w:tcW w:w="2253" w:type="pct"/>
            <w:gridSpan w:val="2"/>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年评价指标</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现状浓度</w:t>
            </w:r>
          </w:p>
          <w:p>
            <w:pPr>
              <w:pStyle w:val="788"/>
              <w:keepNext w:val="0"/>
              <w:keepLines w:val="0"/>
              <w:suppressLineNumbers w:val="0"/>
              <w:spacing w:before="0" w:beforeAutospacing="0" w:after="0" w:afterAutospacing="0"/>
              <w:ind w:left="0" w:right="0"/>
              <w:jc w:val="center"/>
              <w:rPr>
                <w:rFonts w:ascii="Times New Roman" w:hAnsi="Times New Roman"/>
                <w:color w:val="auto"/>
                <w:sz w:val="21"/>
                <w:szCs w:val="21"/>
              </w:rPr>
            </w:pPr>
            <w:r>
              <w:rPr>
                <w:rFonts w:ascii="Times New Roman" w:hAnsi="Times New Roman"/>
                <w:color w:val="auto"/>
                <w:sz w:val="21"/>
                <w:szCs w:val="21"/>
              </w:rPr>
              <w:t>/(μg/m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标准值</w:t>
            </w:r>
          </w:p>
          <w:p>
            <w:pPr>
              <w:pStyle w:val="788"/>
              <w:keepNext w:val="0"/>
              <w:keepLines w:val="0"/>
              <w:suppressLineNumbers w:val="0"/>
              <w:spacing w:before="0" w:beforeAutospacing="0" w:after="0" w:afterAutospacing="0"/>
              <w:ind w:left="0" w:right="0"/>
              <w:jc w:val="center"/>
              <w:rPr>
                <w:rFonts w:ascii="Times New Roman" w:hAnsi="Times New Roman"/>
                <w:color w:val="auto"/>
                <w:sz w:val="21"/>
                <w:szCs w:val="21"/>
              </w:rPr>
            </w:pPr>
            <w:r>
              <w:rPr>
                <w:rFonts w:ascii="Times New Roman" w:hAnsi="Times New Roman"/>
                <w:color w:val="auto"/>
                <w:sz w:val="21"/>
                <w:szCs w:val="21"/>
              </w:rPr>
              <w:t>/(μg/m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占标率</w:t>
            </w:r>
          </w:p>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二氧化硫</w:t>
            </w: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灵溪</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7</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60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11.67</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龙港</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16</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60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26.67</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875"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二氧化氮</w:t>
            </w: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灵溪</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25</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40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62.5</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龙港</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20</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40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50.0</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CO</w:t>
            </w: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灵溪</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ascii="Times New Roman"/>
                <w:color w:val="auto"/>
                <w:sz w:val="21"/>
                <w:szCs w:val="21"/>
              </w:rPr>
              <w:t>24</w:t>
            </w:r>
            <w:r>
              <w:rPr>
                <w:rFonts w:hint="eastAsia" w:cs="Times New Roman"/>
                <w:color w:val="auto"/>
                <w:sz w:val="21"/>
                <w:szCs w:val="21"/>
              </w:rPr>
              <w:t>小时平均第</w:t>
            </w:r>
            <w:r>
              <w:rPr>
                <w:rFonts w:ascii="Times New Roman"/>
                <w:color w:val="auto"/>
                <w:sz w:val="21"/>
                <w:szCs w:val="21"/>
              </w:rPr>
              <w:t>95</w:t>
            </w:r>
            <w:r>
              <w:rPr>
                <w:rFonts w:hint="eastAsia" w:cs="Times New Roman"/>
                <w:color w:val="auto"/>
                <w:sz w:val="21"/>
                <w:szCs w:val="21"/>
              </w:rPr>
              <w:t>百分位数浓度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900</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4000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22.5</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cs="宋体"/>
                <w:color w:val="auto"/>
                <w:sz w:val="21"/>
              </w:rPr>
            </w:pP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龙港</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ascii="Times New Roman"/>
                <w:color w:val="auto"/>
                <w:sz w:val="21"/>
                <w:szCs w:val="21"/>
              </w:rPr>
              <w:t>24</w:t>
            </w:r>
            <w:r>
              <w:rPr>
                <w:rFonts w:hint="eastAsia" w:cs="Times New Roman"/>
                <w:color w:val="auto"/>
                <w:sz w:val="21"/>
                <w:szCs w:val="21"/>
              </w:rPr>
              <w:t>小时平均第</w:t>
            </w:r>
            <w:r>
              <w:rPr>
                <w:rFonts w:ascii="Times New Roman"/>
                <w:color w:val="auto"/>
                <w:sz w:val="21"/>
                <w:szCs w:val="21"/>
              </w:rPr>
              <w:t>95</w:t>
            </w:r>
            <w:r>
              <w:rPr>
                <w:rFonts w:hint="eastAsia" w:cs="Times New Roman"/>
                <w:color w:val="auto"/>
                <w:sz w:val="21"/>
                <w:szCs w:val="21"/>
              </w:rPr>
              <w:t>百分位数浓度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1000</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4000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25.0</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O</w:t>
            </w:r>
            <w:r>
              <w:rPr>
                <w:rFonts w:ascii="Times New Roman"/>
                <w:color w:val="auto"/>
                <w:sz w:val="21"/>
                <w:szCs w:val="21"/>
                <w:vertAlign w:val="subscript"/>
              </w:rPr>
              <w:t>3</w:t>
            </w: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灵溪</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日最大</w:t>
            </w:r>
            <w:r>
              <w:rPr>
                <w:rFonts w:ascii="Times New Roman"/>
                <w:color w:val="auto"/>
                <w:sz w:val="21"/>
                <w:szCs w:val="21"/>
              </w:rPr>
              <w:t>8</w:t>
            </w:r>
            <w:r>
              <w:rPr>
                <w:rFonts w:hint="eastAsia" w:cs="Times New Roman"/>
                <w:color w:val="auto"/>
                <w:sz w:val="21"/>
                <w:szCs w:val="21"/>
              </w:rPr>
              <w:t>小时第</w:t>
            </w:r>
            <w:r>
              <w:rPr>
                <w:rFonts w:ascii="Times New Roman"/>
                <w:color w:val="auto"/>
                <w:sz w:val="21"/>
                <w:szCs w:val="21"/>
              </w:rPr>
              <w:t>90</w:t>
            </w:r>
            <w:r>
              <w:rPr>
                <w:rFonts w:hint="eastAsia" w:cs="Times New Roman"/>
                <w:color w:val="auto"/>
                <w:sz w:val="21"/>
                <w:szCs w:val="21"/>
              </w:rPr>
              <w:t>百分位数浓度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154</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160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96.25</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875"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cs="宋体"/>
                <w:color w:val="auto"/>
                <w:sz w:val="21"/>
              </w:rPr>
            </w:pP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龙港</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日最大</w:t>
            </w:r>
            <w:r>
              <w:rPr>
                <w:rFonts w:ascii="Times New Roman"/>
                <w:color w:val="auto"/>
                <w:sz w:val="21"/>
                <w:szCs w:val="21"/>
              </w:rPr>
              <w:t>8</w:t>
            </w:r>
            <w:r>
              <w:rPr>
                <w:rFonts w:hint="eastAsia" w:cs="Times New Roman"/>
                <w:color w:val="auto"/>
                <w:sz w:val="21"/>
                <w:szCs w:val="21"/>
              </w:rPr>
              <w:t>小时第</w:t>
            </w:r>
            <w:r>
              <w:rPr>
                <w:rFonts w:ascii="Times New Roman"/>
                <w:color w:val="auto"/>
                <w:sz w:val="21"/>
                <w:szCs w:val="21"/>
              </w:rPr>
              <w:t>90</w:t>
            </w:r>
            <w:r>
              <w:rPr>
                <w:rFonts w:hint="eastAsia" w:cs="Times New Roman"/>
                <w:color w:val="auto"/>
                <w:sz w:val="21"/>
                <w:szCs w:val="21"/>
              </w:rPr>
              <w:t>百分位数浓度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83</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160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51.88</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可吸入颗粒物</w:t>
            </w: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灵溪</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51</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70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72.86</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龙港</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57</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70</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81.43</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5"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细颗粒物</w:t>
            </w: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灵溪</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31</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35</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88.57</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5"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29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龙港</w:t>
            </w:r>
          </w:p>
        </w:tc>
        <w:tc>
          <w:tcPr>
            <w:tcW w:w="1957"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年平均质量浓度</w:t>
            </w:r>
          </w:p>
        </w:tc>
        <w:tc>
          <w:tcPr>
            <w:tcW w:w="58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34</w:t>
            </w:r>
          </w:p>
        </w:tc>
        <w:tc>
          <w:tcPr>
            <w:tcW w:w="493"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35</w:t>
            </w:r>
          </w:p>
        </w:tc>
        <w:tc>
          <w:tcPr>
            <w:tcW w:w="44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ascii="Times New Roman"/>
                <w:color w:val="auto"/>
                <w:sz w:val="21"/>
                <w:szCs w:val="21"/>
              </w:rPr>
            </w:pPr>
            <w:r>
              <w:rPr>
                <w:rFonts w:ascii="Times New Roman"/>
                <w:color w:val="auto"/>
                <w:sz w:val="21"/>
                <w:szCs w:val="21"/>
              </w:rPr>
              <w:t>97.14</w:t>
            </w:r>
          </w:p>
        </w:tc>
        <w:tc>
          <w:tcPr>
            <w:tcW w:w="35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rFonts w:cs="Times New Roman"/>
                <w:color w:val="auto"/>
                <w:sz w:val="21"/>
                <w:szCs w:val="21"/>
              </w:rPr>
            </w:pPr>
            <w:r>
              <w:rPr>
                <w:rFonts w:hint="eastAsia" w:cs="Times New Roman"/>
                <w:color w:val="auto"/>
                <w:sz w:val="21"/>
                <w:szCs w:val="21"/>
              </w:rPr>
              <w:t>达标</w:t>
            </w:r>
          </w:p>
        </w:tc>
      </w:tr>
    </w:tbl>
    <w:p>
      <w:pPr>
        <w:ind w:firstLine="480"/>
        <w:rPr>
          <w:rFonts w:ascii="Times New Roman" w:hAnsi="Times New Roman"/>
          <w:color w:val="auto"/>
        </w:rPr>
      </w:pPr>
      <w:r>
        <w:rPr>
          <w:rFonts w:hint="eastAsia" w:ascii="Times New Roman" w:hAnsi="Times New Roman"/>
          <w:color w:val="auto"/>
        </w:rPr>
        <w:t>由表可知，项目所在区域环境空气中</w:t>
      </w:r>
      <w:r>
        <w:rPr>
          <w:rFonts w:ascii="Times New Roman" w:hAnsi="Times New Roman"/>
          <w:color w:val="auto"/>
        </w:rPr>
        <w:t>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2</w:t>
      </w:r>
      <w:r>
        <w:rPr>
          <w:rFonts w:ascii="Times New Roman" w:hAnsi="Times New Roman"/>
          <w:color w:val="auto"/>
        </w:rPr>
        <w:t>、CO、O</w:t>
      </w:r>
      <w:r>
        <w:rPr>
          <w:rFonts w:ascii="Times New Roman" w:hAnsi="Times New Roman"/>
          <w:color w:val="auto"/>
          <w:vertAlign w:val="subscript"/>
        </w:rPr>
        <w:t>3</w:t>
      </w:r>
      <w:r>
        <w:rPr>
          <w:rFonts w:ascii="Times New Roman" w:hAnsi="Times New Roman"/>
          <w:color w:val="auto"/>
        </w:rPr>
        <w:t>、PM</w:t>
      </w:r>
      <w:r>
        <w:rPr>
          <w:rFonts w:ascii="Times New Roman" w:hAnsi="Times New Roman"/>
          <w:color w:val="auto"/>
          <w:vertAlign w:val="subscript"/>
        </w:rPr>
        <w:t>10</w:t>
      </w:r>
      <w:r>
        <w:rPr>
          <w:rFonts w:ascii="Times New Roman" w:hAnsi="Times New Roman"/>
          <w:color w:val="auto"/>
        </w:rPr>
        <w:t>和PM</w:t>
      </w:r>
      <w:r>
        <w:rPr>
          <w:rFonts w:ascii="Times New Roman" w:hAnsi="Times New Roman"/>
          <w:color w:val="auto"/>
          <w:vertAlign w:val="subscript"/>
        </w:rPr>
        <w:t>2.5</w:t>
      </w:r>
      <w:r>
        <w:rPr>
          <w:rFonts w:ascii="Times New Roman" w:hAnsi="Times New Roman"/>
          <w:color w:val="auto"/>
        </w:rPr>
        <w:t>六项基本</w:t>
      </w:r>
      <w:r>
        <w:rPr>
          <w:rFonts w:hint="eastAsia" w:ascii="Times New Roman" w:hAnsi="Times New Roman"/>
          <w:color w:val="auto"/>
        </w:rPr>
        <w:t>污染物均低于《环境空气质量标准》（</w:t>
      </w:r>
      <w:r>
        <w:rPr>
          <w:rFonts w:ascii="Times New Roman" w:hAnsi="Times New Roman"/>
          <w:color w:val="auto"/>
        </w:rPr>
        <w:t>GB3095-2012）中的二级标准，即项目所在区域环</w:t>
      </w:r>
      <w:r>
        <w:rPr>
          <w:rFonts w:hint="eastAsia" w:ascii="Times New Roman" w:hAnsi="Times New Roman"/>
          <w:color w:val="auto"/>
        </w:rPr>
        <w:t>境空气质量达标，</w:t>
      </w:r>
      <w:r>
        <w:rPr>
          <w:rFonts w:ascii="Times New Roman" w:hAnsi="Times New Roman"/>
          <w:color w:val="auto"/>
        </w:rPr>
        <w:t>属于达标区。</w:t>
      </w:r>
    </w:p>
    <w:p>
      <w:pPr>
        <w:ind w:firstLine="482"/>
        <w:rPr>
          <w:rFonts w:ascii="Times New Roman" w:hAnsi="Times New Roman"/>
          <w:b/>
          <w:color w:val="auto"/>
          <w:szCs w:val="24"/>
        </w:rPr>
      </w:pPr>
      <w:r>
        <w:rPr>
          <w:rFonts w:ascii="Times New Roman" w:hAnsi="Times New Roman"/>
          <w:b/>
          <w:color w:val="auto"/>
          <w:szCs w:val="24"/>
        </w:rPr>
        <w:t>2、</w:t>
      </w:r>
      <w:r>
        <w:rPr>
          <w:rFonts w:hint="eastAsia" w:ascii="Times New Roman" w:hAnsi="Times New Roman"/>
          <w:b/>
          <w:color w:val="auto"/>
          <w:szCs w:val="24"/>
        </w:rPr>
        <w:t>其他</w:t>
      </w:r>
      <w:r>
        <w:rPr>
          <w:rFonts w:ascii="Times New Roman" w:hAnsi="Times New Roman"/>
          <w:b/>
          <w:color w:val="auto"/>
          <w:szCs w:val="24"/>
        </w:rPr>
        <w:t>污染</w:t>
      </w:r>
      <w:r>
        <w:rPr>
          <w:rFonts w:hint="eastAsia" w:ascii="Times New Roman" w:hAnsi="Times New Roman"/>
          <w:b/>
          <w:color w:val="auto"/>
          <w:szCs w:val="24"/>
        </w:rPr>
        <w:t>物</w:t>
      </w:r>
      <w:r>
        <w:rPr>
          <w:rFonts w:ascii="Times New Roman" w:hAnsi="Times New Roman"/>
          <w:b/>
          <w:color w:val="auto"/>
          <w:szCs w:val="24"/>
        </w:rPr>
        <w:t>现状</w:t>
      </w:r>
      <w:r>
        <w:rPr>
          <w:rFonts w:hint="eastAsia" w:ascii="Times New Roman" w:hAnsi="Times New Roman"/>
          <w:b/>
          <w:color w:val="auto"/>
          <w:szCs w:val="24"/>
        </w:rPr>
        <w:t>评价</w:t>
      </w:r>
    </w:p>
    <w:p>
      <w:pPr>
        <w:ind w:firstLine="480"/>
        <w:rPr>
          <w:rFonts w:ascii="Times New Roman" w:hAnsi="Times New Roman"/>
          <w:color w:val="auto"/>
        </w:rPr>
      </w:pPr>
      <w:r>
        <w:rPr>
          <w:rFonts w:hint="eastAsia" w:ascii="Times New Roman" w:hAnsi="Times New Roman"/>
          <w:color w:val="auto"/>
        </w:rPr>
        <w:t>①非甲烷总烃</w:t>
      </w:r>
    </w:p>
    <w:p>
      <w:pPr>
        <w:ind w:firstLine="480"/>
        <w:rPr>
          <w:rFonts w:ascii="Times New Roman" w:hAnsi="Times New Roman"/>
          <w:color w:val="auto"/>
        </w:rPr>
      </w:pPr>
      <w:r>
        <w:rPr>
          <w:rFonts w:ascii="Times New Roman" w:hAnsi="Times New Roman"/>
          <w:color w:val="auto"/>
        </w:rPr>
        <w:t>为了解项目所在地附近</w:t>
      </w:r>
      <w:r>
        <w:rPr>
          <w:rFonts w:hint="eastAsia" w:ascii="Times New Roman" w:hAnsi="Times New Roman"/>
          <w:color w:val="auto"/>
        </w:rPr>
        <w:t>空气</w:t>
      </w:r>
      <w:r>
        <w:rPr>
          <w:rFonts w:ascii="Times New Roman" w:hAnsi="Times New Roman"/>
          <w:color w:val="auto"/>
        </w:rPr>
        <w:t>环境现状，</w:t>
      </w:r>
      <w:r>
        <w:rPr>
          <w:rFonts w:hint="eastAsia" w:ascii="Times New Roman" w:hAnsi="Times New Roman"/>
          <w:color w:val="auto"/>
        </w:rPr>
        <w:t>本环评引用</w:t>
      </w:r>
      <w:r>
        <w:rPr>
          <w:rFonts w:ascii="Times New Roman" w:hAnsi="Times New Roman"/>
          <w:color w:val="auto"/>
        </w:rPr>
        <w:t>浙江中</w:t>
      </w:r>
      <w:r>
        <w:rPr>
          <w:rFonts w:hint="eastAsia" w:ascii="Times New Roman" w:hAnsi="Times New Roman"/>
          <w:color w:val="auto"/>
        </w:rPr>
        <w:t>谱</w:t>
      </w:r>
      <w:r>
        <w:rPr>
          <w:rFonts w:ascii="Times New Roman" w:hAnsi="Times New Roman"/>
          <w:color w:val="auto"/>
        </w:rPr>
        <w:t>检测有限公司于</w:t>
      </w:r>
      <w:r>
        <w:rPr>
          <w:rFonts w:hint="eastAsia" w:ascii="Times New Roman" w:hAnsi="Times New Roman"/>
          <w:color w:val="auto"/>
        </w:rPr>
        <w:t>2017年11月28日~30日、2017年12月1日~4日</w:t>
      </w:r>
      <w:r>
        <w:rPr>
          <w:rFonts w:ascii="Times New Roman" w:hAnsi="Times New Roman"/>
          <w:color w:val="auto"/>
        </w:rPr>
        <w:t>在项目所在区域附近</w:t>
      </w:r>
      <w:r>
        <w:rPr>
          <w:rFonts w:hint="eastAsia" w:ascii="Times New Roman" w:hAnsi="Times New Roman"/>
          <w:color w:val="auto"/>
        </w:rPr>
        <w:t>平安村（距本项目西南侧980m）的空气</w:t>
      </w:r>
      <w:r>
        <w:rPr>
          <w:rFonts w:ascii="Times New Roman" w:hAnsi="Times New Roman"/>
          <w:color w:val="auto"/>
        </w:rPr>
        <w:t>监测数据进行评价。</w:t>
      </w:r>
    </w:p>
    <w:p>
      <w:pPr>
        <w:numPr>
          <w:ilvl w:val="0"/>
          <w:numId w:val="29"/>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其他污染物监测点位基本信息</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747"/>
        <w:gridCol w:w="2096"/>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采样日期</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采样时间</w:t>
            </w:r>
          </w:p>
        </w:tc>
        <w:tc>
          <w:tcPr>
            <w:tcW w:w="116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检测项目</w:t>
            </w:r>
          </w:p>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(mg/m</w:t>
            </w:r>
            <w:r>
              <w:rPr>
                <w:rFonts w:ascii="Times New Roman" w:hAnsi="Times New Roman"/>
                <w:color w:val="auto"/>
                <w:sz w:val="21"/>
                <w:vertAlign w:val="superscript"/>
              </w:rPr>
              <w:t>3</w:t>
            </w:r>
            <w:r>
              <w:rPr>
                <w:rFonts w:ascii="Times New Roman" w:hAnsi="Times New Roman"/>
                <w:color w:val="auto"/>
                <w:sz w:val="21"/>
              </w:rPr>
              <w:t>)</w:t>
            </w:r>
          </w:p>
        </w:tc>
        <w:tc>
          <w:tcPr>
            <w:tcW w:w="116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2017年11月28日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2017年11月29日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2017年11月30日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2017年12月1日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2017年12月2日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2017年12月3日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2017年12月4日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0.30</w:t>
            </w:r>
          </w:p>
        </w:tc>
      </w:tr>
    </w:tbl>
    <w:p>
      <w:pPr>
        <w:numPr>
          <w:ilvl w:val="0"/>
          <w:numId w:val="29"/>
        </w:numPr>
        <w:snapToGrid w:val="0"/>
        <w:spacing w:line="240" w:lineRule="auto"/>
        <w:ind w:firstLineChars="0"/>
        <w:jc w:val="right"/>
        <w:rPr>
          <w:rFonts w:ascii="Times New Roman" w:hAnsi="Times New Roman"/>
          <w:b/>
          <w:color w:val="auto"/>
          <w:sz w:val="21"/>
        </w:rPr>
      </w:pPr>
      <w:r>
        <w:rPr>
          <w:rFonts w:ascii="Times New Roman" w:hAnsi="Times New Roman"/>
          <w:b/>
          <w:color w:val="auto"/>
          <w:sz w:val="21"/>
        </w:rPr>
        <w:t>其他污染</w:t>
      </w:r>
      <w:r>
        <w:rPr>
          <w:rFonts w:hint="eastAsia" w:ascii="Times New Roman" w:hAnsi="Times New Roman"/>
          <w:b/>
          <w:color w:val="auto"/>
          <w:sz w:val="21"/>
        </w:rPr>
        <w:t>物</w:t>
      </w:r>
      <w:r>
        <w:rPr>
          <w:rFonts w:ascii="Times New Roman" w:hAnsi="Times New Roman"/>
          <w:b/>
          <w:color w:val="auto"/>
          <w:sz w:val="21"/>
        </w:rPr>
        <w:t>环境质量现状（监测结果）表           单位：mg/m</w:t>
      </w:r>
      <w:r>
        <w:rPr>
          <w:rFonts w:ascii="Times New Roman" w:hAnsi="Times New Roman"/>
          <w:b/>
          <w:color w:val="auto"/>
          <w:sz w:val="21"/>
          <w:vertAlign w:val="superscript"/>
        </w:rPr>
        <w:t>3</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017"/>
        <w:gridCol w:w="1072"/>
        <w:gridCol w:w="1914"/>
        <w:gridCol w:w="1831"/>
        <w:gridCol w:w="1054"/>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26"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w:t>
            </w:r>
          </w:p>
        </w:tc>
        <w:tc>
          <w:tcPr>
            <w:tcW w:w="56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平均时间</w:t>
            </w:r>
          </w:p>
        </w:tc>
        <w:tc>
          <w:tcPr>
            <w:tcW w:w="59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评价标准</w:t>
            </w:r>
          </w:p>
        </w:tc>
        <w:tc>
          <w:tcPr>
            <w:tcW w:w="1059"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监测浓度范围</w:t>
            </w:r>
          </w:p>
        </w:tc>
        <w:tc>
          <w:tcPr>
            <w:tcW w:w="101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最大浓度占标率/%</w:t>
            </w:r>
          </w:p>
        </w:tc>
        <w:tc>
          <w:tcPr>
            <w:tcW w:w="58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超标率/%</w:t>
            </w:r>
          </w:p>
        </w:tc>
        <w:tc>
          <w:tcPr>
            <w:tcW w:w="56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2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6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9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5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8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6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62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56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一次值</w:t>
            </w:r>
          </w:p>
        </w:tc>
        <w:tc>
          <w:tcPr>
            <w:tcW w:w="5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p>
        </w:tc>
        <w:tc>
          <w:tcPr>
            <w:tcW w:w="10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w:t>
            </w:r>
            <w:r>
              <w:rPr>
                <w:rFonts w:hint="eastAsia" w:ascii="Times New Roman" w:hAnsi="Times New Roman"/>
                <w:color w:val="auto"/>
                <w:sz w:val="21"/>
              </w:rPr>
              <w:t>07</w:t>
            </w:r>
            <w:r>
              <w:rPr>
                <w:rFonts w:ascii="Times New Roman" w:hAnsi="Times New Roman"/>
                <w:color w:val="auto"/>
                <w:sz w:val="21"/>
              </w:rPr>
              <w:t>~0.</w:t>
            </w:r>
            <w:r>
              <w:rPr>
                <w:rFonts w:hint="eastAsia" w:ascii="Times New Roman" w:hAnsi="Times New Roman"/>
                <w:color w:val="auto"/>
                <w:sz w:val="21"/>
              </w:rPr>
              <w:t>50</w:t>
            </w:r>
          </w:p>
        </w:tc>
        <w:tc>
          <w:tcPr>
            <w:tcW w:w="10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25</w:t>
            </w:r>
            <w:r>
              <w:rPr>
                <w:rFonts w:ascii="Times New Roman" w:hAnsi="Times New Roman"/>
                <w:color w:val="auto"/>
                <w:sz w:val="21"/>
              </w:rPr>
              <w:t>%</w:t>
            </w:r>
          </w:p>
        </w:tc>
        <w:tc>
          <w:tcPr>
            <w:tcW w:w="5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w:t>
            </w:r>
          </w:p>
        </w:tc>
        <w:tc>
          <w:tcPr>
            <w:tcW w:w="56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达标</w:t>
            </w:r>
          </w:p>
        </w:tc>
      </w:tr>
    </w:tbl>
    <w:p>
      <w:pPr>
        <w:ind w:firstLine="480"/>
        <w:rPr>
          <w:rFonts w:ascii="Times New Roman" w:hAnsi="Times New Roman"/>
          <w:color w:val="auto"/>
        </w:rPr>
      </w:pPr>
      <w:r>
        <w:rPr>
          <w:rFonts w:hint="eastAsia" w:ascii="Times New Roman" w:hAnsi="Times New Roman"/>
          <w:color w:val="auto"/>
        </w:rPr>
        <w:t>②苯乙烯</w:t>
      </w:r>
    </w:p>
    <w:p>
      <w:pPr>
        <w:ind w:firstLine="480"/>
        <w:rPr>
          <w:rFonts w:ascii="Times New Roman" w:hAnsi="Times New Roman"/>
          <w:color w:val="auto"/>
        </w:rPr>
      </w:pPr>
      <w:r>
        <w:rPr>
          <w:rFonts w:ascii="Times New Roman" w:hAnsi="Times New Roman"/>
          <w:color w:val="auto"/>
        </w:rPr>
        <w:t>为了解项目所在地附近</w:t>
      </w:r>
      <w:r>
        <w:rPr>
          <w:rFonts w:hint="eastAsia" w:ascii="Times New Roman" w:hAnsi="Times New Roman"/>
          <w:color w:val="auto"/>
        </w:rPr>
        <w:t>空气</w:t>
      </w:r>
      <w:r>
        <w:rPr>
          <w:rFonts w:ascii="Times New Roman" w:hAnsi="Times New Roman"/>
          <w:color w:val="auto"/>
        </w:rPr>
        <w:t>环境现状，</w:t>
      </w:r>
      <w:r>
        <w:rPr>
          <w:rFonts w:hint="eastAsia" w:ascii="Times New Roman" w:hAnsi="Times New Roman"/>
          <w:color w:val="auto"/>
        </w:rPr>
        <w:t>本环评引用</w:t>
      </w:r>
      <w:r>
        <w:rPr>
          <w:rFonts w:ascii="Times New Roman" w:hAnsi="Times New Roman"/>
          <w:color w:val="auto"/>
        </w:rPr>
        <w:t>浙江</w:t>
      </w:r>
      <w:r>
        <w:rPr>
          <w:rFonts w:hint="eastAsia" w:ascii="Times New Roman" w:hAnsi="Times New Roman"/>
          <w:color w:val="auto"/>
        </w:rPr>
        <w:t>中环</w:t>
      </w:r>
      <w:r>
        <w:rPr>
          <w:rFonts w:ascii="Times New Roman" w:hAnsi="Times New Roman"/>
          <w:color w:val="auto"/>
        </w:rPr>
        <w:t>检测</w:t>
      </w:r>
      <w:r>
        <w:rPr>
          <w:rFonts w:hint="eastAsia" w:ascii="Times New Roman" w:hAnsi="Times New Roman"/>
          <w:color w:val="auto"/>
        </w:rPr>
        <w:t>科技股份</w:t>
      </w:r>
      <w:r>
        <w:rPr>
          <w:rFonts w:ascii="Times New Roman" w:hAnsi="Times New Roman"/>
          <w:color w:val="auto"/>
        </w:rPr>
        <w:t>有限公司于</w:t>
      </w:r>
      <w:r>
        <w:rPr>
          <w:rFonts w:hint="eastAsia" w:ascii="Times New Roman" w:hAnsi="Times New Roman"/>
          <w:color w:val="auto"/>
        </w:rPr>
        <w:t>2019年11月18日~24日</w:t>
      </w:r>
      <w:r>
        <w:rPr>
          <w:rFonts w:ascii="Times New Roman" w:hAnsi="Times New Roman"/>
          <w:color w:val="auto"/>
        </w:rPr>
        <w:t>在项目所在区域附近</w:t>
      </w:r>
      <w:r>
        <w:rPr>
          <w:rFonts w:hint="eastAsia" w:ascii="Times New Roman" w:hAnsi="Times New Roman"/>
          <w:color w:val="auto"/>
        </w:rPr>
        <w:t>（距本项目西南侧40m）的空气</w:t>
      </w:r>
      <w:r>
        <w:rPr>
          <w:rFonts w:ascii="Times New Roman" w:hAnsi="Times New Roman"/>
          <w:color w:val="auto"/>
        </w:rPr>
        <w:t>监测数据进行评价。</w:t>
      </w:r>
    </w:p>
    <w:p>
      <w:pPr>
        <w:numPr>
          <w:ilvl w:val="0"/>
          <w:numId w:val="29"/>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其他污染物监测点位基本信息</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747"/>
        <w:gridCol w:w="2096"/>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采样日期</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采样时间</w:t>
            </w:r>
          </w:p>
        </w:tc>
        <w:tc>
          <w:tcPr>
            <w:tcW w:w="116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检测项目</w:t>
            </w:r>
          </w:p>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(mg/m</w:t>
            </w:r>
            <w:r>
              <w:rPr>
                <w:rFonts w:ascii="Times New Roman" w:hAnsi="Times New Roman"/>
                <w:color w:val="auto"/>
                <w:sz w:val="21"/>
                <w:vertAlign w:val="superscript"/>
              </w:rPr>
              <w:t>3</w:t>
            </w:r>
            <w:r>
              <w:rPr>
                <w:rFonts w:ascii="Times New Roman" w:hAnsi="Times New Roman"/>
                <w:color w:val="auto"/>
                <w:sz w:val="21"/>
              </w:rPr>
              <w:t>)</w:t>
            </w:r>
          </w:p>
        </w:tc>
        <w:tc>
          <w:tcPr>
            <w:tcW w:w="116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2019年11月18日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~03：00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0~09：00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~15：00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~21：00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2019年11月19日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~03：00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0~09：00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~15：00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~21：00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2019年11月20日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~03：00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0~09：00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~15：00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~21：00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2019年11月21日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~03：00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0~09：00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~15：00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~21：00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2019年11月22日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~03：00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0~09：00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~15：00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~21：00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2019年11月23日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~03：00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0~09：00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~15：00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~21：00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60" w:type="pct"/>
            <w:vMerge w:val="restar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2019年11月24日</w:t>
            </w: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02:</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~03：00</w:t>
            </w:r>
          </w:p>
        </w:tc>
        <w:tc>
          <w:tcPr>
            <w:tcW w:w="116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08:0</w:t>
            </w:r>
            <w:r>
              <w:rPr>
                <w:rFonts w:hint="eastAsia" w:ascii="Times New Roman" w:hAnsi="Times New Roman"/>
                <w:color w:val="auto"/>
                <w:sz w:val="21"/>
              </w:rPr>
              <w:t>0~09：00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~15：00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60" w:type="pct"/>
            <w:vMerge w:val="continue"/>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0</w:t>
            </w:r>
            <w:r>
              <w:rPr>
                <w:rFonts w:ascii="Times New Roman" w:hAnsi="Times New Roman"/>
                <w:color w:val="auto"/>
                <w:sz w:val="21"/>
              </w:rPr>
              <w:t>0</w:t>
            </w:r>
            <w:r>
              <w:rPr>
                <w:rFonts w:hint="eastAsia" w:ascii="Times New Roman" w:hAnsi="Times New Roman"/>
                <w:color w:val="auto"/>
                <w:sz w:val="21"/>
              </w:rPr>
              <w:t>~21：00</w:t>
            </w:r>
          </w:p>
        </w:tc>
        <w:tc>
          <w:tcPr>
            <w:tcW w:w="116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60" w:type="pct"/>
            <w:vAlign w:val="center"/>
          </w:tcPr>
          <w:p>
            <w:pPr>
              <w:keepNext w:val="0"/>
              <w:keepLines w:val="0"/>
              <w:suppressLineNumbers w:val="0"/>
              <w:spacing w:before="0" w:beforeAutospacing="0" w:after="0" w:afterAutospacing="0" w:line="240" w:lineRule="auto"/>
              <w:ind w:left="0" w:right="0" w:firstLine="0" w:firstLineChars="0"/>
              <w:jc w:val="center"/>
              <w:rPr>
                <w:color w:val="auto"/>
                <w:sz w:val="21"/>
              </w:rPr>
            </w:pPr>
            <w:r>
              <w:rPr>
                <w:rFonts w:hint="eastAsia" w:ascii="Times New Roman" w:hAnsi="Times New Roman"/>
                <w:color w:val="auto"/>
                <w:sz w:val="21"/>
              </w:rPr>
              <w:t>＜0.009</w:t>
            </w:r>
          </w:p>
        </w:tc>
      </w:tr>
    </w:tbl>
    <w:p>
      <w:pPr>
        <w:ind w:firstLine="480"/>
        <w:rPr>
          <w:rFonts w:ascii="Times New Roman" w:hAnsi="Times New Roman"/>
          <w:color w:val="auto"/>
        </w:rPr>
      </w:pPr>
      <w:r>
        <w:rPr>
          <w:rFonts w:ascii="Times New Roman" w:hAnsi="Times New Roman"/>
          <w:color w:val="auto"/>
        </w:rPr>
        <w:t>（3）评价标准</w:t>
      </w:r>
    </w:p>
    <w:p>
      <w:pPr>
        <w:pStyle w:val="25"/>
        <w:spacing w:line="360" w:lineRule="auto"/>
        <w:ind w:firstLine="480" w:firstLineChars="200"/>
        <w:rPr>
          <w:color w:val="auto"/>
          <w:sz w:val="24"/>
        </w:rPr>
      </w:pPr>
      <w:r>
        <w:rPr>
          <w:color w:val="auto"/>
          <w:sz w:val="24"/>
        </w:rPr>
        <w:t>项目所在地环境空气要求为二类区，本项目其他污染</w:t>
      </w:r>
      <w:r>
        <w:rPr>
          <w:rFonts w:hint="eastAsia"/>
          <w:color w:val="auto"/>
          <w:sz w:val="24"/>
        </w:rPr>
        <w:t>物</w:t>
      </w:r>
      <w:r>
        <w:rPr>
          <w:color w:val="auto"/>
          <w:sz w:val="24"/>
        </w:rPr>
        <w:t>非甲烷总烃参考《大气污染物综合排放标准详解》要求。</w:t>
      </w:r>
      <w:r>
        <w:rPr>
          <w:rFonts w:hint="eastAsia"/>
          <w:color w:val="auto"/>
          <w:sz w:val="24"/>
        </w:rPr>
        <w:t>苯乙烯</w:t>
      </w:r>
      <w:r>
        <w:rPr>
          <w:color w:val="auto"/>
          <w:sz w:val="24"/>
        </w:rPr>
        <w:t>执行《环境影响评价技术导则  大气环境》（HJ 2.2-2018）</w:t>
      </w:r>
      <w:r>
        <w:rPr>
          <w:rFonts w:hint="eastAsia"/>
          <w:color w:val="auto"/>
          <w:sz w:val="24"/>
        </w:rPr>
        <w:t>附录D中的浓度限值。</w:t>
      </w:r>
    </w:p>
    <w:p>
      <w:pPr>
        <w:pStyle w:val="25"/>
        <w:spacing w:line="360" w:lineRule="auto"/>
        <w:ind w:firstLine="480" w:firstLineChars="200"/>
        <w:rPr>
          <w:color w:val="auto"/>
          <w:sz w:val="24"/>
        </w:rPr>
      </w:pPr>
      <w:r>
        <w:rPr>
          <w:color w:val="auto"/>
          <w:sz w:val="24"/>
        </w:rPr>
        <w:t>（4）评价方法</w:t>
      </w:r>
    </w:p>
    <w:p>
      <w:pPr>
        <w:ind w:firstLine="480"/>
        <w:rPr>
          <w:rFonts w:ascii="Times New Roman" w:hAnsi="Times New Roman"/>
          <w:color w:val="auto"/>
        </w:rPr>
      </w:pPr>
      <w:r>
        <w:rPr>
          <w:rFonts w:ascii="Times New Roman" w:hAnsi="Times New Roman"/>
          <w:color w:val="auto"/>
        </w:rPr>
        <w:t>为定量描述和掌握项目周围环境空气质量现状，本评价采用《环境空气质量评价技术规范(试行)》(HJ663-2013)中单项目评价方法进行单点环境空气质量评价。</w:t>
      </w:r>
    </w:p>
    <w:p>
      <w:pPr>
        <w:ind w:firstLine="480"/>
        <w:rPr>
          <w:rFonts w:ascii="Times New Roman" w:hAnsi="Times New Roman"/>
          <w:color w:val="auto"/>
        </w:rPr>
      </w:pPr>
      <w:r>
        <w:rPr>
          <w:rFonts w:ascii="Times New Roman" w:hAnsi="Times New Roman"/>
          <w:color w:val="auto"/>
        </w:rPr>
        <w:t>单点环境空气质量评价是以GB3095-2012中污染物的浓度限值为依据，对各评价项目的评价指标进行达标情况判断，超标的评价项目计算其超标倍数。</w:t>
      </w:r>
    </w:p>
    <w:p>
      <w:pPr>
        <w:ind w:firstLine="480"/>
        <w:rPr>
          <w:rFonts w:ascii="Times New Roman" w:hAnsi="Times New Roman"/>
          <w:color w:val="auto"/>
        </w:rPr>
      </w:pPr>
      <w:r>
        <w:rPr>
          <w:rFonts w:ascii="Times New Roman" w:hAnsi="Times New Roman"/>
          <w:color w:val="auto"/>
        </w:rPr>
        <w:t>超标项目</w:t>
      </w:r>
      <w:r>
        <w:rPr>
          <w:rFonts w:ascii="Times New Roman" w:hAnsi="Times New Roman"/>
          <w:i/>
          <w:color w:val="auto"/>
        </w:rPr>
        <w:t>i</w:t>
      </w:r>
      <w:r>
        <w:rPr>
          <w:rFonts w:ascii="Times New Roman" w:hAnsi="Times New Roman"/>
          <w:color w:val="auto"/>
        </w:rPr>
        <w:t>的超标倍数计算公式：</w:t>
      </w:r>
    </w:p>
    <w:p>
      <w:pPr>
        <w:ind w:firstLine="480"/>
        <w:jc w:val="center"/>
        <w:rPr>
          <w:rFonts w:ascii="Times New Roman" w:hAnsi="Times New Roman"/>
          <w:color w:val="auto"/>
        </w:rPr>
      </w:pPr>
      <w:r>
        <w:rPr>
          <w:rFonts w:ascii="Times New Roman" w:hAnsi="Times New Roman"/>
          <w:i/>
          <w:color w:val="auto"/>
        </w:rPr>
        <w:t>B</w:t>
      </w:r>
      <w:r>
        <w:rPr>
          <w:rFonts w:ascii="Times New Roman" w:hAnsi="Times New Roman"/>
          <w:i/>
          <w:color w:val="auto"/>
          <w:vertAlign w:val="subscript"/>
        </w:rPr>
        <w:t>i</w:t>
      </w:r>
      <w:r>
        <w:rPr>
          <w:rFonts w:ascii="Times New Roman" w:hAnsi="Times New Roman"/>
          <w:color w:val="auto"/>
        </w:rPr>
        <w:t>=（</w:t>
      </w:r>
      <w:r>
        <w:rPr>
          <w:rFonts w:ascii="Times New Roman" w:hAnsi="Times New Roman"/>
          <w:i/>
          <w:color w:val="auto"/>
        </w:rPr>
        <w:t>C</w:t>
      </w:r>
      <w:r>
        <w:rPr>
          <w:rFonts w:ascii="Times New Roman" w:hAnsi="Times New Roman"/>
          <w:i/>
          <w:color w:val="auto"/>
          <w:vertAlign w:val="subscript"/>
        </w:rPr>
        <w:t>i</w:t>
      </w:r>
      <w:r>
        <w:rPr>
          <w:rFonts w:ascii="Times New Roman" w:hAnsi="Times New Roman"/>
          <w:color w:val="auto"/>
        </w:rPr>
        <w:t>-</w:t>
      </w:r>
      <w:r>
        <w:rPr>
          <w:rFonts w:ascii="Times New Roman" w:hAnsi="Times New Roman"/>
          <w:i/>
          <w:color w:val="auto"/>
        </w:rPr>
        <w:t>S</w:t>
      </w:r>
      <w:r>
        <w:rPr>
          <w:rFonts w:ascii="Times New Roman" w:hAnsi="Times New Roman"/>
          <w:i/>
          <w:color w:val="auto"/>
          <w:vertAlign w:val="subscript"/>
        </w:rPr>
        <w:t>i</w:t>
      </w:r>
      <w:r>
        <w:rPr>
          <w:rFonts w:ascii="Times New Roman" w:hAnsi="Times New Roman"/>
          <w:color w:val="auto"/>
        </w:rPr>
        <w:t xml:space="preserve">）/ </w:t>
      </w:r>
      <w:r>
        <w:rPr>
          <w:rFonts w:ascii="Times New Roman" w:hAnsi="Times New Roman"/>
          <w:i/>
          <w:color w:val="auto"/>
        </w:rPr>
        <w:t>S</w:t>
      </w:r>
      <w:r>
        <w:rPr>
          <w:rFonts w:ascii="Times New Roman" w:hAnsi="Times New Roman"/>
          <w:i/>
          <w:color w:val="auto"/>
          <w:vertAlign w:val="subscript"/>
        </w:rPr>
        <w:t>i</w:t>
      </w:r>
    </w:p>
    <w:p>
      <w:pPr>
        <w:ind w:firstLine="480"/>
        <w:rPr>
          <w:rFonts w:ascii="Times New Roman" w:hAnsi="Times New Roman"/>
          <w:color w:val="auto"/>
        </w:rPr>
      </w:pPr>
      <w:r>
        <w:rPr>
          <w:rFonts w:ascii="Times New Roman" w:hAnsi="Times New Roman"/>
          <w:color w:val="auto"/>
        </w:rPr>
        <w:t>式中：</w:t>
      </w:r>
    </w:p>
    <w:p>
      <w:pPr>
        <w:ind w:firstLine="480"/>
        <w:rPr>
          <w:rFonts w:ascii="Times New Roman" w:hAnsi="Times New Roman"/>
          <w:color w:val="auto"/>
        </w:rPr>
      </w:pPr>
      <w:r>
        <w:rPr>
          <w:rFonts w:ascii="Times New Roman" w:hAnsi="Times New Roman"/>
          <w:i/>
          <w:color w:val="auto"/>
        </w:rPr>
        <w:t>Bi</w:t>
      </w:r>
      <w:r>
        <w:rPr>
          <w:rFonts w:ascii="Times New Roman" w:hAnsi="Times New Roman"/>
          <w:color w:val="auto"/>
        </w:rPr>
        <w:t>——表示超标项目</w:t>
      </w:r>
      <w:r>
        <w:rPr>
          <w:rFonts w:ascii="Times New Roman" w:hAnsi="Times New Roman"/>
          <w:i/>
          <w:color w:val="auto"/>
        </w:rPr>
        <w:t>i</w:t>
      </w:r>
      <w:r>
        <w:rPr>
          <w:rFonts w:ascii="Times New Roman" w:hAnsi="Times New Roman"/>
          <w:color w:val="auto"/>
        </w:rPr>
        <w:t>的超标倍数；</w:t>
      </w:r>
    </w:p>
    <w:p>
      <w:pPr>
        <w:ind w:firstLine="480"/>
        <w:rPr>
          <w:rFonts w:ascii="Times New Roman" w:hAnsi="Times New Roman"/>
          <w:color w:val="auto"/>
        </w:rPr>
      </w:pPr>
      <w:r>
        <w:rPr>
          <w:rFonts w:ascii="Times New Roman" w:hAnsi="Times New Roman"/>
          <w:i/>
          <w:color w:val="auto"/>
        </w:rPr>
        <w:t>Ci</w:t>
      </w:r>
      <w:r>
        <w:rPr>
          <w:rFonts w:ascii="Times New Roman" w:hAnsi="Times New Roman"/>
          <w:color w:val="auto"/>
        </w:rPr>
        <w:t>——超标项目</w:t>
      </w:r>
      <w:r>
        <w:rPr>
          <w:rFonts w:ascii="Times New Roman" w:hAnsi="Times New Roman"/>
          <w:i/>
          <w:color w:val="auto"/>
        </w:rPr>
        <w:t>i</w:t>
      </w:r>
      <w:r>
        <w:rPr>
          <w:rFonts w:ascii="Times New Roman" w:hAnsi="Times New Roman"/>
          <w:color w:val="auto"/>
        </w:rPr>
        <w:t>的浓度限值，mg/m</w:t>
      </w:r>
      <w:r>
        <w:rPr>
          <w:rFonts w:ascii="Times New Roman" w:hAnsi="Times New Roman"/>
          <w:color w:val="auto"/>
          <w:vertAlign w:val="superscript"/>
        </w:rPr>
        <w:t>3</w:t>
      </w:r>
      <w:r>
        <w:rPr>
          <w:rFonts w:ascii="Times New Roman" w:hAnsi="Times New Roman"/>
          <w:color w:val="auto"/>
        </w:rPr>
        <w:t>；</w:t>
      </w:r>
    </w:p>
    <w:p>
      <w:pPr>
        <w:ind w:firstLine="480"/>
        <w:rPr>
          <w:rFonts w:ascii="Times New Roman" w:hAnsi="Times New Roman"/>
          <w:color w:val="auto"/>
        </w:rPr>
      </w:pPr>
      <w:r>
        <w:rPr>
          <w:rFonts w:ascii="Times New Roman" w:hAnsi="Times New Roman"/>
          <w:i/>
          <w:color w:val="auto"/>
        </w:rPr>
        <w:t>Si</w:t>
      </w:r>
      <w:r>
        <w:rPr>
          <w:rFonts w:ascii="Times New Roman" w:hAnsi="Times New Roman"/>
          <w:color w:val="auto"/>
        </w:rPr>
        <w:t>——超标项目</w:t>
      </w:r>
      <w:r>
        <w:rPr>
          <w:rFonts w:ascii="Times New Roman" w:hAnsi="Times New Roman"/>
          <w:i/>
          <w:color w:val="auto"/>
        </w:rPr>
        <w:t>i</w:t>
      </w:r>
      <w:r>
        <w:rPr>
          <w:rFonts w:ascii="Times New Roman" w:hAnsi="Times New Roman"/>
          <w:color w:val="auto"/>
        </w:rPr>
        <w:t>的浓度限值标准，mg/m</w:t>
      </w:r>
      <w:r>
        <w:rPr>
          <w:rFonts w:ascii="Times New Roman" w:hAnsi="Times New Roman"/>
          <w:color w:val="auto"/>
          <w:vertAlign w:val="superscript"/>
        </w:rPr>
        <w:t>3</w:t>
      </w:r>
      <w:r>
        <w:rPr>
          <w:rFonts w:ascii="Times New Roman" w:hAnsi="Times New Roman"/>
          <w:color w:val="auto"/>
        </w:rPr>
        <w:t>。</w:t>
      </w:r>
    </w:p>
    <w:p>
      <w:pPr>
        <w:ind w:firstLine="480"/>
        <w:rPr>
          <w:rFonts w:ascii="Times New Roman" w:hAnsi="Times New Roman"/>
          <w:color w:val="auto"/>
        </w:rPr>
      </w:pPr>
      <w:r>
        <w:rPr>
          <w:rFonts w:ascii="Times New Roman" w:hAnsi="Times New Roman"/>
          <w:color w:val="auto"/>
        </w:rPr>
        <w:t>评价项目</w:t>
      </w:r>
      <w:r>
        <w:rPr>
          <w:rFonts w:ascii="Times New Roman" w:hAnsi="Times New Roman"/>
          <w:i/>
          <w:color w:val="auto"/>
        </w:rPr>
        <w:t>i</w:t>
      </w:r>
      <w:r>
        <w:rPr>
          <w:rFonts w:ascii="Times New Roman" w:hAnsi="Times New Roman"/>
          <w:color w:val="auto"/>
        </w:rPr>
        <w:t>的达标率、日达标率计算公式：</w:t>
      </w:r>
    </w:p>
    <w:p>
      <w:pPr>
        <w:ind w:firstLine="480"/>
        <w:jc w:val="center"/>
        <w:rPr>
          <w:rFonts w:ascii="Times New Roman" w:hAnsi="Times New Roman"/>
          <w:color w:val="auto"/>
        </w:rPr>
      </w:pPr>
      <w:r>
        <w:rPr>
          <w:rFonts w:ascii="Times New Roman" w:hAnsi="Times New Roman"/>
          <w:i/>
          <w:color w:val="auto"/>
        </w:rPr>
        <w:t>D</w:t>
      </w:r>
      <w:r>
        <w:rPr>
          <w:rFonts w:ascii="Times New Roman" w:hAnsi="Times New Roman"/>
          <w:i/>
          <w:color w:val="auto"/>
          <w:vertAlign w:val="subscript"/>
        </w:rPr>
        <w:t>i</w:t>
      </w:r>
      <w:r>
        <w:rPr>
          <w:rFonts w:ascii="Times New Roman" w:hAnsi="Times New Roman"/>
          <w:color w:val="auto"/>
        </w:rPr>
        <w:t>（%）=（</w:t>
      </w:r>
      <w:r>
        <w:rPr>
          <w:rFonts w:ascii="Times New Roman" w:hAnsi="Times New Roman"/>
          <w:i/>
          <w:color w:val="auto"/>
        </w:rPr>
        <w:t>A</w:t>
      </w:r>
      <w:r>
        <w:rPr>
          <w:rFonts w:ascii="Times New Roman" w:hAnsi="Times New Roman"/>
          <w:i/>
          <w:color w:val="auto"/>
          <w:vertAlign w:val="subscript"/>
        </w:rPr>
        <w:t>i</w:t>
      </w:r>
      <w:r>
        <w:rPr>
          <w:rFonts w:ascii="Times New Roman" w:hAnsi="Times New Roman"/>
          <w:color w:val="auto"/>
        </w:rPr>
        <w:t>/</w:t>
      </w:r>
      <w:r>
        <w:rPr>
          <w:rFonts w:ascii="Times New Roman" w:hAnsi="Times New Roman"/>
          <w:i/>
          <w:color w:val="auto"/>
        </w:rPr>
        <w:t>B</w:t>
      </w:r>
      <w:r>
        <w:rPr>
          <w:rFonts w:ascii="Times New Roman" w:hAnsi="Times New Roman"/>
          <w:i/>
          <w:color w:val="auto"/>
          <w:vertAlign w:val="subscript"/>
        </w:rPr>
        <w:t>i</w:t>
      </w:r>
      <w:r>
        <w:rPr>
          <w:rFonts w:ascii="Times New Roman" w:hAnsi="Times New Roman"/>
          <w:color w:val="auto"/>
        </w:rPr>
        <w:t>）×100</w:t>
      </w:r>
    </w:p>
    <w:p>
      <w:pPr>
        <w:ind w:firstLine="480"/>
        <w:rPr>
          <w:rFonts w:ascii="Times New Roman" w:hAnsi="Times New Roman"/>
          <w:color w:val="auto"/>
        </w:rPr>
      </w:pPr>
      <w:r>
        <w:rPr>
          <w:rFonts w:ascii="Times New Roman" w:hAnsi="Times New Roman"/>
          <w:color w:val="auto"/>
        </w:rPr>
        <w:t>式中：</w:t>
      </w:r>
    </w:p>
    <w:p>
      <w:pPr>
        <w:ind w:firstLine="480"/>
        <w:rPr>
          <w:rFonts w:ascii="Times New Roman" w:hAnsi="Times New Roman"/>
          <w:color w:val="auto"/>
        </w:rPr>
      </w:pPr>
      <w:r>
        <w:rPr>
          <w:rFonts w:ascii="Times New Roman" w:hAnsi="Times New Roman"/>
          <w:i/>
          <w:color w:val="auto"/>
        </w:rPr>
        <w:t>Di</w:t>
      </w:r>
      <w:r>
        <w:rPr>
          <w:rFonts w:ascii="Times New Roman" w:hAnsi="Times New Roman"/>
          <w:color w:val="auto"/>
        </w:rPr>
        <w:t>——表示评价项目</w:t>
      </w:r>
      <w:r>
        <w:rPr>
          <w:rFonts w:ascii="Times New Roman" w:hAnsi="Times New Roman"/>
          <w:i/>
          <w:color w:val="auto"/>
        </w:rPr>
        <w:t>i</w:t>
      </w:r>
      <w:r>
        <w:rPr>
          <w:rFonts w:ascii="Times New Roman" w:hAnsi="Times New Roman"/>
          <w:color w:val="auto"/>
        </w:rPr>
        <w:t>的达标率；</w:t>
      </w:r>
    </w:p>
    <w:p>
      <w:pPr>
        <w:ind w:firstLine="480"/>
        <w:rPr>
          <w:rFonts w:ascii="Times New Roman" w:hAnsi="Times New Roman"/>
          <w:color w:val="auto"/>
        </w:rPr>
      </w:pPr>
      <w:r>
        <w:rPr>
          <w:rFonts w:ascii="Times New Roman" w:hAnsi="Times New Roman"/>
          <w:i/>
          <w:color w:val="auto"/>
        </w:rPr>
        <w:t>Ai</w:t>
      </w:r>
      <w:r>
        <w:rPr>
          <w:rFonts w:ascii="Times New Roman" w:hAnsi="Times New Roman"/>
          <w:color w:val="auto"/>
        </w:rPr>
        <w:t>——评价时段内评价项目</w:t>
      </w:r>
      <w:r>
        <w:rPr>
          <w:rFonts w:ascii="Times New Roman" w:hAnsi="Times New Roman"/>
          <w:i/>
          <w:color w:val="auto"/>
        </w:rPr>
        <w:t>i</w:t>
      </w:r>
      <w:r>
        <w:rPr>
          <w:rFonts w:ascii="Times New Roman" w:hAnsi="Times New Roman"/>
          <w:color w:val="auto"/>
        </w:rPr>
        <w:t>的达标天（小时）数；</w:t>
      </w:r>
    </w:p>
    <w:p>
      <w:pPr>
        <w:ind w:firstLine="480"/>
        <w:rPr>
          <w:rFonts w:ascii="Times New Roman" w:hAnsi="Times New Roman"/>
          <w:color w:val="auto"/>
        </w:rPr>
      </w:pPr>
      <w:r>
        <w:rPr>
          <w:rFonts w:ascii="Times New Roman" w:hAnsi="Times New Roman"/>
          <w:i/>
          <w:color w:val="auto"/>
        </w:rPr>
        <w:t>Bi</w:t>
      </w:r>
      <w:r>
        <w:rPr>
          <w:rFonts w:ascii="Times New Roman" w:hAnsi="Times New Roman"/>
          <w:color w:val="auto"/>
        </w:rPr>
        <w:t>——评价时段内评价项目</w:t>
      </w:r>
      <w:r>
        <w:rPr>
          <w:rFonts w:ascii="Times New Roman" w:hAnsi="Times New Roman"/>
          <w:i/>
          <w:color w:val="auto"/>
        </w:rPr>
        <w:t>i</w:t>
      </w:r>
      <w:r>
        <w:rPr>
          <w:rFonts w:ascii="Times New Roman" w:hAnsi="Times New Roman"/>
          <w:color w:val="auto"/>
        </w:rPr>
        <w:t>的有效监测天（小时）数。</w:t>
      </w:r>
    </w:p>
    <w:p>
      <w:pPr>
        <w:ind w:firstLine="480"/>
        <w:rPr>
          <w:rFonts w:ascii="Times New Roman" w:hAnsi="Times New Roman"/>
          <w:color w:val="auto"/>
        </w:rPr>
      </w:pPr>
      <w:r>
        <w:rPr>
          <w:rFonts w:ascii="Times New Roman" w:hAnsi="Times New Roman"/>
          <w:color w:val="auto"/>
        </w:rPr>
        <w:t>（5）监测结果评价</w:t>
      </w:r>
    </w:p>
    <w:p>
      <w:pPr>
        <w:ind w:firstLine="480"/>
        <w:rPr>
          <w:rFonts w:ascii="Times New Roman" w:hAnsi="Times New Roman"/>
          <w:color w:val="auto"/>
        </w:rPr>
      </w:pPr>
      <w:r>
        <w:rPr>
          <w:rFonts w:ascii="Times New Roman" w:hAnsi="Times New Roman"/>
          <w:color w:val="auto"/>
        </w:rPr>
        <w:t>根据监测结果，项目所在区域环境空气中其他污染</w:t>
      </w:r>
      <w:r>
        <w:rPr>
          <w:rFonts w:hint="eastAsia" w:ascii="Times New Roman" w:hAnsi="Times New Roman"/>
          <w:color w:val="auto"/>
        </w:rPr>
        <w:t>物</w:t>
      </w:r>
      <w:r>
        <w:rPr>
          <w:rFonts w:ascii="Times New Roman" w:hAnsi="Times New Roman"/>
          <w:color w:val="auto"/>
        </w:rPr>
        <w:t>非甲烷总烃满足《大气污染物综合排放标准详解》要求，</w:t>
      </w:r>
      <w:r>
        <w:rPr>
          <w:rFonts w:hint="eastAsia" w:ascii="Times New Roman" w:hAnsi="Times New Roman"/>
          <w:color w:val="auto"/>
          <w:szCs w:val="24"/>
        </w:rPr>
        <w:t>苯</w:t>
      </w:r>
      <w:r>
        <w:rPr>
          <w:rFonts w:hint="eastAsia" w:ascii="Times New Roman" w:hAnsi="Times New Roman"/>
          <w:color w:val="auto"/>
        </w:rPr>
        <w:t>乙烯满足</w:t>
      </w:r>
      <w:r>
        <w:rPr>
          <w:rFonts w:ascii="Times New Roman" w:hAnsi="Times New Roman"/>
          <w:color w:val="auto"/>
        </w:rPr>
        <w:t>《环境影响评价技术导则  大气环境》（HJ 2.2-2018）</w:t>
      </w:r>
      <w:r>
        <w:rPr>
          <w:rFonts w:hint="eastAsia" w:ascii="Times New Roman" w:hAnsi="Times New Roman"/>
          <w:color w:val="auto"/>
        </w:rPr>
        <w:t>附录D中的浓度限值。</w:t>
      </w:r>
      <w:r>
        <w:rPr>
          <w:rFonts w:ascii="Times New Roman" w:hAnsi="Times New Roman"/>
          <w:color w:val="auto"/>
        </w:rPr>
        <w:t>总体来讲，项目所在区域环境空气质量较好。</w:t>
      </w:r>
    </w:p>
    <w:p>
      <w:pPr>
        <w:pStyle w:val="4"/>
        <w:numPr>
          <w:ilvl w:val="0"/>
          <w:numId w:val="28"/>
        </w:numPr>
        <w:spacing w:beforeLines="0"/>
        <w:rPr>
          <w:rFonts w:ascii="Times New Roman" w:hAnsi="Times New Roman"/>
          <w:color w:val="auto"/>
          <w:sz w:val="24"/>
          <w:szCs w:val="24"/>
        </w:rPr>
      </w:pPr>
      <w:r>
        <w:rPr>
          <w:rFonts w:ascii="Times New Roman" w:hAnsi="Times New Roman"/>
          <w:color w:val="auto"/>
          <w:sz w:val="24"/>
          <w:szCs w:val="24"/>
        </w:rPr>
        <w:t>地表水环境质量现状监测与评价</w:t>
      </w:r>
    </w:p>
    <w:p>
      <w:pPr>
        <w:ind w:firstLine="480"/>
        <w:rPr>
          <w:rFonts w:ascii="Times New Roman" w:hAnsi="Times New Roman"/>
          <w:color w:val="auto"/>
        </w:rPr>
      </w:pPr>
      <w:r>
        <w:rPr>
          <w:rFonts w:hint="eastAsia" w:ascii="Times New Roman" w:hAnsi="Times New Roman"/>
          <w:color w:val="auto"/>
        </w:rPr>
        <w:t>①常规监测站位</w:t>
      </w:r>
    </w:p>
    <w:p>
      <w:pPr>
        <w:ind w:firstLine="480"/>
        <w:rPr>
          <w:rFonts w:ascii="Times New Roman" w:hAnsi="Times New Roman"/>
          <w:color w:val="auto"/>
          <w:spacing w:val="-2"/>
          <w:szCs w:val="24"/>
        </w:rPr>
      </w:pPr>
      <w:r>
        <w:rPr>
          <w:rFonts w:hint="eastAsia" w:ascii="Times New Roman" w:hAnsi="Times New Roman"/>
          <w:color w:val="auto"/>
        </w:rPr>
        <w:t>为了解项目纳污水体水质，本环评引用苍南县监测站出具的舥艚监测点位（项目东南1.4km）2018年1月份数据。</w:t>
      </w:r>
    </w:p>
    <w:p>
      <w:pPr>
        <w:numPr>
          <w:ilvl w:val="0"/>
          <w:numId w:val="29"/>
        </w:numPr>
        <w:snapToGrid w:val="0"/>
        <w:spacing w:line="240" w:lineRule="auto"/>
        <w:ind w:firstLineChars="0"/>
        <w:jc w:val="right"/>
        <w:rPr>
          <w:rFonts w:ascii="Times New Roman" w:hAnsi="Times New Roman"/>
          <w:b/>
          <w:color w:val="auto"/>
          <w:sz w:val="21"/>
        </w:rPr>
      </w:pPr>
      <w:r>
        <w:rPr>
          <w:rFonts w:ascii="Times New Roman" w:hAnsi="Times New Roman"/>
          <w:b/>
          <w:color w:val="auto"/>
          <w:sz w:val="21"/>
        </w:rPr>
        <w:t>项目附近内河地表水水质监测结果</w:t>
      </w:r>
      <w:r>
        <w:rPr>
          <w:rFonts w:hint="eastAsia" w:ascii="Times New Roman" w:hAnsi="Times New Roman"/>
          <w:b/>
          <w:color w:val="auto"/>
          <w:sz w:val="21"/>
        </w:rPr>
        <w:t xml:space="preserve">                </w:t>
      </w:r>
      <w:r>
        <w:rPr>
          <w:rFonts w:ascii="Times New Roman" w:hAnsi="Times New Roman"/>
          <w:b/>
          <w:color w:val="auto"/>
          <w:sz w:val="21"/>
        </w:rPr>
        <w:t>（mg/L），除PH外</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70"/>
        <w:gridCol w:w="1506"/>
        <w:gridCol w:w="1506"/>
        <w:gridCol w:w="1506"/>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断面</w:t>
            </w:r>
          </w:p>
        </w:tc>
        <w:tc>
          <w:tcPr>
            <w:tcW w:w="177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监测指标</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结果</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标准值</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评价指数</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舥艚</w:t>
            </w:r>
          </w:p>
        </w:tc>
        <w:tc>
          <w:tcPr>
            <w:tcW w:w="177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PH值</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6.49</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6~9</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77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高锰酸盐指数</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5.1</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0.60</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77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五日生化需氧量</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4.0</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0.81</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77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氨氮</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0.58</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1.5</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0.71</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77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总磷</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0.10</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0.61</w:t>
            </w:r>
          </w:p>
        </w:tc>
        <w:tc>
          <w:tcPr>
            <w:tcW w:w="150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达标</w:t>
            </w:r>
          </w:p>
        </w:tc>
      </w:tr>
    </w:tbl>
    <w:p>
      <w:pPr>
        <w:pStyle w:val="187"/>
        <w:spacing w:line="360" w:lineRule="auto"/>
        <w:ind w:firstLine="480"/>
        <w:jc w:val="both"/>
        <w:rPr>
          <w:rFonts w:ascii="Times New Roman" w:hAnsi="Times New Roman"/>
          <w:color w:val="auto"/>
          <w:spacing w:val="-6"/>
        </w:rPr>
      </w:pPr>
      <w:r>
        <w:rPr>
          <w:rFonts w:ascii="Times New Roman" w:hAnsi="Times New Roman" w:cs="Times New Roman"/>
          <w:color w:val="auto"/>
        </w:rPr>
        <w:t>根据监测结果，项目附近内河</w:t>
      </w:r>
      <w:r>
        <w:rPr>
          <w:rFonts w:hint="eastAsia" w:ascii="Times New Roman" w:hAnsi="Times New Roman" w:cs="Times New Roman"/>
          <w:color w:val="auto"/>
        </w:rPr>
        <w:t>可满足</w:t>
      </w:r>
      <w:r>
        <w:rPr>
          <w:rFonts w:hint="eastAsia" w:ascii="Times New Roman" w:hAnsi="Times New Roman"/>
          <w:color w:val="auto"/>
          <w:spacing w:val="-6"/>
        </w:rPr>
        <w:t>《地表水环境质量标准》（</w:t>
      </w:r>
      <w:r>
        <w:rPr>
          <w:rFonts w:ascii="Times New Roman" w:hAnsi="Times New Roman"/>
          <w:color w:val="auto"/>
          <w:spacing w:val="-6"/>
        </w:rPr>
        <w:t>GB3838-2002</w:t>
      </w:r>
      <w:r>
        <w:rPr>
          <w:rFonts w:hint="eastAsia" w:ascii="Times New Roman" w:hAnsi="Times New Roman"/>
          <w:color w:val="auto"/>
          <w:spacing w:val="-6"/>
        </w:rPr>
        <w:t>）中的Ⅳ类水标准。</w:t>
      </w:r>
    </w:p>
    <w:p>
      <w:pPr>
        <w:pStyle w:val="187"/>
        <w:spacing w:line="360" w:lineRule="auto"/>
        <w:ind w:firstLine="456"/>
        <w:jc w:val="both"/>
        <w:rPr>
          <w:rFonts w:ascii="Times New Roman" w:hAnsi="Times New Roman"/>
          <w:color w:val="auto"/>
          <w:spacing w:val="-6"/>
        </w:rPr>
      </w:pPr>
      <w:r>
        <w:rPr>
          <w:rFonts w:hint="eastAsia" w:ascii="Times New Roman" w:hAnsi="Times New Roman"/>
          <w:color w:val="auto"/>
          <w:spacing w:val="-6"/>
        </w:rPr>
        <w:t>②附近地表水</w:t>
      </w:r>
    </w:p>
    <w:p>
      <w:pPr>
        <w:ind w:firstLine="480"/>
        <w:rPr>
          <w:rFonts w:ascii="Times New Roman" w:hAnsi="Times New Roman"/>
          <w:color w:val="auto"/>
          <w:szCs w:val="24"/>
        </w:rPr>
      </w:pPr>
      <w:r>
        <w:rPr>
          <w:rFonts w:ascii="Times New Roman" w:hAnsi="Times New Roman"/>
          <w:color w:val="auto"/>
          <w:kern w:val="24"/>
          <w:szCs w:val="24"/>
        </w:rPr>
        <w:t>为了解</w:t>
      </w:r>
      <w:r>
        <w:rPr>
          <w:rFonts w:hint="eastAsia" w:ascii="Times New Roman" w:hAnsi="Times New Roman"/>
          <w:color w:val="auto"/>
          <w:kern w:val="24"/>
          <w:szCs w:val="24"/>
        </w:rPr>
        <w:t>附近</w:t>
      </w:r>
      <w:r>
        <w:rPr>
          <w:rFonts w:ascii="Times New Roman" w:hAnsi="Times New Roman"/>
          <w:color w:val="auto"/>
          <w:kern w:val="24"/>
          <w:szCs w:val="24"/>
        </w:rPr>
        <w:t>水体水环境质量现状</w:t>
      </w:r>
      <w:r>
        <w:rPr>
          <w:rFonts w:ascii="Times New Roman" w:hAnsi="Times New Roman"/>
          <w:color w:val="auto"/>
          <w:szCs w:val="24"/>
        </w:rPr>
        <w:t>，本项目</w:t>
      </w:r>
      <w:r>
        <w:rPr>
          <w:rFonts w:hint="eastAsia" w:ascii="Times New Roman" w:hAnsi="Times New Roman"/>
          <w:color w:val="auto"/>
          <w:szCs w:val="24"/>
        </w:rPr>
        <w:t>引用</w:t>
      </w:r>
      <w:r>
        <w:rPr>
          <w:color w:val="auto"/>
        </w:rPr>
        <w:t>浙江创泷环境检测技术有限公司</w:t>
      </w:r>
      <w:r>
        <w:rPr>
          <w:rFonts w:ascii="Times New Roman" w:hAnsi="Times New Roman"/>
          <w:color w:val="auto"/>
          <w:szCs w:val="24"/>
        </w:rPr>
        <w:t>对项目附近地表水进行水质监测，监测采样时间为</w:t>
      </w:r>
      <w:r>
        <w:rPr>
          <w:rFonts w:ascii="Times New Roman" w:hAnsi="Times New Roman"/>
          <w:color w:val="auto"/>
        </w:rPr>
        <w:t>2020</w:t>
      </w:r>
      <w:r>
        <w:rPr>
          <w:color w:val="auto"/>
        </w:rPr>
        <w:t>年</w:t>
      </w:r>
      <w:r>
        <w:rPr>
          <w:rFonts w:ascii="Times New Roman" w:hAnsi="Times New Roman"/>
          <w:color w:val="auto"/>
        </w:rPr>
        <w:t>03</w:t>
      </w:r>
      <w:r>
        <w:rPr>
          <w:color w:val="auto"/>
        </w:rPr>
        <w:t>月</w:t>
      </w:r>
      <w:r>
        <w:rPr>
          <w:rFonts w:ascii="Times New Roman" w:hAnsi="Times New Roman"/>
          <w:color w:val="auto"/>
        </w:rPr>
        <w:t>16</w:t>
      </w:r>
      <w:r>
        <w:rPr>
          <w:color w:val="auto"/>
        </w:rPr>
        <w:t>日</w:t>
      </w:r>
      <w:r>
        <w:rPr>
          <w:rFonts w:ascii="Times New Roman" w:hAnsi="Times New Roman"/>
          <w:color w:val="auto"/>
        </w:rPr>
        <w:t>~2020</w:t>
      </w:r>
      <w:r>
        <w:rPr>
          <w:color w:val="auto"/>
        </w:rPr>
        <w:t>年</w:t>
      </w:r>
      <w:r>
        <w:rPr>
          <w:rFonts w:ascii="Times New Roman" w:hAnsi="Times New Roman"/>
          <w:color w:val="auto"/>
        </w:rPr>
        <w:t>03</w:t>
      </w:r>
      <w:r>
        <w:rPr>
          <w:color w:val="auto"/>
        </w:rPr>
        <w:t>月</w:t>
      </w:r>
      <w:r>
        <w:rPr>
          <w:rFonts w:ascii="Times New Roman" w:hAnsi="Times New Roman"/>
          <w:color w:val="auto"/>
        </w:rPr>
        <w:t>18</w:t>
      </w:r>
      <w:r>
        <w:rPr>
          <w:color w:val="auto"/>
        </w:rPr>
        <w:t>日</w:t>
      </w:r>
      <w:r>
        <w:rPr>
          <w:rFonts w:ascii="Times New Roman" w:hAnsi="Times New Roman"/>
          <w:color w:val="auto"/>
          <w:szCs w:val="24"/>
        </w:rPr>
        <w:t>，监测点位示意图见图4.3-1，监测结果见表4-6。</w:t>
      </w:r>
    </w:p>
    <w:p>
      <w:pPr>
        <w:ind w:firstLine="480"/>
        <w:rPr>
          <w:rFonts w:ascii="Times New Roman" w:hAnsi="Times New Roman"/>
          <w:color w:val="auto"/>
          <w:szCs w:val="24"/>
        </w:rPr>
      </w:pPr>
      <w:r>
        <w:rPr>
          <w:rFonts w:ascii="Times New Roman" w:hAnsi="Times New Roman"/>
          <w:color w:val="auto"/>
          <w:szCs w:val="24"/>
        </w:rPr>
        <w:drawing>
          <wp:inline distT="0" distB="0" distL="0" distR="0">
            <wp:extent cx="4829175" cy="3752850"/>
            <wp:effectExtent l="19050" t="0" r="952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45" cstate="print"/>
                    <a:srcRect/>
                    <a:stretch>
                      <a:fillRect/>
                    </a:stretch>
                  </pic:blipFill>
                  <pic:spPr>
                    <a:xfrm>
                      <a:off x="0" y="0"/>
                      <a:ext cx="4829175" cy="3752850"/>
                    </a:xfrm>
                    <a:prstGeom prst="rect">
                      <a:avLst/>
                    </a:prstGeom>
                    <a:noFill/>
                    <a:ln w="9525">
                      <a:noFill/>
                      <a:miter lim="800000"/>
                      <a:headEnd/>
                      <a:tailEnd/>
                    </a:ln>
                  </pic:spPr>
                </pic:pic>
              </a:graphicData>
            </a:graphic>
          </wp:inline>
        </w:drawing>
      </w:r>
    </w:p>
    <w:p>
      <w:pPr>
        <w:ind w:firstLine="480"/>
        <w:jc w:val="center"/>
        <w:rPr>
          <w:rFonts w:ascii="Times New Roman" w:hAnsi="Times New Roman"/>
          <w:color w:val="auto"/>
          <w:szCs w:val="24"/>
        </w:rPr>
      </w:pPr>
      <w:r>
        <w:rPr>
          <w:rFonts w:ascii="Times New Roman" w:hAnsi="Times New Roman"/>
          <w:color w:val="auto"/>
          <w:szCs w:val="24"/>
        </w:rPr>
        <w:t>图4</w:t>
      </w:r>
      <w:r>
        <w:rPr>
          <w:rFonts w:hint="eastAsia" w:ascii="Times New Roman" w:hAnsi="Times New Roman"/>
          <w:color w:val="auto"/>
          <w:szCs w:val="24"/>
        </w:rPr>
        <w:t>-2 监测点位图</w:t>
      </w:r>
    </w:p>
    <w:p>
      <w:pPr>
        <w:ind w:firstLine="480"/>
        <w:rPr>
          <w:rFonts w:ascii="Times New Roman" w:hAnsi="Times New Roman"/>
          <w:color w:val="auto"/>
          <w:szCs w:val="24"/>
        </w:rPr>
      </w:pPr>
      <w:r>
        <w:rPr>
          <w:rFonts w:ascii="Times New Roman" w:hAnsi="Times New Roman"/>
          <w:color w:val="auto"/>
          <w:szCs w:val="24"/>
        </w:rPr>
        <w:t>（1）评价标准</w:t>
      </w:r>
    </w:p>
    <w:p>
      <w:pPr>
        <w:ind w:firstLine="480"/>
        <w:rPr>
          <w:rFonts w:ascii="Times New Roman" w:hAnsi="Times New Roman"/>
          <w:color w:val="auto"/>
          <w:szCs w:val="24"/>
        </w:rPr>
      </w:pPr>
      <w:r>
        <w:rPr>
          <w:rFonts w:ascii="Times New Roman" w:hAnsi="Times New Roman"/>
          <w:color w:val="auto"/>
          <w:szCs w:val="24"/>
        </w:rPr>
        <w:t>根据水环境功能区划，本项目附近地表水采用《地表水环境质量标准》（GB3838-2002）中的</w:t>
      </w:r>
      <w:r>
        <w:rPr>
          <w:rFonts w:hint="eastAsia" w:cs="宋体"/>
          <w:color w:val="auto"/>
          <w:szCs w:val="24"/>
        </w:rPr>
        <w:t>Ⅲ</w:t>
      </w:r>
      <w:r>
        <w:rPr>
          <w:rFonts w:ascii="Times New Roman" w:hAnsi="Times New Roman"/>
          <w:color w:val="auto"/>
          <w:szCs w:val="24"/>
        </w:rPr>
        <w:t>水环境功能区对应标准评价。</w:t>
      </w:r>
    </w:p>
    <w:p>
      <w:pPr>
        <w:ind w:firstLine="480"/>
        <w:rPr>
          <w:rFonts w:ascii="Times New Roman" w:hAnsi="Times New Roman"/>
          <w:color w:val="auto"/>
          <w:szCs w:val="24"/>
        </w:rPr>
      </w:pPr>
      <w:r>
        <w:rPr>
          <w:rFonts w:ascii="Times New Roman" w:hAnsi="Times New Roman"/>
          <w:color w:val="auto"/>
          <w:szCs w:val="24"/>
        </w:rPr>
        <w:t>（2）评价方法</w:t>
      </w:r>
    </w:p>
    <w:p>
      <w:pPr>
        <w:ind w:firstLine="480"/>
        <w:rPr>
          <w:rFonts w:ascii="Times New Roman" w:hAnsi="Times New Roman"/>
          <w:color w:val="auto"/>
          <w:szCs w:val="24"/>
        </w:rPr>
      </w:pPr>
      <w:r>
        <w:rPr>
          <w:rFonts w:ascii="Times New Roman" w:hAnsi="Times New Roman"/>
          <w:color w:val="auto"/>
          <w:szCs w:val="24"/>
        </w:rPr>
        <w:t>评价方法根据《环境影响评价技术导则－地表水环境》（HJ2.3-2018）推荐的单因子比值法，对各污染物的污染状况作出评价。</w:t>
      </w:r>
    </w:p>
    <w:p>
      <w:pPr>
        <w:ind w:firstLine="480"/>
        <w:rPr>
          <w:rFonts w:ascii="Times New Roman" w:hAnsi="Times New Roman"/>
          <w:color w:val="auto"/>
          <w:szCs w:val="24"/>
        </w:rPr>
      </w:pPr>
      <w:r>
        <w:rPr>
          <w:rFonts w:ascii="Times New Roman" w:hAnsi="Times New Roman"/>
          <w:color w:val="auto"/>
          <w:szCs w:val="24"/>
        </w:rPr>
        <w:t>单项水质评价因子i在第j取样点的标准指数：</w:t>
      </w:r>
    </w:p>
    <w:p>
      <w:pPr>
        <w:ind w:firstLine="480"/>
        <w:jc w:val="center"/>
        <w:rPr>
          <w:rFonts w:ascii="Times New Roman" w:hAnsi="Times New Roman"/>
          <w:color w:val="auto"/>
          <w:szCs w:val="24"/>
        </w:rPr>
      </w:pPr>
      <w:r>
        <w:rPr>
          <w:rFonts w:ascii="Times New Roman" w:hAnsi="Times New Roman"/>
          <w:color w:val="auto"/>
          <w:szCs w:val="24"/>
        </w:rPr>
        <w:t>S</w:t>
      </w:r>
      <w:r>
        <w:rPr>
          <w:rFonts w:ascii="Times New Roman" w:hAnsi="Times New Roman"/>
          <w:color w:val="auto"/>
          <w:szCs w:val="24"/>
          <w:vertAlign w:val="subscript"/>
        </w:rPr>
        <w:t>ij</w:t>
      </w:r>
      <w:r>
        <w:rPr>
          <w:rFonts w:ascii="Times New Roman" w:hAnsi="Times New Roman"/>
          <w:color w:val="auto"/>
          <w:szCs w:val="24"/>
        </w:rPr>
        <w:t>=C</w:t>
      </w:r>
      <w:r>
        <w:rPr>
          <w:rFonts w:ascii="Times New Roman" w:hAnsi="Times New Roman"/>
          <w:color w:val="auto"/>
          <w:szCs w:val="24"/>
          <w:vertAlign w:val="subscript"/>
        </w:rPr>
        <w:t>ij</w:t>
      </w:r>
      <w:r>
        <w:rPr>
          <w:rFonts w:ascii="Times New Roman" w:hAnsi="Times New Roman"/>
          <w:color w:val="auto"/>
          <w:szCs w:val="24"/>
        </w:rPr>
        <w:t>/C</w:t>
      </w:r>
      <w:r>
        <w:rPr>
          <w:rFonts w:ascii="Times New Roman" w:hAnsi="Times New Roman"/>
          <w:color w:val="auto"/>
          <w:szCs w:val="24"/>
          <w:vertAlign w:val="subscript"/>
        </w:rPr>
        <w:t>si</w:t>
      </w:r>
    </w:p>
    <w:p>
      <w:pPr>
        <w:widowControl/>
        <w:ind w:firstLine="480"/>
        <w:jc w:val="left"/>
        <w:rPr>
          <w:rFonts w:ascii="Times New Roman" w:hAnsi="Times New Roman"/>
          <w:color w:val="auto"/>
          <w:szCs w:val="24"/>
        </w:rPr>
      </w:pPr>
      <w:r>
        <w:rPr>
          <w:rFonts w:ascii="Times New Roman" w:hAnsi="Times New Roman"/>
          <w:color w:val="auto"/>
          <w:szCs w:val="24"/>
        </w:rPr>
        <w:t>式中：C</w:t>
      </w:r>
      <w:r>
        <w:rPr>
          <w:rFonts w:ascii="Times New Roman" w:hAnsi="Times New Roman"/>
          <w:color w:val="auto"/>
          <w:szCs w:val="24"/>
          <w:vertAlign w:val="subscript"/>
        </w:rPr>
        <w:t>ij</w:t>
      </w:r>
      <w:r>
        <w:rPr>
          <w:rFonts w:ascii="Times New Roman" w:hAnsi="Times New Roman"/>
          <w:color w:val="auto"/>
          <w:szCs w:val="24"/>
        </w:rPr>
        <w:t>——水质评价因子i在第j取样点的浓度，mg/L；</w:t>
      </w:r>
    </w:p>
    <w:p>
      <w:pPr>
        <w:widowControl/>
        <w:ind w:firstLine="720" w:firstLineChars="300"/>
        <w:jc w:val="left"/>
        <w:rPr>
          <w:rFonts w:ascii="Times New Roman" w:hAnsi="Times New Roman"/>
          <w:color w:val="auto"/>
          <w:szCs w:val="24"/>
        </w:rPr>
      </w:pPr>
      <w:r>
        <w:rPr>
          <w:rFonts w:ascii="Times New Roman" w:hAnsi="Times New Roman"/>
          <w:color w:val="auto"/>
          <w:szCs w:val="24"/>
        </w:rPr>
        <w:t>Csi——因子的评价标准。</w:t>
      </w:r>
    </w:p>
    <w:p>
      <w:pPr>
        <w:ind w:firstLine="480"/>
        <w:rPr>
          <w:rFonts w:ascii="Times New Roman" w:hAnsi="Times New Roman"/>
          <w:color w:val="auto"/>
          <w:szCs w:val="24"/>
        </w:rPr>
      </w:pPr>
      <w:r>
        <w:rPr>
          <w:rFonts w:ascii="Times New Roman" w:hAnsi="Times New Roman"/>
          <w:color w:val="auto"/>
          <w:szCs w:val="24"/>
        </w:rPr>
        <w:t>DO 的标准指数为：</w:t>
      </w:r>
    </w:p>
    <w:p>
      <w:pPr>
        <w:ind w:firstLine="480"/>
        <w:jc w:val="center"/>
        <w:rPr>
          <w:rFonts w:ascii="Times New Roman" w:hAnsi="Times New Roman"/>
          <w:color w:val="auto"/>
          <w:szCs w:val="24"/>
        </w:rPr>
      </w:pPr>
      <w:r>
        <w:rPr>
          <w:rFonts w:ascii="Times New Roman" w:hAnsi="Times New Roman"/>
          <w:color w:val="auto"/>
          <w:szCs w:val="24"/>
        </w:rPr>
        <w:drawing>
          <wp:inline distT="0" distB="0" distL="0" distR="0">
            <wp:extent cx="4076700" cy="1304925"/>
            <wp:effectExtent l="19050" t="0" r="0" b="0"/>
            <wp:docPr id="1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3"/>
                    <pic:cNvPicPr>
                      <a:picLocks noChangeAspect="1" noChangeArrowheads="1"/>
                    </pic:cNvPicPr>
                  </pic:nvPicPr>
                  <pic:blipFill>
                    <a:blip r:embed="rId46" cstate="print"/>
                    <a:srcRect/>
                    <a:stretch>
                      <a:fillRect/>
                    </a:stretch>
                  </pic:blipFill>
                  <pic:spPr>
                    <a:xfrm>
                      <a:off x="0" y="0"/>
                      <a:ext cx="4076700" cy="1304925"/>
                    </a:xfrm>
                    <a:prstGeom prst="rect">
                      <a:avLst/>
                    </a:prstGeom>
                    <a:noFill/>
                    <a:ln w="9525">
                      <a:noFill/>
                      <a:miter lim="800000"/>
                      <a:headEnd/>
                      <a:tailEnd/>
                    </a:ln>
                  </pic:spPr>
                </pic:pic>
              </a:graphicData>
            </a:graphic>
          </wp:inline>
        </w:drawing>
      </w:r>
    </w:p>
    <w:p>
      <w:pPr>
        <w:widowControl/>
        <w:ind w:firstLine="480"/>
        <w:jc w:val="left"/>
        <w:rPr>
          <w:rFonts w:ascii="Times New Roman" w:hAnsi="Times New Roman"/>
          <w:color w:val="auto"/>
          <w:szCs w:val="24"/>
        </w:rPr>
      </w:pPr>
      <w:r>
        <w:rPr>
          <w:rFonts w:ascii="Times New Roman" w:hAnsi="Times New Roman"/>
          <w:color w:val="auto"/>
          <w:szCs w:val="24"/>
        </w:rPr>
        <w:t>式中：DOf—饱和溶解氧浓度，mg/L；</w:t>
      </w:r>
    </w:p>
    <w:p>
      <w:pPr>
        <w:widowControl/>
        <w:ind w:firstLine="480"/>
        <w:jc w:val="left"/>
        <w:rPr>
          <w:rFonts w:ascii="Times New Roman" w:hAnsi="Times New Roman"/>
          <w:color w:val="auto"/>
          <w:szCs w:val="24"/>
        </w:rPr>
      </w:pPr>
      <w:r>
        <w:rPr>
          <w:rFonts w:ascii="Times New Roman" w:hAnsi="Times New Roman"/>
          <w:color w:val="auto"/>
          <w:szCs w:val="24"/>
        </w:rPr>
        <w:t>DOj—j点测定的溶解氧浓度，mg/L；</w:t>
      </w:r>
    </w:p>
    <w:p>
      <w:pPr>
        <w:widowControl/>
        <w:ind w:firstLine="480"/>
        <w:jc w:val="left"/>
        <w:rPr>
          <w:rFonts w:ascii="Times New Roman" w:hAnsi="Times New Roman"/>
          <w:color w:val="auto"/>
          <w:szCs w:val="24"/>
        </w:rPr>
      </w:pPr>
      <w:r>
        <w:rPr>
          <w:rFonts w:ascii="Times New Roman" w:hAnsi="Times New Roman"/>
          <w:color w:val="auto"/>
          <w:szCs w:val="24"/>
        </w:rPr>
        <w:t>DOs—溶解氧的地表水质标准值，mg/L；</w:t>
      </w:r>
    </w:p>
    <w:p>
      <w:pPr>
        <w:widowControl/>
        <w:ind w:firstLine="480"/>
        <w:jc w:val="left"/>
        <w:rPr>
          <w:rFonts w:ascii="Times New Roman" w:hAnsi="Times New Roman"/>
          <w:color w:val="auto"/>
          <w:szCs w:val="24"/>
        </w:rPr>
      </w:pPr>
      <w:r>
        <w:rPr>
          <w:rFonts w:ascii="Times New Roman" w:hAnsi="Times New Roman"/>
          <w:color w:val="auto"/>
          <w:szCs w:val="24"/>
        </w:rPr>
        <w:t>T—监测时温度，</w:t>
      </w:r>
      <w:r>
        <w:rPr>
          <w:rFonts w:hint="eastAsia" w:cs="宋体"/>
          <w:color w:val="auto"/>
          <w:szCs w:val="24"/>
        </w:rPr>
        <w:t>℃</w:t>
      </w:r>
      <w:r>
        <w:rPr>
          <w:rFonts w:ascii="Times New Roman" w:hAnsi="Times New Roman"/>
          <w:color w:val="auto"/>
          <w:szCs w:val="24"/>
        </w:rPr>
        <w:t>。</w:t>
      </w:r>
    </w:p>
    <w:p>
      <w:pPr>
        <w:widowControl/>
        <w:ind w:firstLine="480"/>
        <w:jc w:val="left"/>
        <w:rPr>
          <w:rFonts w:ascii="Times New Roman" w:hAnsi="Times New Roman"/>
          <w:color w:val="auto"/>
          <w:szCs w:val="24"/>
        </w:rPr>
      </w:pPr>
      <w:r>
        <w:rPr>
          <w:rFonts w:ascii="Times New Roman" w:hAnsi="Times New Roman"/>
          <w:color w:val="auto"/>
          <w:szCs w:val="24"/>
        </w:rPr>
        <w:t>pH的评价标准指数为：</w:t>
      </w:r>
    </w:p>
    <w:p>
      <w:pPr>
        <w:widowControl/>
        <w:ind w:firstLine="420"/>
        <w:jc w:val="center"/>
        <w:rPr>
          <w:rFonts w:ascii="Times New Roman" w:hAnsi="Times New Roman"/>
          <w:color w:val="auto"/>
        </w:rPr>
      </w:pPr>
      <w:r>
        <w:rPr>
          <w:rFonts w:ascii="Times New Roman" w:hAnsi="Times New Roman"/>
          <w:color w:val="auto"/>
          <w:sz w:val="21"/>
          <w:szCs w:val="24"/>
        </w:rPr>
        <w:drawing>
          <wp:inline distT="0" distB="0" distL="0" distR="0">
            <wp:extent cx="4895850" cy="2019300"/>
            <wp:effectExtent l="19050" t="0" r="0" b="0"/>
            <wp:docPr id="1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4"/>
                    <pic:cNvPicPr>
                      <a:picLocks noChangeAspect="1" noChangeArrowheads="1"/>
                    </pic:cNvPicPr>
                  </pic:nvPicPr>
                  <pic:blipFill>
                    <a:blip r:embed="rId47" cstate="print"/>
                    <a:srcRect/>
                    <a:stretch>
                      <a:fillRect/>
                    </a:stretch>
                  </pic:blipFill>
                  <pic:spPr>
                    <a:xfrm>
                      <a:off x="0" y="0"/>
                      <a:ext cx="4895850" cy="2019300"/>
                    </a:xfrm>
                    <a:prstGeom prst="rect">
                      <a:avLst/>
                    </a:prstGeom>
                    <a:noFill/>
                    <a:ln w="9525">
                      <a:noFill/>
                      <a:miter lim="800000"/>
                      <a:headEnd/>
                      <a:tailEnd/>
                    </a:ln>
                  </pic:spPr>
                </pic:pic>
              </a:graphicData>
            </a:graphic>
          </wp:inline>
        </w:drawing>
      </w:r>
    </w:p>
    <w:p>
      <w:pPr>
        <w:ind w:firstLine="480"/>
        <w:rPr>
          <w:rFonts w:ascii="Times New Roman" w:hAnsi="Times New Roman"/>
          <w:color w:val="auto"/>
          <w:szCs w:val="24"/>
        </w:rPr>
      </w:pPr>
      <w:r>
        <w:rPr>
          <w:rFonts w:ascii="Times New Roman" w:hAnsi="Times New Roman"/>
          <w:color w:val="auto"/>
          <w:szCs w:val="24"/>
        </w:rPr>
        <w:t>水质参数标准指数≤1，表明该因子符合水质评价标准，满足功能区使用要求；标准指数&gt;1，表明该因子超过了水质评价标准，已经不能满足规定的水质标准，也说明水质已受到该因子污染，指数值越大，污染程度越重。</w:t>
      </w:r>
    </w:p>
    <w:p>
      <w:pPr>
        <w:ind w:firstLine="480"/>
        <w:rPr>
          <w:rFonts w:ascii="Times New Roman" w:hAnsi="Times New Roman"/>
          <w:color w:val="auto"/>
          <w:szCs w:val="24"/>
        </w:rPr>
      </w:pPr>
      <w:r>
        <w:rPr>
          <w:rFonts w:ascii="Times New Roman" w:hAnsi="Times New Roman"/>
          <w:color w:val="auto"/>
          <w:szCs w:val="24"/>
        </w:rPr>
        <w:t>（3）监测结果</w:t>
      </w:r>
    </w:p>
    <w:p>
      <w:pPr>
        <w:numPr>
          <w:ilvl w:val="0"/>
          <w:numId w:val="29"/>
        </w:numPr>
        <w:spacing w:line="240" w:lineRule="auto"/>
        <w:ind w:firstLineChars="0"/>
        <w:jc w:val="center"/>
        <w:rPr>
          <w:rFonts w:ascii="Times New Roman" w:hAnsi="Times New Roman"/>
          <w:b/>
          <w:color w:val="auto"/>
          <w:sz w:val="21"/>
        </w:rPr>
      </w:pPr>
      <w:r>
        <w:rPr>
          <w:rFonts w:ascii="Times New Roman" w:hAnsi="Times New Roman"/>
          <w:b/>
          <w:color w:val="auto"/>
          <w:sz w:val="21"/>
        </w:rPr>
        <w:t>地表水水质监测及评价结果</w:t>
      </w:r>
    </w:p>
    <w:p>
      <w:pPr>
        <w:spacing w:line="240" w:lineRule="auto"/>
        <w:ind w:firstLine="0" w:firstLineChars="0"/>
        <w:jc w:val="right"/>
        <w:rPr>
          <w:rFonts w:ascii="Times New Roman" w:hAnsi="Times New Roman"/>
          <w:b/>
          <w:color w:val="auto"/>
        </w:rPr>
      </w:pPr>
      <w:r>
        <w:rPr>
          <w:rFonts w:ascii="Times New Roman" w:hAnsi="Times New Roman"/>
          <w:b/>
          <w:color w:val="auto"/>
          <w:sz w:val="21"/>
          <w:szCs w:val="24"/>
        </w:rPr>
        <w:t>单位：除pH为无量纲外，其余均为mg/L</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5"/>
        <w:gridCol w:w="981"/>
        <w:gridCol w:w="959"/>
        <w:gridCol w:w="776"/>
        <w:gridCol w:w="746"/>
        <w:gridCol w:w="1083"/>
        <w:gridCol w:w="992"/>
        <w:gridCol w:w="1037"/>
        <w:gridCol w:w="1200"/>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tblHeader/>
          <w:jc w:val="center"/>
        </w:trPr>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采样</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位置</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采样</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时间</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化学</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需氧量</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石油类</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总磷</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pH</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color w:val="auto"/>
                <w:sz w:val="18"/>
                <w:szCs w:val="18"/>
              </w:rPr>
              <w:t>BOD</w:t>
            </w:r>
            <w:r>
              <w:rPr>
                <w:color w:val="auto"/>
                <w:sz w:val="18"/>
                <w:szCs w:val="18"/>
                <w:vertAlign w:val="subscript"/>
              </w:rPr>
              <w:t>5</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color w:val="auto"/>
                <w:sz w:val="18"/>
                <w:szCs w:val="18"/>
              </w:rPr>
              <w:t>高锰酸盐指数</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氨氮</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溶解氧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B</w:t>
            </w:r>
            <w:r>
              <w:rPr>
                <w:rFonts w:ascii="Times New Roman" w:hAnsi="Times New Roman"/>
                <w:color w:val="auto"/>
                <w:sz w:val="18"/>
                <w:szCs w:val="18"/>
              </w:rPr>
              <w:t>1</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2020.</w:t>
            </w:r>
            <w:r>
              <w:rPr>
                <w:rFonts w:hint="eastAsia" w:ascii="Times New Roman" w:hAnsi="Times New Roman"/>
                <w:color w:val="auto"/>
                <w:sz w:val="18"/>
                <w:szCs w:val="18"/>
              </w:rPr>
              <w:t>3</w:t>
            </w:r>
            <w:r>
              <w:rPr>
                <w:rFonts w:ascii="Times New Roman" w:hAnsi="Times New Roman"/>
                <w:color w:val="auto"/>
                <w:sz w:val="18"/>
                <w:szCs w:val="18"/>
              </w:rPr>
              <w:t>.</w:t>
            </w:r>
            <w:r>
              <w:rPr>
                <w:rFonts w:hint="eastAsia" w:ascii="Times New Roman" w:hAnsi="Times New Roman"/>
                <w:color w:val="auto"/>
                <w:sz w:val="18"/>
                <w:szCs w:val="18"/>
              </w:rPr>
              <w:t>1</w:t>
            </w:r>
            <w:r>
              <w:rPr>
                <w:rFonts w:ascii="Times New Roman" w:hAnsi="Times New Roman"/>
                <w:color w:val="auto"/>
                <w:sz w:val="18"/>
                <w:szCs w:val="18"/>
              </w:rPr>
              <w:t>6</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13</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0.14</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7.47</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6.17</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2.78</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18"/>
                <w:szCs w:val="18"/>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2020.</w:t>
            </w:r>
            <w:r>
              <w:rPr>
                <w:rFonts w:hint="eastAsia" w:ascii="Times New Roman" w:hAnsi="Times New Roman"/>
                <w:color w:val="auto"/>
                <w:sz w:val="18"/>
                <w:szCs w:val="18"/>
              </w:rPr>
              <w:t>3</w:t>
            </w:r>
            <w:r>
              <w:rPr>
                <w:rFonts w:ascii="Times New Roman" w:hAnsi="Times New Roman"/>
                <w:color w:val="auto"/>
                <w:sz w:val="18"/>
                <w:szCs w:val="18"/>
              </w:rPr>
              <w:t>.</w:t>
            </w:r>
            <w:r>
              <w:rPr>
                <w:rFonts w:hint="eastAsia" w:ascii="Times New Roman" w:hAnsi="Times New Roman"/>
                <w:color w:val="auto"/>
                <w:sz w:val="18"/>
                <w:szCs w:val="18"/>
              </w:rPr>
              <w:t>1</w:t>
            </w:r>
            <w:r>
              <w:rPr>
                <w:rFonts w:ascii="Times New Roman" w:hAnsi="Times New Roman"/>
                <w:color w:val="auto"/>
                <w:sz w:val="18"/>
                <w:szCs w:val="18"/>
              </w:rPr>
              <w:t>7</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14</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0.14</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7.46</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5.2</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5.9</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2.79</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18"/>
                <w:szCs w:val="18"/>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2020.</w:t>
            </w:r>
            <w:r>
              <w:rPr>
                <w:rFonts w:hint="eastAsia" w:ascii="Times New Roman" w:hAnsi="Times New Roman"/>
                <w:color w:val="auto"/>
                <w:sz w:val="18"/>
                <w:szCs w:val="18"/>
              </w:rPr>
              <w:t>3</w:t>
            </w:r>
            <w:r>
              <w:rPr>
                <w:rFonts w:ascii="Times New Roman" w:hAnsi="Times New Roman"/>
                <w:color w:val="auto"/>
                <w:sz w:val="18"/>
                <w:szCs w:val="18"/>
              </w:rPr>
              <w:t>.</w:t>
            </w:r>
            <w:r>
              <w:rPr>
                <w:rFonts w:hint="eastAsia" w:ascii="Times New Roman" w:hAnsi="Times New Roman"/>
                <w:color w:val="auto"/>
                <w:sz w:val="18"/>
                <w:szCs w:val="18"/>
              </w:rPr>
              <w:t>1</w:t>
            </w:r>
            <w:r>
              <w:rPr>
                <w:rFonts w:ascii="Times New Roman" w:hAnsi="Times New Roman"/>
                <w:color w:val="auto"/>
                <w:sz w:val="18"/>
                <w:szCs w:val="18"/>
              </w:rPr>
              <w:t>8</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16</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1.51</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7.61</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4.2</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5.82</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2.21</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18"/>
                <w:szCs w:val="18"/>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均值</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fldChar w:fldCharType="begin"/>
            </w:r>
            <w:r>
              <w:rPr>
                <w:rFonts w:ascii="Times New Roman" w:hAnsi="Times New Roman"/>
                <w:color w:val="auto"/>
                <w:sz w:val="18"/>
                <w:szCs w:val="18"/>
              </w:rPr>
              <w:instrText xml:space="preserve"> AVERAGE() </w:instrText>
            </w:r>
            <w:r>
              <w:rPr>
                <w:rFonts w:ascii="Times New Roman" w:hAnsi="Times New Roman"/>
                <w:color w:val="auto"/>
                <w:sz w:val="18"/>
                <w:szCs w:val="18"/>
              </w:rPr>
              <w:fldChar w:fldCharType="end"/>
            </w:r>
            <w:r>
              <w:rPr>
                <w:rFonts w:ascii="Times New Roman" w:hAnsi="Times New Roman"/>
                <w:color w:val="auto"/>
                <w:sz w:val="18"/>
                <w:szCs w:val="18"/>
              </w:rPr>
              <w:fldChar w:fldCharType="begin"/>
            </w:r>
            <w:r>
              <w:rPr>
                <w:rFonts w:ascii="Times New Roman" w:hAnsi="Times New Roman"/>
                <w:color w:val="auto"/>
                <w:sz w:val="18"/>
                <w:szCs w:val="18"/>
              </w:rPr>
              <w:instrText xml:space="preserve"> AVERAGE() </w:instrText>
            </w:r>
            <w:r>
              <w:rPr>
                <w:rFonts w:ascii="Times New Roman" w:hAnsi="Times New Roman"/>
                <w:color w:val="auto"/>
                <w:sz w:val="18"/>
                <w:szCs w:val="18"/>
              </w:rPr>
              <w:fldChar w:fldCharType="end"/>
            </w:r>
            <w:r>
              <w:rPr>
                <w:rFonts w:hint="eastAsia" w:ascii="Times New Roman" w:hAnsi="Times New Roman"/>
                <w:color w:val="auto"/>
                <w:sz w:val="18"/>
                <w:szCs w:val="18"/>
              </w:rPr>
              <w:t>14.3</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0.597</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7.51</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4.8</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5.96</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2.59</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B</w:t>
            </w:r>
            <w:r>
              <w:rPr>
                <w:rFonts w:ascii="Times New Roman" w:hAnsi="Times New Roman"/>
                <w:color w:val="auto"/>
                <w:sz w:val="18"/>
                <w:szCs w:val="18"/>
              </w:rPr>
              <w:t>2</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2020.</w:t>
            </w:r>
            <w:r>
              <w:rPr>
                <w:rFonts w:hint="eastAsia" w:ascii="Times New Roman" w:hAnsi="Times New Roman"/>
                <w:color w:val="auto"/>
                <w:sz w:val="18"/>
                <w:szCs w:val="18"/>
              </w:rPr>
              <w:t>3</w:t>
            </w:r>
            <w:r>
              <w:rPr>
                <w:rFonts w:ascii="Times New Roman" w:hAnsi="Times New Roman"/>
                <w:color w:val="auto"/>
                <w:sz w:val="18"/>
                <w:szCs w:val="18"/>
              </w:rPr>
              <w:t>.</w:t>
            </w:r>
            <w:r>
              <w:rPr>
                <w:rFonts w:hint="eastAsia" w:ascii="Times New Roman" w:hAnsi="Times New Roman"/>
                <w:color w:val="auto"/>
                <w:sz w:val="18"/>
                <w:szCs w:val="18"/>
              </w:rPr>
              <w:t>1</w:t>
            </w:r>
            <w:r>
              <w:rPr>
                <w:rFonts w:ascii="Times New Roman" w:hAnsi="Times New Roman"/>
                <w:color w:val="auto"/>
                <w:sz w:val="18"/>
                <w:szCs w:val="18"/>
              </w:rPr>
              <w:t>6</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15</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0.36</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7.39</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7.2</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5.90</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2.43</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18"/>
                <w:szCs w:val="18"/>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2020.</w:t>
            </w:r>
            <w:r>
              <w:rPr>
                <w:rFonts w:hint="eastAsia" w:ascii="Times New Roman" w:hAnsi="Times New Roman"/>
                <w:color w:val="auto"/>
                <w:sz w:val="18"/>
                <w:szCs w:val="18"/>
              </w:rPr>
              <w:t>3</w:t>
            </w:r>
            <w:r>
              <w:rPr>
                <w:rFonts w:ascii="Times New Roman" w:hAnsi="Times New Roman"/>
                <w:color w:val="auto"/>
                <w:sz w:val="18"/>
                <w:szCs w:val="18"/>
              </w:rPr>
              <w:t>.</w:t>
            </w:r>
            <w:r>
              <w:rPr>
                <w:rFonts w:hint="eastAsia" w:ascii="Times New Roman" w:hAnsi="Times New Roman"/>
                <w:color w:val="auto"/>
                <w:sz w:val="18"/>
                <w:szCs w:val="18"/>
              </w:rPr>
              <w:t>1</w:t>
            </w:r>
            <w:r>
              <w:rPr>
                <w:rFonts w:ascii="Times New Roman" w:hAnsi="Times New Roman"/>
                <w:color w:val="auto"/>
                <w:sz w:val="18"/>
                <w:szCs w:val="18"/>
              </w:rPr>
              <w:t>7</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15</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0.36</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7.51</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6.0</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5.37</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2.74</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18"/>
                <w:szCs w:val="18"/>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2020.</w:t>
            </w:r>
            <w:r>
              <w:rPr>
                <w:rFonts w:hint="eastAsia" w:ascii="Times New Roman" w:hAnsi="Times New Roman"/>
                <w:color w:val="auto"/>
                <w:sz w:val="18"/>
                <w:szCs w:val="18"/>
              </w:rPr>
              <w:t>3</w:t>
            </w:r>
            <w:r>
              <w:rPr>
                <w:rFonts w:ascii="Times New Roman" w:hAnsi="Times New Roman"/>
                <w:color w:val="auto"/>
                <w:sz w:val="18"/>
                <w:szCs w:val="18"/>
              </w:rPr>
              <w:t>.</w:t>
            </w:r>
            <w:r>
              <w:rPr>
                <w:rFonts w:hint="eastAsia" w:ascii="Times New Roman" w:hAnsi="Times New Roman"/>
                <w:color w:val="auto"/>
                <w:sz w:val="18"/>
                <w:szCs w:val="18"/>
              </w:rPr>
              <w:t>1</w:t>
            </w:r>
            <w:r>
              <w:rPr>
                <w:rFonts w:ascii="Times New Roman" w:hAnsi="Times New Roman"/>
                <w:color w:val="auto"/>
                <w:sz w:val="18"/>
                <w:szCs w:val="18"/>
              </w:rPr>
              <w:t>8</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13</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0.51</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7.56</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4.7</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5.17</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2.68</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2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18"/>
                <w:szCs w:val="18"/>
              </w:rPr>
            </w:pP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均值</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14.3</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w:t>
            </w:r>
            <w:r>
              <w:rPr>
                <w:rFonts w:hint="eastAsia" w:ascii="Times New Roman" w:hAnsi="Times New Roman"/>
                <w:color w:val="auto"/>
                <w:sz w:val="18"/>
                <w:szCs w:val="18"/>
              </w:rPr>
              <w:t>0.01</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0.41</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7.49</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5.97</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5.48</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2.62</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8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Ⅳ</w:t>
            </w:r>
            <w:r>
              <w:rPr>
                <w:rFonts w:ascii="Times New Roman" w:hAnsi="Times New Roman"/>
                <w:color w:val="auto"/>
                <w:sz w:val="18"/>
                <w:szCs w:val="18"/>
              </w:rPr>
              <w:t>类标准</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3</w:t>
            </w:r>
            <w:r>
              <w:rPr>
                <w:rFonts w:ascii="Times New Roman" w:hAnsi="Times New Roman"/>
                <w:color w:val="auto"/>
                <w:sz w:val="18"/>
                <w:szCs w:val="18"/>
              </w:rPr>
              <w:t>0</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≤0.5</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≤0.3</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6～9</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6</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10</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≤1.5</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8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是否达标</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c>
          <w:tcPr>
            <w:tcW w:w="67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达标</w:t>
            </w:r>
          </w:p>
        </w:tc>
      </w:tr>
    </w:tbl>
    <w:p>
      <w:pPr>
        <w:ind w:firstLine="480"/>
        <w:rPr>
          <w:rFonts w:ascii="Times New Roman" w:hAnsi="Times New Roman"/>
          <w:color w:val="auto"/>
          <w:szCs w:val="24"/>
        </w:rPr>
      </w:pPr>
      <w:r>
        <w:rPr>
          <w:rFonts w:ascii="Times New Roman" w:hAnsi="Times New Roman"/>
          <w:color w:val="auto"/>
          <w:szCs w:val="24"/>
        </w:rPr>
        <w:t>（4）评价结果</w:t>
      </w:r>
    </w:p>
    <w:p>
      <w:pPr>
        <w:pStyle w:val="187"/>
        <w:spacing w:line="360" w:lineRule="auto"/>
        <w:ind w:firstLine="480"/>
        <w:jc w:val="both"/>
        <w:rPr>
          <w:rFonts w:ascii="Times New Roman" w:hAnsi="Times New Roman" w:cs="Times New Roman"/>
          <w:color w:val="auto"/>
        </w:rPr>
      </w:pPr>
      <w:r>
        <w:rPr>
          <w:rFonts w:ascii="Times New Roman" w:hAnsi="Times New Roman"/>
          <w:color w:val="auto"/>
        </w:rPr>
        <w:t>对照《地表水环境质量标准》（GB3838-2002）水质标准，采用单因子评价方法，得出水质评价结果见表4-6。从各单项水质现状可以看出，本项目附近地表</w:t>
      </w:r>
      <w:r>
        <w:rPr>
          <w:rFonts w:hint="eastAsia" w:ascii="Times New Roman" w:hAnsi="Times New Roman"/>
          <w:color w:val="auto"/>
        </w:rPr>
        <w:t>除氨氮和总磷外</w:t>
      </w:r>
      <w:r>
        <w:rPr>
          <w:rFonts w:ascii="Times New Roman" w:hAnsi="Times New Roman"/>
          <w:color w:val="auto"/>
        </w:rPr>
        <w:t>，</w:t>
      </w:r>
      <w:r>
        <w:rPr>
          <w:rFonts w:hint="eastAsia" w:ascii="Times New Roman" w:hAnsi="Times New Roman"/>
          <w:color w:val="auto"/>
        </w:rPr>
        <w:t>其余因子均</w:t>
      </w:r>
      <w:r>
        <w:rPr>
          <w:rFonts w:ascii="Times New Roman" w:hAnsi="Times New Roman"/>
          <w:color w:val="auto"/>
        </w:rPr>
        <w:t>能</w:t>
      </w:r>
      <w:r>
        <w:rPr>
          <w:rFonts w:hint="eastAsia" w:ascii="Times New Roman" w:hAnsi="Times New Roman"/>
          <w:color w:val="auto"/>
        </w:rPr>
        <w:t>够</w:t>
      </w:r>
      <w:r>
        <w:rPr>
          <w:rFonts w:ascii="Times New Roman" w:hAnsi="Times New Roman"/>
          <w:color w:val="auto"/>
        </w:rPr>
        <w:t>满足</w:t>
      </w:r>
      <w:r>
        <w:rPr>
          <w:rFonts w:hint="eastAsia" w:ascii="Times New Roman" w:hAnsi="Times New Roman"/>
          <w:color w:val="auto"/>
        </w:rPr>
        <w:t>Ⅳ</w:t>
      </w:r>
      <w:r>
        <w:rPr>
          <w:rFonts w:ascii="Times New Roman" w:hAnsi="Times New Roman"/>
          <w:color w:val="auto"/>
        </w:rPr>
        <w:t>类地表水功能要求</w:t>
      </w:r>
      <w:r>
        <w:rPr>
          <w:rFonts w:hint="eastAsia" w:ascii="Times New Roman" w:hAnsi="Times New Roman"/>
          <w:color w:val="auto"/>
        </w:rPr>
        <w:t>，水体已受到一定程度的污染，主要原因可能是长期受沿线生活和农业污水的排放影响</w:t>
      </w:r>
      <w:r>
        <w:rPr>
          <w:rFonts w:ascii="Times New Roman" w:hAnsi="Times New Roman"/>
          <w:color w:val="auto"/>
        </w:rPr>
        <w:t>。</w:t>
      </w:r>
    </w:p>
    <w:p>
      <w:pPr>
        <w:pStyle w:val="4"/>
        <w:numPr>
          <w:ilvl w:val="0"/>
          <w:numId w:val="28"/>
        </w:numPr>
        <w:spacing w:beforeLines="0"/>
        <w:rPr>
          <w:rFonts w:ascii="Times New Roman" w:hAnsi="Times New Roman"/>
          <w:color w:val="auto"/>
          <w:sz w:val="24"/>
          <w:szCs w:val="24"/>
        </w:rPr>
      </w:pPr>
      <w:r>
        <w:rPr>
          <w:rFonts w:ascii="Times New Roman" w:hAnsi="Times New Roman"/>
          <w:color w:val="auto"/>
          <w:sz w:val="24"/>
          <w:szCs w:val="24"/>
        </w:rPr>
        <w:t>声环境质量现状监测与评价</w:t>
      </w:r>
    </w:p>
    <w:p>
      <w:pPr>
        <w:ind w:firstLine="480"/>
        <w:rPr>
          <w:rFonts w:ascii="Times New Roman" w:hAnsi="Times New Roman"/>
          <w:color w:val="auto"/>
        </w:rPr>
      </w:pPr>
      <w:r>
        <w:rPr>
          <w:rFonts w:ascii="Times New Roman" w:hAnsi="Times New Roman"/>
          <w:color w:val="auto"/>
          <w:szCs w:val="24"/>
        </w:rPr>
        <w:t>本项目位于</w:t>
      </w:r>
      <w:r>
        <w:rPr>
          <w:rFonts w:ascii="Times New Roman" w:hAnsi="Times New Roman"/>
          <w:color w:val="auto"/>
        </w:rPr>
        <w:t>温州市龙港</w:t>
      </w:r>
      <w:r>
        <w:rPr>
          <w:rFonts w:hint="eastAsia" w:ascii="Times New Roman" w:hAnsi="Times New Roman"/>
          <w:color w:val="auto"/>
        </w:rPr>
        <w:t>临港产业基地启动区东塘路385-441号内4号楼</w:t>
      </w:r>
      <w:r>
        <w:rPr>
          <w:rFonts w:ascii="Times New Roman" w:hAnsi="Times New Roman"/>
          <w:color w:val="auto"/>
        </w:rPr>
        <w:t>厂房，根据项目所处声环境功能区域，参考《声环境质量标准》(GB3096-2008)、《声环境功能区划分技术规范》(GB/T15190-2014)，确定项目所在地声环境为</w:t>
      </w:r>
      <w:r>
        <w:rPr>
          <w:rFonts w:hint="eastAsia" w:ascii="Times New Roman" w:hAnsi="Times New Roman"/>
          <w:color w:val="auto"/>
        </w:rPr>
        <w:t>3</w:t>
      </w:r>
      <w:r>
        <w:rPr>
          <w:rFonts w:ascii="Times New Roman" w:hAnsi="Times New Roman"/>
          <w:color w:val="auto"/>
        </w:rPr>
        <w:t>类声环境功能区，声环境执行《声环境质量标准》（GB3096-2008）中的</w:t>
      </w:r>
      <w:r>
        <w:rPr>
          <w:rFonts w:hint="eastAsia" w:ascii="Times New Roman" w:hAnsi="Times New Roman"/>
          <w:color w:val="auto"/>
        </w:rPr>
        <w:t>3</w:t>
      </w:r>
      <w:r>
        <w:rPr>
          <w:rFonts w:ascii="Times New Roman" w:hAnsi="Times New Roman"/>
          <w:color w:val="auto"/>
        </w:rPr>
        <w:t>类标准。为了解</w:t>
      </w:r>
      <w:r>
        <w:rPr>
          <w:rFonts w:hint="eastAsia" w:ascii="Times New Roman" w:hAnsi="Times New Roman"/>
          <w:color w:val="auto"/>
        </w:rPr>
        <w:t>项目</w:t>
      </w:r>
      <w:r>
        <w:rPr>
          <w:rFonts w:ascii="Times New Roman" w:hAnsi="Times New Roman"/>
          <w:color w:val="auto"/>
        </w:rPr>
        <w:t>所在地声环境质量现状，本单位</w:t>
      </w:r>
      <w:r>
        <w:rPr>
          <w:rFonts w:ascii="Times New Roman" w:hAnsi="Times New Roman"/>
          <w:color w:val="auto"/>
          <w:szCs w:val="24"/>
        </w:rPr>
        <w:t>于201</w:t>
      </w:r>
      <w:r>
        <w:rPr>
          <w:rFonts w:hint="eastAsia" w:ascii="Times New Roman" w:hAnsi="Times New Roman"/>
          <w:color w:val="auto"/>
          <w:szCs w:val="24"/>
        </w:rPr>
        <w:t>9</w:t>
      </w:r>
      <w:r>
        <w:rPr>
          <w:rFonts w:ascii="Times New Roman" w:hAnsi="Times New Roman"/>
          <w:color w:val="auto"/>
          <w:szCs w:val="24"/>
        </w:rPr>
        <w:t>年</w:t>
      </w:r>
      <w:r>
        <w:rPr>
          <w:rFonts w:hint="eastAsia" w:ascii="Times New Roman" w:hAnsi="Times New Roman"/>
          <w:color w:val="auto"/>
          <w:szCs w:val="24"/>
        </w:rPr>
        <w:t>12</w:t>
      </w:r>
      <w:r>
        <w:rPr>
          <w:rFonts w:ascii="Times New Roman" w:hAnsi="Times New Roman"/>
          <w:color w:val="auto"/>
          <w:szCs w:val="24"/>
        </w:rPr>
        <w:t>月</w:t>
      </w:r>
      <w:r>
        <w:rPr>
          <w:rFonts w:hint="eastAsia" w:ascii="Times New Roman" w:hAnsi="Times New Roman"/>
          <w:color w:val="auto"/>
          <w:szCs w:val="24"/>
        </w:rPr>
        <w:t>10</w:t>
      </w:r>
      <w:r>
        <w:rPr>
          <w:rFonts w:ascii="Times New Roman" w:hAnsi="Times New Roman"/>
          <w:color w:val="auto"/>
          <w:szCs w:val="24"/>
        </w:rPr>
        <w:t>日在项目所在</w:t>
      </w:r>
      <w:r>
        <w:rPr>
          <w:rFonts w:hint="eastAsia" w:ascii="Times New Roman" w:hAnsi="Times New Roman"/>
          <w:color w:val="auto"/>
          <w:szCs w:val="24"/>
        </w:rPr>
        <w:t>地</w:t>
      </w:r>
      <w:r>
        <w:rPr>
          <w:rFonts w:hint="eastAsia" w:ascii="Times New Roman" w:hAnsi="Times New Roman"/>
          <w:color w:val="auto"/>
          <w:spacing w:val="-2"/>
        </w:rPr>
        <w:t>进行</w:t>
      </w:r>
      <w:r>
        <w:rPr>
          <w:rFonts w:ascii="Times New Roman" w:hAnsi="Times New Roman"/>
          <w:color w:val="auto"/>
          <w:spacing w:val="-2"/>
        </w:rPr>
        <w:t>了</w:t>
      </w:r>
      <w:r>
        <w:rPr>
          <w:rFonts w:ascii="Times New Roman" w:hAnsi="Times New Roman"/>
          <w:color w:val="auto"/>
        </w:rPr>
        <w:t>昼</w:t>
      </w:r>
      <w:r>
        <w:rPr>
          <w:rFonts w:hint="eastAsia" w:ascii="Times New Roman" w:hAnsi="Times New Roman"/>
          <w:color w:val="auto"/>
        </w:rPr>
        <w:t>、</w:t>
      </w:r>
      <w:r>
        <w:rPr>
          <w:rFonts w:ascii="Times New Roman" w:hAnsi="Times New Roman"/>
          <w:color w:val="auto"/>
        </w:rPr>
        <w:t>夜间噪声布点监测。</w:t>
      </w:r>
    </w:p>
    <w:p>
      <w:pPr>
        <w:ind w:firstLine="480"/>
        <w:jc w:val="left"/>
        <w:rPr>
          <w:rFonts w:ascii="Times New Roman" w:hAnsi="Times New Roman"/>
          <w:color w:val="auto"/>
        </w:rPr>
      </w:pPr>
      <w:r>
        <w:rPr>
          <w:rFonts w:hint="eastAsia" w:ascii="Times New Roman" w:hAnsi="Times New Roman"/>
          <w:color w:val="auto"/>
        </w:rPr>
        <w:t>（1）</w:t>
      </w:r>
      <w:r>
        <w:rPr>
          <w:rFonts w:ascii="Times New Roman" w:hAnsi="Times New Roman"/>
          <w:color w:val="auto"/>
        </w:rPr>
        <w:t>监测布点</w:t>
      </w:r>
    </w:p>
    <w:p>
      <w:pPr>
        <w:ind w:firstLine="480"/>
        <w:jc w:val="left"/>
        <w:rPr>
          <w:rFonts w:ascii="Times New Roman" w:hAnsi="Times New Roman"/>
          <w:color w:val="auto"/>
        </w:rPr>
      </w:pPr>
      <w:r>
        <w:rPr>
          <w:rFonts w:ascii="Times New Roman" w:hAnsi="Times New Roman"/>
          <w:color w:val="auto"/>
        </w:rPr>
        <w:t>本次监测</w:t>
      </w:r>
      <w:r>
        <w:rPr>
          <w:rFonts w:hint="eastAsia" w:ascii="Times New Roman" w:hAnsi="Times New Roman"/>
          <w:color w:val="auto"/>
        </w:rPr>
        <w:t>在企业厂界</w:t>
      </w:r>
      <w:r>
        <w:rPr>
          <w:rFonts w:ascii="Times New Roman" w:hAnsi="Times New Roman"/>
          <w:color w:val="auto"/>
        </w:rPr>
        <w:t>共布点</w:t>
      </w:r>
      <w:r>
        <w:rPr>
          <w:rFonts w:hint="eastAsia" w:ascii="Times New Roman" w:hAnsi="Times New Roman"/>
          <w:color w:val="auto"/>
        </w:rPr>
        <w:t>4</w:t>
      </w:r>
      <w:r>
        <w:rPr>
          <w:rFonts w:ascii="Times New Roman" w:hAnsi="Times New Roman"/>
          <w:color w:val="auto"/>
        </w:rPr>
        <w:t>个点位</w:t>
      </w:r>
      <w:r>
        <w:rPr>
          <w:rFonts w:hint="eastAsia" w:ascii="Times New Roman" w:hAnsi="Times New Roman"/>
          <w:color w:val="auto"/>
        </w:rPr>
        <w:t>，具体点位详见</w:t>
      </w:r>
      <w:r>
        <w:rPr>
          <w:rFonts w:ascii="Times New Roman" w:hAnsi="Times New Roman"/>
          <w:color w:val="auto"/>
        </w:rPr>
        <w:t>图</w:t>
      </w:r>
      <w:r>
        <w:rPr>
          <w:rFonts w:hint="eastAsia" w:ascii="Times New Roman" w:hAnsi="Times New Roman"/>
          <w:color w:val="auto"/>
        </w:rPr>
        <w:t>4-2。</w:t>
      </w:r>
    </w:p>
    <w:p>
      <w:pPr>
        <w:ind w:firstLine="480"/>
        <w:jc w:val="left"/>
        <w:rPr>
          <w:color w:val="auto"/>
        </w:rPr>
      </w:pPr>
      <w:r>
        <w:rPr>
          <w:color w:val="auto"/>
        </w:rPr>
        <w:drawing>
          <wp:anchor distT="0" distB="0" distL="114300" distR="114300" simplePos="0" relativeHeight="251658240" behindDoc="0" locked="0" layoutInCell="1" allowOverlap="1">
            <wp:simplePos x="0" y="0"/>
            <wp:positionH relativeFrom="column">
              <wp:posOffset>276225</wp:posOffset>
            </wp:positionH>
            <wp:positionV relativeFrom="paragraph">
              <wp:posOffset>132080</wp:posOffset>
            </wp:positionV>
            <wp:extent cx="2200275" cy="1533525"/>
            <wp:effectExtent l="19050" t="0" r="9525" b="0"/>
            <wp:wrapNone/>
            <wp:docPr id="3658" name="图片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 name="图片 3638"/>
                    <pic:cNvPicPr>
                      <a:picLocks noChangeAspect="1" noChangeArrowheads="1"/>
                    </pic:cNvPicPr>
                  </pic:nvPicPr>
                  <pic:blipFill>
                    <a:blip r:embed="rId48" cstate="print"/>
                    <a:srcRect/>
                    <a:stretch>
                      <a:fillRect/>
                    </a:stretch>
                  </pic:blipFill>
                  <pic:spPr>
                    <a:xfrm>
                      <a:off x="0" y="0"/>
                      <a:ext cx="2200275" cy="1533525"/>
                    </a:xfrm>
                    <a:prstGeom prst="rect">
                      <a:avLst/>
                    </a:prstGeom>
                    <a:noFill/>
                    <a:ln w="9525">
                      <a:noFill/>
                      <a:miter lim="800000"/>
                      <a:headEnd/>
                      <a:tailEnd/>
                    </a:ln>
                  </pic:spPr>
                </pic:pic>
              </a:graphicData>
            </a:graphic>
          </wp:anchor>
        </w:drawing>
      </w:r>
      <w:r>
        <w:rPr>
          <w:color w:val="auto"/>
        </w:rPr>
        <w:drawing>
          <wp:inline distT="0" distB="0" distL="0" distR="0">
            <wp:extent cx="4991100" cy="3933825"/>
            <wp:effectExtent l="1905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noChangeArrowheads="1"/>
                    </pic:cNvPicPr>
                  </pic:nvPicPr>
                  <pic:blipFill>
                    <a:blip r:embed="rId49" cstate="print"/>
                    <a:srcRect/>
                    <a:stretch>
                      <a:fillRect/>
                    </a:stretch>
                  </pic:blipFill>
                  <pic:spPr>
                    <a:xfrm>
                      <a:off x="0" y="0"/>
                      <a:ext cx="4991100" cy="3933825"/>
                    </a:xfrm>
                    <a:prstGeom prst="rect">
                      <a:avLst/>
                    </a:prstGeom>
                    <a:noFill/>
                    <a:ln w="9525">
                      <a:noFill/>
                      <a:miter lim="800000"/>
                      <a:headEnd/>
                      <a:tailEnd/>
                    </a:ln>
                  </pic:spPr>
                </pic:pic>
              </a:graphicData>
            </a:graphic>
          </wp:inline>
        </w:drawing>
      </w:r>
    </w:p>
    <w:p>
      <w:pPr>
        <w:ind w:firstLine="480"/>
        <w:jc w:val="center"/>
        <w:rPr>
          <w:rFonts w:ascii="Times New Roman" w:hAnsi="Times New Roman"/>
          <w:color w:val="auto"/>
        </w:rPr>
      </w:pPr>
      <w:r>
        <w:rPr>
          <w:rFonts w:hint="eastAsia"/>
          <w:color w:val="auto"/>
        </w:rPr>
        <w:t>图4-3  噪声监测点位图</w:t>
      </w:r>
    </w:p>
    <w:p>
      <w:pPr>
        <w:ind w:firstLine="480"/>
        <w:jc w:val="left"/>
        <w:rPr>
          <w:rFonts w:ascii="Times New Roman" w:hAnsi="Times New Roman"/>
          <w:color w:val="auto"/>
        </w:rPr>
      </w:pPr>
      <w:r>
        <w:rPr>
          <w:rFonts w:hint="eastAsia" w:ascii="Times New Roman" w:hAnsi="Times New Roman"/>
          <w:color w:val="auto"/>
        </w:rPr>
        <w:t>（2）</w:t>
      </w:r>
      <w:r>
        <w:rPr>
          <w:rFonts w:ascii="Times New Roman" w:hAnsi="Times New Roman"/>
          <w:color w:val="auto"/>
        </w:rPr>
        <w:t>监测内容</w:t>
      </w:r>
    </w:p>
    <w:p>
      <w:pPr>
        <w:ind w:firstLine="480"/>
        <w:jc w:val="left"/>
        <w:rPr>
          <w:rFonts w:ascii="Times New Roman" w:hAnsi="Times New Roman"/>
          <w:color w:val="auto"/>
        </w:rPr>
      </w:pPr>
      <w:r>
        <w:rPr>
          <w:rFonts w:ascii="Times New Roman" w:hAnsi="Times New Roman"/>
          <w:color w:val="auto"/>
        </w:rPr>
        <w:t>等效连续A声级。</w:t>
      </w:r>
    </w:p>
    <w:p>
      <w:pPr>
        <w:ind w:firstLine="480"/>
        <w:jc w:val="left"/>
        <w:rPr>
          <w:rFonts w:ascii="Times New Roman" w:hAnsi="Times New Roman"/>
          <w:color w:val="auto"/>
        </w:rPr>
      </w:pPr>
      <w:r>
        <w:rPr>
          <w:rFonts w:hint="eastAsia" w:ascii="Times New Roman" w:hAnsi="Times New Roman"/>
          <w:color w:val="auto"/>
        </w:rPr>
        <w:t>（3）</w:t>
      </w:r>
      <w:r>
        <w:rPr>
          <w:rFonts w:ascii="Times New Roman" w:hAnsi="Times New Roman"/>
          <w:color w:val="auto"/>
        </w:rPr>
        <w:t>监测时间和频次</w:t>
      </w:r>
    </w:p>
    <w:p>
      <w:pPr>
        <w:ind w:firstLine="480"/>
        <w:jc w:val="left"/>
        <w:rPr>
          <w:rFonts w:ascii="Times New Roman" w:hAnsi="Times New Roman"/>
          <w:color w:val="auto"/>
        </w:rPr>
      </w:pPr>
      <w:r>
        <w:rPr>
          <w:rFonts w:ascii="Times New Roman" w:hAnsi="Times New Roman"/>
          <w:color w:val="auto"/>
          <w:szCs w:val="24"/>
        </w:rPr>
        <w:t>201</w:t>
      </w:r>
      <w:r>
        <w:rPr>
          <w:rFonts w:hint="eastAsia" w:ascii="Times New Roman" w:hAnsi="Times New Roman"/>
          <w:color w:val="auto"/>
          <w:szCs w:val="24"/>
        </w:rPr>
        <w:t>9</w:t>
      </w:r>
      <w:r>
        <w:rPr>
          <w:rFonts w:ascii="Times New Roman" w:hAnsi="Times New Roman"/>
          <w:color w:val="auto"/>
          <w:szCs w:val="24"/>
        </w:rPr>
        <w:t>年</w:t>
      </w:r>
      <w:r>
        <w:rPr>
          <w:rFonts w:hint="eastAsia" w:ascii="Times New Roman" w:hAnsi="Times New Roman"/>
          <w:color w:val="auto"/>
          <w:szCs w:val="24"/>
        </w:rPr>
        <w:t>12</w:t>
      </w:r>
      <w:r>
        <w:rPr>
          <w:rFonts w:ascii="Times New Roman" w:hAnsi="Times New Roman"/>
          <w:color w:val="auto"/>
          <w:szCs w:val="24"/>
        </w:rPr>
        <w:t>月</w:t>
      </w:r>
      <w:r>
        <w:rPr>
          <w:rFonts w:hint="eastAsia" w:ascii="Times New Roman" w:hAnsi="Times New Roman"/>
          <w:color w:val="auto"/>
          <w:szCs w:val="24"/>
        </w:rPr>
        <w:t>10</w:t>
      </w:r>
      <w:r>
        <w:rPr>
          <w:rFonts w:ascii="Times New Roman" w:hAnsi="Times New Roman"/>
          <w:color w:val="auto"/>
          <w:szCs w:val="24"/>
        </w:rPr>
        <w:t>日</w:t>
      </w:r>
      <w:r>
        <w:rPr>
          <w:rFonts w:ascii="Times New Roman" w:hAnsi="Times New Roman"/>
          <w:color w:val="auto"/>
        </w:rPr>
        <w:t>昼</w:t>
      </w:r>
      <w:r>
        <w:rPr>
          <w:rFonts w:hint="eastAsia" w:ascii="Times New Roman" w:hAnsi="Times New Roman"/>
          <w:color w:val="auto"/>
        </w:rPr>
        <w:t>、</w:t>
      </w:r>
      <w:r>
        <w:rPr>
          <w:rFonts w:ascii="Times New Roman" w:hAnsi="Times New Roman"/>
          <w:color w:val="auto"/>
        </w:rPr>
        <w:t>夜间各测量一次，每次测量10分钟（监测期间天气状况晴）。</w:t>
      </w:r>
    </w:p>
    <w:p>
      <w:pPr>
        <w:ind w:firstLine="480"/>
        <w:jc w:val="left"/>
        <w:rPr>
          <w:rFonts w:ascii="Times New Roman" w:hAnsi="Times New Roman"/>
          <w:color w:val="auto"/>
        </w:rPr>
      </w:pPr>
      <w:r>
        <w:rPr>
          <w:rFonts w:hint="eastAsia" w:ascii="Times New Roman" w:hAnsi="Times New Roman"/>
          <w:color w:val="auto"/>
        </w:rPr>
        <w:t>（4）</w:t>
      </w:r>
      <w:r>
        <w:rPr>
          <w:rFonts w:ascii="Times New Roman" w:hAnsi="Times New Roman"/>
          <w:color w:val="auto"/>
        </w:rPr>
        <w:t>监测方法</w:t>
      </w:r>
    </w:p>
    <w:p>
      <w:pPr>
        <w:ind w:firstLine="480"/>
        <w:jc w:val="left"/>
        <w:rPr>
          <w:rFonts w:ascii="Times New Roman" w:hAnsi="Times New Roman"/>
          <w:color w:val="auto"/>
        </w:rPr>
      </w:pPr>
      <w:r>
        <w:rPr>
          <w:rFonts w:ascii="Times New Roman" w:hAnsi="Times New Roman"/>
          <w:color w:val="auto"/>
        </w:rPr>
        <w:t>按《声环境质量标准》（GB3096-2008）和《环境监测技术规范》（噪声部分）中相关规定进行监测。</w:t>
      </w:r>
    </w:p>
    <w:p>
      <w:pPr>
        <w:ind w:firstLine="480"/>
        <w:jc w:val="left"/>
        <w:rPr>
          <w:rFonts w:ascii="Times New Roman" w:hAnsi="Times New Roman"/>
          <w:color w:val="auto"/>
        </w:rPr>
      </w:pPr>
      <w:r>
        <w:rPr>
          <w:rFonts w:hint="eastAsia" w:ascii="Times New Roman" w:hAnsi="Times New Roman"/>
          <w:color w:val="auto"/>
        </w:rPr>
        <w:t>（5）</w:t>
      </w:r>
      <w:r>
        <w:rPr>
          <w:rFonts w:ascii="Times New Roman" w:hAnsi="Times New Roman"/>
          <w:color w:val="auto"/>
        </w:rPr>
        <w:t>监测仪器</w:t>
      </w:r>
    </w:p>
    <w:p>
      <w:pPr>
        <w:ind w:firstLine="480"/>
        <w:jc w:val="left"/>
        <w:rPr>
          <w:rFonts w:ascii="Times New Roman" w:hAnsi="Times New Roman"/>
          <w:color w:val="auto"/>
        </w:rPr>
      </w:pPr>
      <w:r>
        <w:rPr>
          <w:rFonts w:hint="eastAsia" w:ascii="Times New Roman" w:hAnsi="Times New Roman"/>
          <w:color w:val="auto"/>
        </w:rPr>
        <w:t>AWA5688 型多功能声级计</w:t>
      </w:r>
      <w:r>
        <w:rPr>
          <w:rFonts w:ascii="Times New Roman" w:hAnsi="Times New Roman"/>
          <w:color w:val="auto"/>
        </w:rPr>
        <w:t>ZH-640。</w:t>
      </w:r>
    </w:p>
    <w:p>
      <w:pPr>
        <w:ind w:firstLine="480"/>
        <w:jc w:val="left"/>
        <w:rPr>
          <w:rFonts w:ascii="Times New Roman" w:hAnsi="Times New Roman"/>
          <w:color w:val="auto"/>
        </w:rPr>
      </w:pPr>
      <w:r>
        <w:rPr>
          <w:rFonts w:hint="eastAsia" w:ascii="Times New Roman" w:hAnsi="Times New Roman"/>
          <w:color w:val="auto"/>
        </w:rPr>
        <w:t>（6）</w:t>
      </w:r>
      <w:r>
        <w:rPr>
          <w:rFonts w:ascii="Times New Roman" w:hAnsi="Times New Roman"/>
          <w:color w:val="auto"/>
        </w:rPr>
        <w:t>监测结果</w:t>
      </w:r>
    </w:p>
    <w:p>
      <w:pPr>
        <w:numPr>
          <w:ilvl w:val="0"/>
          <w:numId w:val="29"/>
        </w:numPr>
        <w:spacing w:line="240" w:lineRule="auto"/>
        <w:ind w:firstLineChars="0"/>
        <w:jc w:val="center"/>
        <w:rPr>
          <w:rFonts w:ascii="Times New Roman" w:hAnsi="Times New Roman"/>
          <w:b/>
          <w:color w:val="auto"/>
          <w:sz w:val="21"/>
          <w:szCs w:val="24"/>
        </w:rPr>
      </w:pPr>
      <w:r>
        <w:rPr>
          <w:rFonts w:hint="eastAsia" w:ascii="Times New Roman" w:hAnsi="Times New Roman"/>
          <w:b/>
          <w:color w:val="auto"/>
          <w:sz w:val="21"/>
        </w:rPr>
        <w:t xml:space="preserve"> </w:t>
      </w:r>
      <w:r>
        <w:rPr>
          <w:rFonts w:ascii="Times New Roman" w:hAnsi="Times New Roman"/>
          <w:b/>
          <w:color w:val="auto"/>
          <w:sz w:val="21"/>
        </w:rPr>
        <w:t>噪声监测结果单位：dB（A）</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681"/>
        <w:gridCol w:w="1484"/>
        <w:gridCol w:w="2066"/>
        <w:gridCol w:w="2066"/>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监测点位</w:t>
            </w:r>
          </w:p>
        </w:tc>
        <w:tc>
          <w:tcPr>
            <w:tcW w:w="119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监测时段</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监测结果dB（A）</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评价标准dB（A）</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东</w:t>
            </w:r>
            <w:r>
              <w:rPr>
                <w:rFonts w:hint="eastAsia" w:ascii="Times New Roman" w:hAnsi="Times New Roman"/>
                <w:color w:val="auto"/>
                <w:sz w:val="21"/>
              </w:rPr>
              <w:t>北</w:t>
            </w:r>
            <w:r>
              <w:rPr>
                <w:rFonts w:ascii="Times New Roman" w:hAnsi="Times New Roman"/>
                <w:color w:val="auto"/>
                <w:sz w:val="21"/>
              </w:rPr>
              <w:t>侧1#</w:t>
            </w: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昼间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14:16～14:26</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58.3</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w:t>
            </w:r>
            <w:r>
              <w:rPr>
                <w:rFonts w:hint="eastAsia" w:ascii="Times New Roman" w:hAnsi="Times New Roman"/>
                <w:color w:val="auto"/>
                <w:sz w:val="21"/>
              </w:rPr>
              <w:t>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夜间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22:42～22:52</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48.1</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东</w:t>
            </w:r>
            <w:r>
              <w:rPr>
                <w:rFonts w:ascii="Times New Roman" w:hAnsi="Times New Roman"/>
                <w:color w:val="auto"/>
                <w:sz w:val="21"/>
              </w:rPr>
              <w:t>南侧2#</w:t>
            </w: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昼间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13:29～13:39</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numPr>
                <w:ilvl w:val="12"/>
                <w:numId w:val="0"/>
              </w:numPr>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60.2</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w:t>
            </w:r>
            <w:r>
              <w:rPr>
                <w:rFonts w:hint="eastAsia" w:ascii="Times New Roman" w:hAnsi="Times New Roman"/>
                <w:color w:val="auto"/>
                <w:sz w:val="21"/>
              </w:rPr>
              <w:t>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夜间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22:23～22:33</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numPr>
                <w:ilvl w:val="12"/>
                <w:numId w:val="0"/>
              </w:numPr>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48.8</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blHeader/>
        </w:trPr>
        <w:tc>
          <w:tcPr>
            <w:tcW w:w="907" w:type="pct"/>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西</w:t>
            </w:r>
            <w:r>
              <w:rPr>
                <w:rFonts w:hint="eastAsia" w:ascii="Times New Roman" w:hAnsi="Times New Roman"/>
                <w:color w:val="auto"/>
                <w:sz w:val="21"/>
              </w:rPr>
              <w:t>南</w:t>
            </w:r>
            <w:r>
              <w:rPr>
                <w:rFonts w:ascii="Times New Roman" w:hAnsi="Times New Roman"/>
                <w:color w:val="auto"/>
                <w:sz w:val="21"/>
              </w:rPr>
              <w:t>侧3#</w:t>
            </w: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昼间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13:45～13:55</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numPr>
                <w:ilvl w:val="12"/>
                <w:numId w:val="0"/>
              </w:numPr>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58.5</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w:t>
            </w:r>
            <w:r>
              <w:rPr>
                <w:rFonts w:hint="eastAsia" w:ascii="Times New Roman" w:hAnsi="Times New Roman"/>
                <w:color w:val="auto"/>
                <w:sz w:val="21"/>
              </w:rPr>
              <w:t>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夜间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23:29～23:39</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numPr>
                <w:ilvl w:val="12"/>
                <w:numId w:val="0"/>
              </w:numPr>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47.5</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vMerge w:val="restart"/>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西</w:t>
            </w:r>
            <w:r>
              <w:rPr>
                <w:rFonts w:ascii="Times New Roman" w:hAnsi="Times New Roman"/>
                <w:color w:val="auto"/>
                <w:sz w:val="21"/>
              </w:rPr>
              <w:t>北侧4#</w:t>
            </w: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昼间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14:00～14:10</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numPr>
                <w:ilvl w:val="12"/>
                <w:numId w:val="0"/>
              </w:numPr>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58.1</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6</w:t>
            </w:r>
            <w:r>
              <w:rPr>
                <w:rFonts w:hint="eastAsia" w:ascii="Times New Roman" w:hAnsi="Times New Roman"/>
                <w:color w:val="auto"/>
                <w:sz w:val="21"/>
              </w:rPr>
              <w:t>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7" w:type="pct"/>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37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夜间</w:t>
            </w:r>
          </w:p>
        </w:tc>
        <w:tc>
          <w:tcPr>
            <w:tcW w:w="821"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23:02～23:12</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numPr>
                <w:ilvl w:val="12"/>
                <w:numId w:val="0"/>
              </w:numPr>
              <w:suppressLineNumbers w:val="0"/>
              <w:spacing w:before="0" w:beforeAutospacing="0" w:after="0" w:afterAutospacing="0" w:line="240" w:lineRule="auto"/>
              <w:ind w:left="0" w:right="0"/>
              <w:jc w:val="center"/>
              <w:rPr>
                <w:rFonts w:ascii="Times New Roman" w:hAnsi="Times New Roman"/>
                <w:color w:val="auto"/>
                <w:sz w:val="21"/>
              </w:rPr>
            </w:pPr>
            <w:r>
              <w:rPr>
                <w:rFonts w:hint="eastAsia" w:ascii="Times New Roman" w:hAnsi="Times New Roman"/>
                <w:color w:val="auto"/>
                <w:sz w:val="21"/>
              </w:rPr>
              <w:t>48.9</w:t>
            </w:r>
          </w:p>
        </w:tc>
        <w:tc>
          <w:tcPr>
            <w:tcW w:w="114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55</w:t>
            </w:r>
          </w:p>
        </w:tc>
        <w:tc>
          <w:tcPr>
            <w:tcW w:w="60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pacing w:val="-4"/>
                <w:sz w:val="21"/>
              </w:rPr>
            </w:pPr>
            <w:r>
              <w:rPr>
                <w:rFonts w:ascii="Times New Roman" w:hAnsi="Times New Roman"/>
                <w:color w:val="auto"/>
                <w:spacing w:val="-4"/>
                <w:sz w:val="21"/>
              </w:rPr>
              <w:t>达标</w:t>
            </w:r>
          </w:p>
        </w:tc>
      </w:tr>
    </w:tbl>
    <w:p>
      <w:pPr>
        <w:ind w:firstLine="480"/>
        <w:rPr>
          <w:rFonts w:ascii="Times New Roman" w:hAnsi="Times New Roman"/>
          <w:color w:val="auto"/>
        </w:rPr>
      </w:pPr>
      <w:r>
        <w:rPr>
          <w:rFonts w:ascii="Times New Roman" w:hAnsi="Times New Roman"/>
          <w:color w:val="auto"/>
        </w:rPr>
        <w:t>由监测结果可知，</w:t>
      </w:r>
      <w:r>
        <w:rPr>
          <w:rFonts w:hint="eastAsia" w:ascii="Times New Roman" w:hAnsi="Times New Roman"/>
          <w:color w:val="auto"/>
        </w:rPr>
        <w:t>企业四侧厂界区域声环境满足</w:t>
      </w:r>
      <w:r>
        <w:rPr>
          <w:rFonts w:ascii="Times New Roman" w:hAnsi="Times New Roman"/>
          <w:color w:val="auto"/>
        </w:rPr>
        <w:t>《声环境质量标准》(GB3096-2008)</w:t>
      </w:r>
      <w:r>
        <w:rPr>
          <w:rFonts w:hint="eastAsia" w:ascii="Times New Roman" w:hAnsi="Times New Roman"/>
          <w:color w:val="auto"/>
        </w:rPr>
        <w:t>中3类声环境功能区标准要求，说</w:t>
      </w:r>
      <w:r>
        <w:rPr>
          <w:rFonts w:ascii="Times New Roman" w:hAnsi="Times New Roman"/>
          <w:color w:val="auto"/>
        </w:rPr>
        <w:t>明</w:t>
      </w:r>
      <w:r>
        <w:rPr>
          <w:rFonts w:hint="eastAsia" w:ascii="Times New Roman" w:hAnsi="Times New Roman"/>
          <w:color w:val="auto"/>
        </w:rPr>
        <w:t>企业所在地</w:t>
      </w:r>
      <w:r>
        <w:rPr>
          <w:rFonts w:ascii="Times New Roman" w:hAnsi="Times New Roman"/>
          <w:color w:val="auto"/>
        </w:rPr>
        <w:t>区域声环境质量现状良好。</w:t>
      </w:r>
    </w:p>
    <w:p>
      <w:pPr>
        <w:pStyle w:val="4"/>
        <w:numPr>
          <w:ilvl w:val="0"/>
          <w:numId w:val="28"/>
        </w:numPr>
        <w:spacing w:beforeLines="0"/>
        <w:rPr>
          <w:rFonts w:ascii="Times New Roman" w:hAnsi="Times New Roman"/>
          <w:color w:val="auto"/>
          <w:sz w:val="24"/>
          <w:szCs w:val="24"/>
        </w:rPr>
      </w:pPr>
      <w:r>
        <w:rPr>
          <w:rFonts w:ascii="Times New Roman" w:hAnsi="Times New Roman"/>
          <w:color w:val="auto"/>
          <w:sz w:val="24"/>
          <w:szCs w:val="24"/>
        </w:rPr>
        <w:t>地下水环境质量现状</w:t>
      </w:r>
    </w:p>
    <w:p>
      <w:pPr>
        <w:ind w:firstLine="480"/>
        <w:rPr>
          <w:rFonts w:ascii="Times New Roman" w:hAnsi="Times New Roman"/>
          <w:color w:val="auto"/>
        </w:rPr>
      </w:pPr>
      <w:r>
        <w:rPr>
          <w:rFonts w:hint="eastAsia" w:ascii="Times New Roman" w:hAnsi="Times New Roman"/>
          <w:color w:val="auto"/>
        </w:rPr>
        <w:t>本项目所在地地下水属于Ⅳ类功能区，地下水环境参照执行《地下水质量标准》（GB14848-93）中的Ⅳ类标准。</w:t>
      </w:r>
      <w:r>
        <w:rPr>
          <w:rFonts w:ascii="Times New Roman" w:hAnsi="Times New Roman"/>
          <w:color w:val="auto"/>
        </w:rPr>
        <w:t>为了解项目所在地地下水水质现状，本项目</w:t>
      </w:r>
      <w:r>
        <w:rPr>
          <w:rFonts w:hint="eastAsia" w:ascii="Times New Roman" w:hAnsi="Times New Roman"/>
          <w:color w:val="auto"/>
        </w:rPr>
        <w:t>引用</w:t>
      </w:r>
      <w:r>
        <w:rPr>
          <w:rFonts w:ascii="Times New Roman" w:hAnsi="Times New Roman"/>
          <w:color w:val="auto"/>
        </w:rPr>
        <w:t>浙江创泷环境检测技术有限公司对项目附近地下水进行水质监测</w:t>
      </w:r>
      <w:r>
        <w:rPr>
          <w:rFonts w:hint="eastAsia" w:ascii="Times New Roman" w:hAnsi="Times New Roman"/>
          <w:color w:val="auto"/>
        </w:rPr>
        <w:t>（报告编号：</w:t>
      </w:r>
      <w:r>
        <w:rPr>
          <w:rFonts w:ascii="Times New Roman" w:hAnsi="Times New Roman"/>
          <w:color w:val="auto"/>
        </w:rPr>
        <w:t>创泷检〔2020〕检字第03</w:t>
      </w:r>
      <w:r>
        <w:rPr>
          <w:rFonts w:hint="eastAsia" w:ascii="Times New Roman" w:hAnsi="Times New Roman"/>
          <w:color w:val="auto"/>
        </w:rPr>
        <w:t>1</w:t>
      </w:r>
      <w:r>
        <w:rPr>
          <w:rFonts w:ascii="Times New Roman" w:hAnsi="Times New Roman"/>
          <w:color w:val="auto"/>
        </w:rPr>
        <w:t>2号</w:t>
      </w:r>
      <w:r>
        <w:rPr>
          <w:rFonts w:hint="eastAsia" w:ascii="Times New Roman" w:hAnsi="Times New Roman"/>
          <w:color w:val="auto"/>
        </w:rPr>
        <w:t>）</w:t>
      </w:r>
      <w:r>
        <w:rPr>
          <w:rFonts w:ascii="Times New Roman" w:hAnsi="Times New Roman"/>
          <w:color w:val="auto"/>
        </w:rPr>
        <w:t>，监测采样时间为20</w:t>
      </w:r>
      <w:r>
        <w:rPr>
          <w:rFonts w:hint="eastAsia" w:ascii="Times New Roman" w:hAnsi="Times New Roman"/>
          <w:color w:val="auto"/>
        </w:rPr>
        <w:t>20</w:t>
      </w:r>
      <w:r>
        <w:rPr>
          <w:rFonts w:ascii="Times New Roman" w:hAnsi="Times New Roman"/>
          <w:color w:val="auto"/>
        </w:rPr>
        <w:t>年</w:t>
      </w:r>
      <w:r>
        <w:rPr>
          <w:rFonts w:hint="eastAsia" w:ascii="Times New Roman" w:hAnsi="Times New Roman"/>
          <w:color w:val="auto"/>
        </w:rPr>
        <w:t>3</w:t>
      </w:r>
      <w:r>
        <w:rPr>
          <w:rFonts w:ascii="Times New Roman" w:hAnsi="Times New Roman"/>
          <w:color w:val="auto"/>
        </w:rPr>
        <w:t>月</w:t>
      </w:r>
      <w:r>
        <w:rPr>
          <w:rFonts w:hint="eastAsia" w:ascii="Times New Roman" w:hAnsi="Times New Roman"/>
          <w:color w:val="auto"/>
        </w:rPr>
        <w:t>18</w:t>
      </w:r>
      <w:r>
        <w:rPr>
          <w:rFonts w:ascii="Times New Roman" w:hAnsi="Times New Roman"/>
          <w:color w:val="auto"/>
        </w:rPr>
        <w:t>日，监测采样频次为一次。</w:t>
      </w:r>
    </w:p>
    <w:p>
      <w:pPr>
        <w:ind w:firstLine="480"/>
        <w:rPr>
          <w:rFonts w:ascii="Times New Roman" w:hAnsi="Times New Roman"/>
          <w:color w:val="auto"/>
        </w:rPr>
      </w:pPr>
      <w:r>
        <w:rPr>
          <w:rFonts w:ascii="Times New Roman" w:hAnsi="Times New Roman"/>
          <w:color w:val="auto"/>
        </w:rPr>
        <w:t>（1）监测点的设置</w:t>
      </w:r>
    </w:p>
    <w:p>
      <w:pPr>
        <w:ind w:firstLine="480"/>
        <w:rPr>
          <w:rFonts w:ascii="Times New Roman" w:hAnsi="Times New Roman"/>
          <w:color w:val="auto"/>
        </w:rPr>
      </w:pPr>
      <w:r>
        <w:rPr>
          <w:rFonts w:ascii="Times New Roman" w:hAnsi="Times New Roman"/>
          <w:color w:val="auto"/>
        </w:rPr>
        <w:t>在周边共布设了3个地下水水质监测点位，分别为C1项目</w:t>
      </w:r>
      <w:r>
        <w:rPr>
          <w:rFonts w:hint="eastAsia" w:ascii="Times New Roman" w:hAnsi="Times New Roman"/>
          <w:color w:val="auto"/>
        </w:rPr>
        <w:t>下</w:t>
      </w:r>
      <w:r>
        <w:rPr>
          <w:rFonts w:ascii="Times New Roman" w:hAnsi="Times New Roman"/>
          <w:color w:val="auto"/>
        </w:rPr>
        <w:t>游，C2项目所在地，C3项目</w:t>
      </w:r>
      <w:r>
        <w:rPr>
          <w:rFonts w:hint="eastAsia" w:ascii="Times New Roman" w:hAnsi="Times New Roman"/>
          <w:color w:val="auto"/>
        </w:rPr>
        <w:t>上</w:t>
      </w:r>
      <w:r>
        <w:rPr>
          <w:rFonts w:ascii="Times New Roman" w:hAnsi="Times New Roman"/>
          <w:color w:val="auto"/>
        </w:rPr>
        <w:t>游，地下水质量现状监测点位设置情况见表4-</w:t>
      </w:r>
      <w:r>
        <w:rPr>
          <w:rFonts w:hint="eastAsia" w:ascii="Times New Roman" w:hAnsi="Times New Roman"/>
          <w:color w:val="auto"/>
        </w:rPr>
        <w:t>8</w:t>
      </w:r>
      <w:r>
        <w:rPr>
          <w:rFonts w:ascii="Times New Roman" w:hAnsi="Times New Roman"/>
          <w:color w:val="auto"/>
        </w:rPr>
        <w:t>，布点位置见图4-</w:t>
      </w:r>
      <w:r>
        <w:rPr>
          <w:rFonts w:hint="eastAsia" w:ascii="Times New Roman" w:hAnsi="Times New Roman"/>
          <w:color w:val="auto"/>
        </w:rPr>
        <w:t>2</w:t>
      </w:r>
      <w:r>
        <w:rPr>
          <w:rFonts w:ascii="Times New Roman" w:hAnsi="Times New Roman"/>
          <w:color w:val="auto"/>
        </w:rPr>
        <w:t>。</w:t>
      </w:r>
    </w:p>
    <w:p>
      <w:pPr>
        <w:numPr>
          <w:ilvl w:val="0"/>
          <w:numId w:val="29"/>
        </w:numPr>
        <w:spacing w:line="240" w:lineRule="auto"/>
        <w:ind w:firstLineChars="0"/>
        <w:jc w:val="center"/>
        <w:rPr>
          <w:rFonts w:ascii="Times New Roman" w:hAnsi="Times New Roman"/>
          <w:b/>
          <w:color w:val="auto"/>
          <w:sz w:val="21"/>
        </w:rPr>
      </w:pPr>
      <w:r>
        <w:rPr>
          <w:rFonts w:ascii="Times New Roman" w:hAnsi="Times New Roman"/>
          <w:b/>
          <w:color w:val="auto"/>
          <w:sz w:val="21"/>
        </w:rPr>
        <w:t xml:space="preserve">  地下水质量现状监测点位设置情况</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6"/>
        <w:gridCol w:w="708"/>
        <w:gridCol w:w="992"/>
        <w:gridCol w:w="1273"/>
        <w:gridCol w:w="3320"/>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8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监测点位</w:t>
            </w:r>
          </w:p>
        </w:tc>
        <w:tc>
          <w:tcPr>
            <w:tcW w:w="40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方位</w:t>
            </w:r>
          </w:p>
        </w:tc>
        <w:tc>
          <w:tcPr>
            <w:tcW w:w="56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距离</w:t>
            </w:r>
          </w:p>
        </w:tc>
        <w:tc>
          <w:tcPr>
            <w:tcW w:w="72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监测时间</w:t>
            </w:r>
          </w:p>
        </w:tc>
        <w:tc>
          <w:tcPr>
            <w:tcW w:w="188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监测项目</w:t>
            </w:r>
          </w:p>
        </w:tc>
        <w:tc>
          <w:tcPr>
            <w:tcW w:w="54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color w:val="auto"/>
                <w:sz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8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C1</w:t>
            </w:r>
          </w:p>
        </w:tc>
        <w:tc>
          <w:tcPr>
            <w:tcW w:w="40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西侧</w:t>
            </w:r>
          </w:p>
        </w:tc>
        <w:tc>
          <w:tcPr>
            <w:tcW w:w="56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约200</w:t>
            </w:r>
            <w:r>
              <w:rPr>
                <w:rFonts w:ascii="Times New Roman" w:hAnsi="Times New Roman"/>
                <w:color w:val="auto"/>
                <w:sz w:val="21"/>
              </w:rPr>
              <w:t>m</w:t>
            </w:r>
          </w:p>
        </w:tc>
        <w:tc>
          <w:tcPr>
            <w:tcW w:w="721"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20</w:t>
            </w:r>
            <w:r>
              <w:rPr>
                <w:rFonts w:hint="eastAsia" w:ascii="Times New Roman" w:hAnsi="Times New Roman"/>
                <w:color w:val="auto"/>
                <w:sz w:val="21"/>
              </w:rPr>
              <w:t>20</w:t>
            </w:r>
            <w:r>
              <w:rPr>
                <w:rFonts w:ascii="Times New Roman" w:hAnsi="Times New Roman"/>
                <w:color w:val="auto"/>
                <w:sz w:val="21"/>
              </w:rPr>
              <w:t>年</w:t>
            </w:r>
            <w:r>
              <w:rPr>
                <w:rFonts w:hint="eastAsia" w:ascii="Times New Roman" w:hAnsi="Times New Roman"/>
                <w:color w:val="auto"/>
                <w:sz w:val="21"/>
              </w:rPr>
              <w:t>3</w:t>
            </w:r>
            <w:r>
              <w:rPr>
                <w:rFonts w:ascii="Times New Roman" w:hAnsi="Times New Roman"/>
                <w:color w:val="auto"/>
                <w:sz w:val="21"/>
              </w:rPr>
              <w:t>月</w:t>
            </w:r>
            <w:r>
              <w:rPr>
                <w:rFonts w:hint="eastAsia" w:ascii="Times New Roman" w:hAnsi="Times New Roman"/>
                <w:color w:val="auto"/>
                <w:sz w:val="21"/>
              </w:rPr>
              <w:t>18</w:t>
            </w:r>
            <w:r>
              <w:rPr>
                <w:rFonts w:ascii="Times New Roman" w:hAnsi="Times New Roman"/>
                <w:color w:val="auto"/>
                <w:sz w:val="21"/>
              </w:rPr>
              <w:t>日</w:t>
            </w:r>
          </w:p>
        </w:tc>
        <w:tc>
          <w:tcPr>
            <w:tcW w:w="188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pH值、氨氮、硝酸盐、亚硝酸盐、挥发性酚类、氰化物、砷、汞、铬（六价）、总硬度、铅、氟、镉、铁、锰、溶解性总固体、高锰酸盐指数、硫酸盐、氯化物、总大肠菌群、细菌总数、LAS、铜以及K+、Na+、Ca</w:t>
            </w:r>
            <w:r>
              <w:rPr>
                <w:rFonts w:ascii="Times New Roman" w:hAnsi="Times New Roman"/>
                <w:color w:val="auto"/>
                <w:sz w:val="21"/>
                <w:vertAlign w:val="superscript"/>
              </w:rPr>
              <w:t>2+</w:t>
            </w:r>
            <w:r>
              <w:rPr>
                <w:rFonts w:ascii="Times New Roman" w:hAnsi="Times New Roman"/>
                <w:color w:val="auto"/>
                <w:sz w:val="21"/>
              </w:rPr>
              <w:t>、Mg</w:t>
            </w:r>
            <w:r>
              <w:rPr>
                <w:rFonts w:ascii="Times New Roman" w:hAnsi="Times New Roman"/>
                <w:color w:val="auto"/>
                <w:sz w:val="21"/>
                <w:vertAlign w:val="superscript"/>
              </w:rPr>
              <w:t>2+</w:t>
            </w:r>
            <w:r>
              <w:rPr>
                <w:rFonts w:ascii="Times New Roman" w:hAnsi="Times New Roman"/>
                <w:color w:val="auto"/>
                <w:sz w:val="21"/>
              </w:rPr>
              <w:t>、CO</w:t>
            </w:r>
            <w:r>
              <w:rPr>
                <w:rFonts w:ascii="Times New Roman" w:hAnsi="Times New Roman"/>
                <w:color w:val="auto"/>
                <w:sz w:val="21"/>
                <w:vertAlign w:val="subscript"/>
              </w:rPr>
              <w:t>3</w:t>
            </w:r>
            <w:r>
              <w:rPr>
                <w:rFonts w:ascii="Times New Roman" w:hAnsi="Times New Roman"/>
                <w:color w:val="auto"/>
                <w:sz w:val="21"/>
                <w:vertAlign w:val="superscript"/>
              </w:rPr>
              <w:t>2-</w:t>
            </w:r>
            <w:r>
              <w:rPr>
                <w:rFonts w:ascii="Times New Roman" w:hAnsi="Times New Roman"/>
                <w:color w:val="auto"/>
                <w:sz w:val="21"/>
              </w:rPr>
              <w:t>、HCO</w:t>
            </w:r>
            <w:r>
              <w:rPr>
                <w:rFonts w:ascii="Times New Roman" w:hAnsi="Times New Roman"/>
                <w:color w:val="auto"/>
                <w:sz w:val="21"/>
                <w:vertAlign w:val="subscript"/>
              </w:rPr>
              <w:t>3</w:t>
            </w:r>
            <w:r>
              <w:rPr>
                <w:rFonts w:ascii="Times New Roman" w:hAnsi="Times New Roman"/>
                <w:color w:val="auto"/>
                <w:sz w:val="21"/>
                <w:vertAlign w:val="superscript"/>
              </w:rPr>
              <w:t>-</w:t>
            </w:r>
            <w:r>
              <w:rPr>
                <w:rFonts w:ascii="Times New Roman" w:hAnsi="Times New Roman"/>
                <w:color w:val="auto"/>
                <w:sz w:val="21"/>
              </w:rPr>
              <w:t>、CL</w:t>
            </w:r>
            <w:r>
              <w:rPr>
                <w:rFonts w:ascii="Times New Roman" w:hAnsi="Times New Roman"/>
                <w:color w:val="auto"/>
                <w:sz w:val="21"/>
                <w:vertAlign w:val="superscript"/>
              </w:rPr>
              <w:t>-</w:t>
            </w:r>
            <w:r>
              <w:rPr>
                <w:rFonts w:ascii="Times New Roman" w:hAnsi="Times New Roman"/>
                <w:color w:val="auto"/>
                <w:sz w:val="21"/>
              </w:rPr>
              <w:t>、SO</w:t>
            </w:r>
            <w:r>
              <w:rPr>
                <w:rFonts w:ascii="Times New Roman" w:hAnsi="Times New Roman"/>
                <w:color w:val="auto"/>
                <w:sz w:val="21"/>
                <w:vertAlign w:val="subscript"/>
              </w:rPr>
              <w:t>4</w:t>
            </w:r>
            <w:r>
              <w:rPr>
                <w:rFonts w:ascii="Times New Roman" w:hAnsi="Times New Roman"/>
                <w:color w:val="auto"/>
                <w:sz w:val="21"/>
                <w:vertAlign w:val="superscript"/>
              </w:rPr>
              <w:t>2-</w:t>
            </w:r>
            <w:r>
              <w:rPr>
                <w:rFonts w:ascii="Times New Roman" w:hAnsi="Times New Roman"/>
                <w:color w:val="auto"/>
                <w:sz w:val="21"/>
              </w:rPr>
              <w:t>。</w:t>
            </w:r>
          </w:p>
        </w:tc>
        <w:tc>
          <w:tcPr>
            <w:tcW w:w="549" w:type="pct"/>
            <w:vMerge w:val="restar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color w:val="auto"/>
                <w:sz w:val="21"/>
              </w:rPr>
              <w:t>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8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C2</w:t>
            </w:r>
          </w:p>
        </w:tc>
        <w:tc>
          <w:tcPr>
            <w:tcW w:w="40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w:t>
            </w:r>
          </w:p>
        </w:tc>
        <w:tc>
          <w:tcPr>
            <w:tcW w:w="56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72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p>
        </w:tc>
        <w:tc>
          <w:tcPr>
            <w:tcW w:w="1880" w:type="pct"/>
            <w:vMerge w:val="continue"/>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p>
        </w:tc>
        <w:tc>
          <w:tcPr>
            <w:tcW w:w="549" w:type="pct"/>
            <w:vMerge w:val="continue"/>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88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C3</w:t>
            </w:r>
          </w:p>
        </w:tc>
        <w:tc>
          <w:tcPr>
            <w:tcW w:w="40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东北侧</w:t>
            </w:r>
          </w:p>
        </w:tc>
        <w:tc>
          <w:tcPr>
            <w:tcW w:w="56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215</w:t>
            </w:r>
            <w:r>
              <w:rPr>
                <w:rFonts w:ascii="Times New Roman" w:hAnsi="Times New Roman"/>
                <w:color w:val="auto"/>
                <w:sz w:val="21"/>
              </w:rPr>
              <w:t>m</w:t>
            </w:r>
          </w:p>
        </w:tc>
        <w:tc>
          <w:tcPr>
            <w:tcW w:w="72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p>
        </w:tc>
        <w:tc>
          <w:tcPr>
            <w:tcW w:w="1880" w:type="pct"/>
            <w:vMerge w:val="continue"/>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p>
        </w:tc>
        <w:tc>
          <w:tcPr>
            <w:tcW w:w="549" w:type="pct"/>
            <w:vMerge w:val="continue"/>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p>
        </w:tc>
      </w:tr>
    </w:tbl>
    <w:p>
      <w:pPr>
        <w:ind w:firstLine="480"/>
        <w:rPr>
          <w:rFonts w:ascii="Times New Roman" w:hAnsi="Times New Roman"/>
          <w:color w:val="auto"/>
        </w:rPr>
      </w:pPr>
      <w:r>
        <w:rPr>
          <w:rFonts w:hint="eastAsia" w:ascii="Times New Roman" w:hAnsi="Times New Roman"/>
          <w:color w:val="auto"/>
        </w:rPr>
        <w:t>（2）评价方法</w:t>
      </w:r>
    </w:p>
    <w:p>
      <w:pPr>
        <w:ind w:firstLine="480"/>
        <w:rPr>
          <w:rFonts w:ascii="Times New Roman" w:hAnsi="Times New Roman"/>
          <w:color w:val="auto"/>
        </w:rPr>
      </w:pPr>
      <w:r>
        <w:rPr>
          <w:rFonts w:hint="eastAsia" w:ascii="Times New Roman" w:hAnsi="Times New Roman"/>
          <w:color w:val="auto"/>
        </w:rPr>
        <w:t>按照导则要求，地下水水质现状应采用标准指数法进行评价。标准指数＞1，表明该水质因子已超过了规定的水质标准，指数值越大，超标越严重。标准指数计算公式分为两种情况：</w:t>
      </w:r>
    </w:p>
    <w:p>
      <w:pPr>
        <w:ind w:firstLine="480"/>
        <w:rPr>
          <w:rFonts w:ascii="Times New Roman" w:hAnsi="Times New Roman"/>
          <w:color w:val="auto"/>
        </w:rPr>
      </w:pPr>
      <w:r>
        <w:rPr>
          <w:rFonts w:hint="eastAsia" w:ascii="Times New Roman" w:hAnsi="Times New Roman"/>
          <w:color w:val="auto"/>
        </w:rPr>
        <w:t>①对于评价标准为定值的水质因子，其标准指数计算公式：</w:t>
      </w:r>
    </w:p>
    <w:p>
      <w:pPr>
        <w:ind w:firstLine="480"/>
        <w:rPr>
          <w:rFonts w:ascii="Times New Roman" w:hAnsi="Times New Roman"/>
          <w:color w:val="auto"/>
          <w:vertAlign w:val="subscript"/>
        </w:rPr>
      </w:pPr>
      <w:r>
        <w:rPr>
          <w:rFonts w:hint="eastAsia" w:ascii="Times New Roman" w:hAnsi="Times New Roman"/>
          <w:color w:val="auto"/>
        </w:rPr>
        <w:t>P</w:t>
      </w:r>
      <w:r>
        <w:rPr>
          <w:rFonts w:hint="eastAsia" w:ascii="Times New Roman" w:hAnsi="Times New Roman"/>
          <w:color w:val="auto"/>
          <w:vertAlign w:val="subscript"/>
        </w:rPr>
        <w:t>i</w:t>
      </w:r>
      <w:r>
        <w:rPr>
          <w:rFonts w:hint="eastAsia" w:ascii="Times New Roman" w:hAnsi="Times New Roman"/>
          <w:color w:val="auto"/>
        </w:rPr>
        <w:t>=C</w:t>
      </w:r>
      <w:r>
        <w:rPr>
          <w:rFonts w:hint="eastAsia" w:ascii="Times New Roman" w:hAnsi="Times New Roman"/>
          <w:color w:val="auto"/>
          <w:vertAlign w:val="subscript"/>
        </w:rPr>
        <w:t>i</w:t>
      </w:r>
      <w:r>
        <w:rPr>
          <w:rFonts w:hint="eastAsia" w:ascii="Times New Roman" w:hAnsi="Times New Roman"/>
          <w:color w:val="auto"/>
        </w:rPr>
        <w:t>/C</w:t>
      </w:r>
      <w:r>
        <w:rPr>
          <w:rFonts w:hint="eastAsia" w:ascii="Times New Roman" w:hAnsi="Times New Roman"/>
          <w:color w:val="auto"/>
          <w:vertAlign w:val="subscript"/>
        </w:rPr>
        <w:t>si</w:t>
      </w:r>
    </w:p>
    <w:p>
      <w:pPr>
        <w:ind w:firstLine="480"/>
        <w:rPr>
          <w:rFonts w:ascii="Times New Roman" w:hAnsi="Times New Roman"/>
          <w:color w:val="auto"/>
        </w:rPr>
      </w:pPr>
      <w:r>
        <w:rPr>
          <w:rFonts w:hint="eastAsia" w:ascii="Times New Roman" w:hAnsi="Times New Roman"/>
          <w:color w:val="auto"/>
        </w:rPr>
        <w:t>式中：P</w:t>
      </w:r>
      <w:r>
        <w:rPr>
          <w:rFonts w:hint="eastAsia" w:ascii="Times New Roman" w:hAnsi="Times New Roman"/>
          <w:color w:val="auto"/>
          <w:vertAlign w:val="subscript"/>
        </w:rPr>
        <w:t>i</w:t>
      </w:r>
      <w:r>
        <w:rPr>
          <w:rFonts w:hint="eastAsia" w:ascii="Times New Roman" w:hAnsi="Times New Roman"/>
          <w:color w:val="auto"/>
        </w:rPr>
        <w:t>—第i个水质因子的标准指数，无量纲；</w:t>
      </w:r>
    </w:p>
    <w:p>
      <w:pPr>
        <w:ind w:firstLine="480"/>
        <w:rPr>
          <w:rFonts w:ascii="Times New Roman" w:hAnsi="Times New Roman"/>
          <w:color w:val="auto"/>
        </w:rPr>
      </w:pPr>
      <w:r>
        <w:rPr>
          <w:rFonts w:hint="eastAsia" w:ascii="Times New Roman" w:hAnsi="Times New Roman"/>
          <w:color w:val="auto"/>
        </w:rPr>
        <w:t xml:space="preserve">      C</w:t>
      </w:r>
      <w:r>
        <w:rPr>
          <w:rFonts w:hint="eastAsia" w:ascii="Times New Roman" w:hAnsi="Times New Roman"/>
          <w:color w:val="auto"/>
          <w:vertAlign w:val="subscript"/>
        </w:rPr>
        <w:t>i</w:t>
      </w:r>
      <w:r>
        <w:rPr>
          <w:rFonts w:hint="eastAsia" w:ascii="Times New Roman" w:hAnsi="Times New Roman"/>
          <w:color w:val="auto"/>
        </w:rPr>
        <w:t>—第i个水质因子的监测浓度值，mg/l；</w:t>
      </w:r>
    </w:p>
    <w:p>
      <w:pPr>
        <w:ind w:firstLine="480"/>
        <w:rPr>
          <w:rFonts w:ascii="Times New Roman" w:hAnsi="Times New Roman"/>
          <w:color w:val="auto"/>
        </w:rPr>
      </w:pPr>
      <w:r>
        <w:rPr>
          <w:rFonts w:hint="eastAsia" w:ascii="Times New Roman" w:hAnsi="Times New Roman"/>
          <w:color w:val="auto"/>
        </w:rPr>
        <w:t xml:space="preserve">      C</w:t>
      </w:r>
      <w:r>
        <w:rPr>
          <w:rFonts w:hint="eastAsia" w:ascii="Times New Roman" w:hAnsi="Times New Roman"/>
          <w:color w:val="auto"/>
          <w:vertAlign w:val="subscript"/>
        </w:rPr>
        <w:t>si</w:t>
      </w:r>
      <w:r>
        <w:rPr>
          <w:rFonts w:hint="eastAsia" w:ascii="Times New Roman" w:hAnsi="Times New Roman"/>
          <w:color w:val="auto"/>
        </w:rPr>
        <w:t>—第i个水质因子的标准浓度值，mg/l。</w:t>
      </w:r>
    </w:p>
    <w:p>
      <w:pPr>
        <w:ind w:firstLine="480"/>
        <w:rPr>
          <w:rFonts w:ascii="Times New Roman" w:hAnsi="Times New Roman"/>
          <w:color w:val="auto"/>
        </w:rPr>
      </w:pPr>
      <w:r>
        <w:rPr>
          <w:rFonts w:hint="eastAsia" w:ascii="Times New Roman" w:hAnsi="Times New Roman"/>
          <w:color w:val="auto"/>
        </w:rPr>
        <w:t>②对于评价标准为区间值的水质因子（如pH值），其标准指数计算公式：</w:t>
      </w:r>
    </w:p>
    <w:p>
      <w:pPr>
        <w:ind w:firstLine="480"/>
        <w:rPr>
          <w:rFonts w:ascii="Times New Roman" w:hAnsi="Times New Roman"/>
          <w:i/>
          <w:color w:val="auto"/>
        </w:rPr>
      </w:pPr>
      <w:r>
        <w:rPr>
          <w:rFonts w:ascii="Times New Roman" w:hAnsi="Times New Roman"/>
          <w:color w:val="auto"/>
        </w:rPr>
        <w:drawing>
          <wp:inline distT="0" distB="0" distL="0" distR="0">
            <wp:extent cx="1171575" cy="447675"/>
            <wp:effectExtent l="0" t="0" r="0" b="0"/>
            <wp:docPr id="1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pic:cNvPicPr>
                      <a:picLocks noChangeAspect="1" noChangeArrowheads="1"/>
                    </pic:cNvPicPr>
                  </pic:nvPicPr>
                  <pic:blipFill>
                    <a:blip r:embed="rId50" cstate="print"/>
                    <a:srcRect/>
                    <a:stretch>
                      <a:fillRect/>
                    </a:stretch>
                  </pic:blipFill>
                  <pic:spPr>
                    <a:xfrm>
                      <a:off x="0" y="0"/>
                      <a:ext cx="1171575" cy="447675"/>
                    </a:xfrm>
                    <a:prstGeom prst="rect">
                      <a:avLst/>
                    </a:prstGeom>
                    <a:noFill/>
                    <a:ln w="9525">
                      <a:noFill/>
                      <a:miter lim="800000"/>
                      <a:headEnd/>
                      <a:tailEnd/>
                    </a:ln>
                  </pic:spPr>
                </pic:pic>
              </a:graphicData>
            </a:graphic>
          </wp:inline>
        </w:drawing>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i/>
          <w:color w:val="auto"/>
        </w:rPr>
        <w:t>pH≤7.0</w:t>
      </w:r>
    </w:p>
    <w:p>
      <w:pPr>
        <w:ind w:firstLine="480"/>
        <w:rPr>
          <w:rFonts w:ascii="Times New Roman" w:hAnsi="Times New Roman"/>
          <w:i/>
          <w:color w:val="auto"/>
        </w:rPr>
      </w:pPr>
      <w:r>
        <w:rPr>
          <w:rFonts w:ascii="Times New Roman" w:hAnsi="Times New Roman"/>
          <w:color w:val="auto"/>
        </w:rPr>
        <w:drawing>
          <wp:inline distT="0" distB="0" distL="0" distR="0">
            <wp:extent cx="1133475" cy="447675"/>
            <wp:effectExtent l="0" t="0" r="9525" b="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noChangeArrowheads="1"/>
                    </pic:cNvPicPr>
                  </pic:nvPicPr>
                  <pic:blipFill>
                    <a:blip r:embed="rId51" cstate="print"/>
                    <a:srcRect/>
                    <a:stretch>
                      <a:fillRect/>
                    </a:stretch>
                  </pic:blipFill>
                  <pic:spPr>
                    <a:xfrm>
                      <a:off x="0" y="0"/>
                      <a:ext cx="1133475" cy="447675"/>
                    </a:xfrm>
                    <a:prstGeom prst="rect">
                      <a:avLst/>
                    </a:prstGeom>
                    <a:noFill/>
                    <a:ln w="9525">
                      <a:noFill/>
                      <a:miter lim="800000"/>
                      <a:headEnd/>
                      <a:tailEnd/>
                    </a:ln>
                  </pic:spPr>
                </pic:pic>
              </a:graphicData>
            </a:graphic>
          </wp:inline>
        </w:drawing>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i/>
          <w:color w:val="auto"/>
        </w:rPr>
        <w:t>pH</w:t>
      </w:r>
      <w:r>
        <w:rPr>
          <w:rFonts w:ascii="Times New Roman" w:hAnsi="Times New Roman"/>
          <w:i/>
          <w:color w:val="auto"/>
        </w:rPr>
        <w:sym w:font="Symbol" w:char="F03E"/>
      </w:r>
      <w:r>
        <w:rPr>
          <w:rFonts w:ascii="Times New Roman" w:hAnsi="Times New Roman"/>
          <w:i/>
          <w:color w:val="auto"/>
        </w:rPr>
        <w:t>7.0</w:t>
      </w:r>
    </w:p>
    <w:p>
      <w:pPr>
        <w:ind w:firstLine="480"/>
        <w:rPr>
          <w:rFonts w:ascii="Times New Roman" w:hAnsi="Times New Roman"/>
          <w:color w:val="auto"/>
        </w:rPr>
      </w:pPr>
      <w:r>
        <w:rPr>
          <w:rFonts w:hint="eastAsia" w:ascii="Times New Roman" w:hAnsi="Times New Roman"/>
          <w:color w:val="auto"/>
        </w:rPr>
        <w:t xml:space="preserve"> </w:t>
      </w:r>
      <w:r>
        <w:rPr>
          <w:rFonts w:ascii="Times New Roman" w:hAnsi="Times New Roman"/>
          <w:color w:val="auto"/>
        </w:rPr>
        <w:t>式中：</w:t>
      </w:r>
      <w:r>
        <w:rPr>
          <w:rFonts w:ascii="Times New Roman" w:hAnsi="Times New Roman"/>
          <w:i/>
          <w:color w:val="auto"/>
        </w:rPr>
        <w:t xml:space="preserve"> P</w:t>
      </w:r>
      <w:r>
        <w:rPr>
          <w:rFonts w:ascii="Times New Roman" w:hAnsi="Times New Roman"/>
          <w:i/>
          <w:color w:val="auto"/>
          <w:vertAlign w:val="subscript"/>
        </w:rPr>
        <w:t>pH</w:t>
      </w:r>
      <w:r>
        <w:rPr>
          <w:rFonts w:ascii="Times New Roman" w:hAnsi="Times New Roman"/>
          <w:color w:val="auto"/>
        </w:rPr>
        <w:t>—pH</w:t>
      </w:r>
      <w:r>
        <w:rPr>
          <w:rFonts w:hint="eastAsia" w:ascii="Times New Roman" w:hAnsi="Times New Roman"/>
          <w:color w:val="auto"/>
        </w:rPr>
        <w:t>值</w:t>
      </w:r>
      <w:r>
        <w:rPr>
          <w:rFonts w:ascii="Times New Roman" w:hAnsi="Times New Roman"/>
          <w:color w:val="auto"/>
        </w:rPr>
        <w:t>的标准指数</w:t>
      </w:r>
      <w:r>
        <w:rPr>
          <w:rFonts w:hint="eastAsia" w:ascii="Times New Roman" w:hAnsi="Times New Roman"/>
          <w:color w:val="auto"/>
        </w:rPr>
        <w:t>，无量纲</w:t>
      </w:r>
      <w:r>
        <w:rPr>
          <w:rFonts w:ascii="Times New Roman" w:hAnsi="Times New Roman"/>
          <w:color w:val="auto"/>
        </w:rPr>
        <w:t>；</w:t>
      </w:r>
    </w:p>
    <w:p>
      <w:pPr>
        <w:ind w:firstLine="480"/>
        <w:rPr>
          <w:rFonts w:ascii="Times New Roman" w:hAnsi="Times New Roman"/>
          <w:color w:val="auto"/>
        </w:rPr>
      </w:pPr>
      <w:r>
        <w:rPr>
          <w:rFonts w:ascii="Times New Roman" w:hAnsi="Times New Roman"/>
          <w:color w:val="auto"/>
        </w:rPr>
        <w:t xml:space="preserve">    </w:t>
      </w:r>
      <w:r>
        <w:rPr>
          <w:rFonts w:hint="eastAsia" w:ascii="Times New Roman" w:hAnsi="Times New Roman"/>
          <w:color w:val="auto"/>
        </w:rPr>
        <w:t xml:space="preserve">   </w:t>
      </w:r>
      <w:r>
        <w:rPr>
          <w:rFonts w:ascii="Times New Roman" w:hAnsi="Times New Roman"/>
          <w:color w:val="auto"/>
        </w:rPr>
        <w:t xml:space="preserve"> </w:t>
      </w:r>
      <w:r>
        <w:rPr>
          <w:rFonts w:ascii="Times New Roman" w:hAnsi="Times New Roman"/>
          <w:i/>
          <w:color w:val="auto"/>
        </w:rPr>
        <w:t>pH</w:t>
      </w:r>
      <w:r>
        <w:rPr>
          <w:rFonts w:ascii="Times New Roman" w:hAnsi="Times New Roman"/>
          <w:color w:val="auto"/>
        </w:rPr>
        <w:t>—pH值的监测</w:t>
      </w:r>
      <w:r>
        <w:rPr>
          <w:rFonts w:hint="eastAsia" w:ascii="Times New Roman" w:hAnsi="Times New Roman"/>
          <w:color w:val="auto"/>
        </w:rPr>
        <w:t>值</w:t>
      </w:r>
      <w:r>
        <w:rPr>
          <w:rFonts w:ascii="Times New Roman" w:hAnsi="Times New Roman"/>
          <w:color w:val="auto"/>
        </w:rPr>
        <w:t>；</w:t>
      </w:r>
    </w:p>
    <w:p>
      <w:pPr>
        <w:ind w:firstLine="480"/>
        <w:rPr>
          <w:rFonts w:ascii="Times New Roman" w:hAnsi="Times New Roman"/>
          <w:color w:val="auto"/>
        </w:rPr>
      </w:pPr>
      <w:r>
        <w:rPr>
          <w:rFonts w:hint="eastAsia" w:ascii="Times New Roman" w:hAnsi="Times New Roman"/>
          <w:color w:val="auto"/>
        </w:rPr>
        <w:t xml:space="preserve">        </w:t>
      </w:r>
      <w:r>
        <w:rPr>
          <w:rFonts w:ascii="Times New Roman" w:hAnsi="Times New Roman"/>
          <w:i/>
          <w:color w:val="auto"/>
        </w:rPr>
        <w:t>pH</w:t>
      </w:r>
      <w:r>
        <w:rPr>
          <w:rFonts w:ascii="Times New Roman" w:hAnsi="Times New Roman"/>
          <w:i/>
          <w:color w:val="auto"/>
          <w:vertAlign w:val="subscript"/>
        </w:rPr>
        <w:t>S</w:t>
      </w:r>
      <w:r>
        <w:rPr>
          <w:rFonts w:hint="eastAsia" w:ascii="Times New Roman" w:hAnsi="Times New Roman"/>
          <w:i/>
          <w:color w:val="auto"/>
          <w:vertAlign w:val="subscript"/>
        </w:rPr>
        <w:t>u</w:t>
      </w:r>
      <w:r>
        <w:rPr>
          <w:rFonts w:ascii="Times New Roman" w:hAnsi="Times New Roman"/>
          <w:color w:val="auto"/>
        </w:rPr>
        <w:t>—</w:t>
      </w:r>
      <w:r>
        <w:rPr>
          <w:rFonts w:hint="eastAsia" w:ascii="Times New Roman" w:hAnsi="Times New Roman"/>
          <w:color w:val="auto"/>
        </w:rPr>
        <w:t>标准中</w:t>
      </w:r>
      <w:r>
        <w:rPr>
          <w:rFonts w:ascii="Times New Roman" w:hAnsi="Times New Roman"/>
          <w:color w:val="auto"/>
        </w:rPr>
        <w:t>pH</w:t>
      </w:r>
      <w:r>
        <w:rPr>
          <w:rFonts w:hint="eastAsia" w:ascii="Times New Roman" w:hAnsi="Times New Roman"/>
          <w:color w:val="auto"/>
        </w:rPr>
        <w:t>的上限值；</w:t>
      </w:r>
    </w:p>
    <w:p>
      <w:pPr>
        <w:ind w:firstLine="480"/>
        <w:rPr>
          <w:rFonts w:ascii="Times New Roman" w:hAnsi="Times New Roman"/>
          <w:color w:val="auto"/>
        </w:rPr>
      </w:pPr>
      <w:r>
        <w:rPr>
          <w:rFonts w:ascii="Times New Roman" w:hAnsi="Times New Roman"/>
          <w:color w:val="auto"/>
        </w:rPr>
        <w:t xml:space="preserve">  </w:t>
      </w:r>
      <w:r>
        <w:rPr>
          <w:rFonts w:hint="eastAsia" w:ascii="Times New Roman" w:hAnsi="Times New Roman"/>
          <w:color w:val="auto"/>
        </w:rPr>
        <w:t xml:space="preserve"> </w:t>
      </w:r>
      <w:r>
        <w:rPr>
          <w:rFonts w:ascii="Times New Roman" w:hAnsi="Times New Roman"/>
          <w:color w:val="auto"/>
        </w:rPr>
        <w:t xml:space="preserve"> </w:t>
      </w:r>
      <w:r>
        <w:rPr>
          <w:rFonts w:hint="eastAsia" w:ascii="Times New Roman" w:hAnsi="Times New Roman"/>
          <w:color w:val="auto"/>
        </w:rPr>
        <w:t xml:space="preserve">  </w:t>
      </w:r>
      <w:r>
        <w:rPr>
          <w:rFonts w:ascii="Times New Roman" w:hAnsi="Times New Roman"/>
          <w:color w:val="auto"/>
        </w:rPr>
        <w:t xml:space="preserve">  </w:t>
      </w:r>
      <w:r>
        <w:rPr>
          <w:rFonts w:ascii="Times New Roman" w:hAnsi="Times New Roman"/>
          <w:i/>
          <w:color w:val="auto"/>
        </w:rPr>
        <w:t>pH</w:t>
      </w:r>
      <w:r>
        <w:rPr>
          <w:rFonts w:ascii="Times New Roman" w:hAnsi="Times New Roman"/>
          <w:i/>
          <w:color w:val="auto"/>
          <w:vertAlign w:val="subscript"/>
        </w:rPr>
        <w:t>SD</w:t>
      </w:r>
      <w:r>
        <w:rPr>
          <w:rFonts w:ascii="Times New Roman" w:hAnsi="Times New Roman"/>
          <w:color w:val="auto"/>
        </w:rPr>
        <w:t>—</w:t>
      </w:r>
      <w:r>
        <w:rPr>
          <w:rFonts w:hint="eastAsia" w:ascii="Times New Roman" w:hAnsi="Times New Roman"/>
          <w:color w:val="auto"/>
        </w:rPr>
        <w:t>标准中</w:t>
      </w:r>
      <w:r>
        <w:rPr>
          <w:rFonts w:ascii="Times New Roman" w:hAnsi="Times New Roman"/>
          <w:color w:val="auto"/>
        </w:rPr>
        <w:t>pH</w:t>
      </w:r>
      <w:r>
        <w:rPr>
          <w:rFonts w:hint="eastAsia" w:ascii="Times New Roman" w:hAnsi="Times New Roman"/>
          <w:color w:val="auto"/>
        </w:rPr>
        <w:t>的下限值</w:t>
      </w:r>
      <w:r>
        <w:rPr>
          <w:rFonts w:ascii="Times New Roman" w:hAnsi="Times New Roman"/>
          <w:color w:val="auto"/>
        </w:rPr>
        <w:t>。</w:t>
      </w:r>
    </w:p>
    <w:p>
      <w:pPr>
        <w:ind w:firstLine="480"/>
        <w:rPr>
          <w:rFonts w:ascii="Times New Roman" w:hAnsi="Times New Roman"/>
          <w:color w:val="auto"/>
        </w:rPr>
      </w:pPr>
      <w:r>
        <w:rPr>
          <w:rFonts w:hint="eastAsia" w:ascii="Times New Roman" w:hAnsi="Times New Roman"/>
          <w:color w:val="auto"/>
        </w:rPr>
        <w:t>（3）监测结果</w:t>
      </w:r>
    </w:p>
    <w:p>
      <w:pPr>
        <w:ind w:firstLine="480"/>
        <w:rPr>
          <w:rFonts w:ascii="Times New Roman" w:hAnsi="Times New Roman"/>
          <w:color w:val="auto"/>
        </w:rPr>
      </w:pPr>
      <w:r>
        <w:rPr>
          <w:rFonts w:hint="eastAsia" w:ascii="Times New Roman" w:hAnsi="Times New Roman"/>
          <w:color w:val="auto"/>
        </w:rPr>
        <w:t>监测结果如下表4-9和表4-10、表4-12。</w:t>
      </w:r>
    </w:p>
    <w:p>
      <w:pPr>
        <w:numPr>
          <w:ilvl w:val="0"/>
          <w:numId w:val="29"/>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 xml:space="preserve">  地下水水位及水温监测结果</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7"/>
        <w:gridCol w:w="2261"/>
        <w:gridCol w:w="2257"/>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采样位置</w:t>
            </w:r>
          </w:p>
        </w:tc>
        <w:tc>
          <w:tcPr>
            <w:tcW w:w="12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采样日期</w:t>
            </w:r>
          </w:p>
        </w:tc>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水位（</w:t>
            </w:r>
            <w:r>
              <w:rPr>
                <w:rFonts w:ascii="Times New Roman" w:hAnsi="Times New Roman"/>
                <w:color w:val="auto"/>
                <w:sz w:val="21"/>
              </w:rPr>
              <w:t>m</w:t>
            </w:r>
            <w:r>
              <w:rPr>
                <w:rFonts w:ascii="Times New Roman"/>
                <w:color w:val="auto"/>
                <w:sz w:val="21"/>
              </w:rPr>
              <w:t>）</w:t>
            </w:r>
          </w:p>
        </w:tc>
        <w:tc>
          <w:tcPr>
            <w:tcW w:w="125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水温</w:t>
            </w: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项目场地上游</w:t>
            </w:r>
            <w:r>
              <w:rPr>
                <w:rFonts w:ascii="Times New Roman" w:hAnsi="Times New Roman"/>
                <w:color w:val="auto"/>
                <w:sz w:val="21"/>
              </w:rPr>
              <w:t>D1</w:t>
            </w:r>
          </w:p>
        </w:tc>
        <w:tc>
          <w:tcPr>
            <w:tcW w:w="1251"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2020年3</w:t>
            </w:r>
            <w:r>
              <w:rPr>
                <w:rFonts w:ascii="Times New Roman"/>
                <w:color w:val="auto"/>
                <w:sz w:val="21"/>
              </w:rPr>
              <w:t>月</w:t>
            </w:r>
            <w:r>
              <w:rPr>
                <w:rFonts w:hint="eastAsia" w:ascii="Times New Roman" w:hAnsi="Times New Roman"/>
                <w:color w:val="auto"/>
                <w:sz w:val="21"/>
              </w:rPr>
              <w:t>18</w:t>
            </w:r>
            <w:r>
              <w:rPr>
                <w:rFonts w:ascii="Times New Roman"/>
                <w:color w:val="auto"/>
                <w:sz w:val="21"/>
              </w:rPr>
              <w:t>日</w:t>
            </w:r>
          </w:p>
        </w:tc>
        <w:tc>
          <w:tcPr>
            <w:tcW w:w="1249"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hint="eastAsia" w:ascii="Times New Roman" w:hAnsi="Times New Roman" w:eastAsia="楷体_GB2312"/>
                <w:color w:val="auto"/>
                <w:sz w:val="21"/>
              </w:rPr>
              <w:t>1.3</w:t>
            </w:r>
          </w:p>
        </w:tc>
        <w:tc>
          <w:tcPr>
            <w:tcW w:w="1251"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hint="eastAsia" w:ascii="Times New Roman" w:hAnsi="Times New Roman" w:eastAsia="楷体_GB2312"/>
                <w:color w:val="auto"/>
                <w:sz w:val="2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项目场地上游</w:t>
            </w:r>
            <w:r>
              <w:rPr>
                <w:rFonts w:ascii="Times New Roman" w:hAnsi="Times New Roman"/>
                <w:color w:val="auto"/>
                <w:sz w:val="21"/>
              </w:rPr>
              <w:t>D2</w:t>
            </w:r>
          </w:p>
        </w:tc>
        <w:tc>
          <w:tcPr>
            <w:tcW w:w="125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49"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1.3</w:t>
            </w:r>
          </w:p>
        </w:tc>
        <w:tc>
          <w:tcPr>
            <w:tcW w:w="1251"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项目场地</w:t>
            </w:r>
            <w:r>
              <w:rPr>
                <w:rFonts w:ascii="Times New Roman" w:hAnsi="Times New Roman"/>
                <w:color w:val="auto"/>
                <w:sz w:val="21"/>
              </w:rPr>
              <w:t>D3</w:t>
            </w:r>
          </w:p>
        </w:tc>
        <w:tc>
          <w:tcPr>
            <w:tcW w:w="125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49"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1.1</w:t>
            </w:r>
          </w:p>
        </w:tc>
        <w:tc>
          <w:tcPr>
            <w:tcW w:w="1251"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项目场地</w:t>
            </w:r>
            <w:r>
              <w:rPr>
                <w:rFonts w:ascii="Times New Roman" w:hAnsi="Times New Roman"/>
                <w:color w:val="auto"/>
                <w:sz w:val="21"/>
              </w:rPr>
              <w:t>D4</w:t>
            </w:r>
          </w:p>
        </w:tc>
        <w:tc>
          <w:tcPr>
            <w:tcW w:w="125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49"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1.1</w:t>
            </w:r>
          </w:p>
        </w:tc>
        <w:tc>
          <w:tcPr>
            <w:tcW w:w="1251"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项目场地下游</w:t>
            </w:r>
            <w:r>
              <w:rPr>
                <w:rFonts w:ascii="Times New Roman" w:hAnsi="Times New Roman"/>
                <w:color w:val="auto"/>
                <w:sz w:val="21"/>
              </w:rPr>
              <w:t>D5</w:t>
            </w:r>
          </w:p>
        </w:tc>
        <w:tc>
          <w:tcPr>
            <w:tcW w:w="125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49"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1.5</w:t>
            </w:r>
          </w:p>
        </w:tc>
        <w:tc>
          <w:tcPr>
            <w:tcW w:w="1251"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项目场地下游</w:t>
            </w:r>
            <w:r>
              <w:rPr>
                <w:rFonts w:ascii="Times New Roman" w:hAnsi="Times New Roman"/>
                <w:color w:val="auto"/>
                <w:sz w:val="21"/>
              </w:rPr>
              <w:t>D6</w:t>
            </w:r>
          </w:p>
        </w:tc>
        <w:tc>
          <w:tcPr>
            <w:tcW w:w="125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49"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1.5</w:t>
            </w:r>
          </w:p>
        </w:tc>
        <w:tc>
          <w:tcPr>
            <w:tcW w:w="1251" w:type="pct"/>
            <w:vAlign w:val="center"/>
          </w:tcPr>
          <w:p>
            <w:pPr>
              <w:keepNext w:val="0"/>
              <w:keepLines w:val="0"/>
              <w:numPr>
                <w:ilvl w:val="12"/>
                <w:numId w:val="0"/>
              </w:numPr>
              <w:suppressLineNumbers w:val="0"/>
              <w:spacing w:before="0" w:beforeAutospacing="0" w:after="0" w:afterAutospacing="0" w:line="360" w:lineRule="exact"/>
              <w:ind w:left="0" w:right="0"/>
              <w:jc w:val="center"/>
              <w:rPr>
                <w:rFonts w:ascii="Times New Roman" w:hAnsi="Times New Roman" w:eastAsia="楷体_GB2312"/>
                <w:color w:val="auto"/>
                <w:sz w:val="21"/>
              </w:rPr>
            </w:pPr>
            <w:r>
              <w:rPr>
                <w:rFonts w:ascii="Times New Roman" w:hAnsi="Times New Roman"/>
                <w:color w:val="auto"/>
                <w:sz w:val="21"/>
              </w:rPr>
              <w:t>18.7</w:t>
            </w:r>
          </w:p>
        </w:tc>
      </w:tr>
    </w:tbl>
    <w:p>
      <w:pPr>
        <w:wordWrap w:val="0"/>
        <w:spacing w:line="240" w:lineRule="auto"/>
        <w:ind w:left="420" w:right="105" w:firstLine="0" w:firstLineChars="0"/>
        <w:jc w:val="right"/>
        <w:rPr>
          <w:rFonts w:ascii="Times New Roman" w:hAnsi="Times New Roman"/>
          <w:b/>
          <w:color w:val="auto"/>
          <w:sz w:val="21"/>
          <w:szCs w:val="24"/>
        </w:rPr>
      </w:pPr>
      <w:r>
        <w:rPr>
          <w:rFonts w:hint="eastAsia" w:ascii="Times New Roman" w:hAnsi="Times New Roman"/>
          <w:b/>
          <w:color w:val="auto"/>
          <w:sz w:val="21"/>
        </w:rPr>
        <w:t xml:space="preserve">表4-10  </w:t>
      </w:r>
      <w:r>
        <w:rPr>
          <w:rFonts w:ascii="Times New Roman" w:hAnsi="Times New Roman"/>
          <w:b/>
          <w:color w:val="auto"/>
          <w:sz w:val="21"/>
        </w:rPr>
        <w:t xml:space="preserve">基本因子监测结果一览表   </w:t>
      </w:r>
      <w:r>
        <w:rPr>
          <w:rFonts w:hint="eastAsia" w:ascii="Times New Roman" w:hAnsi="Times New Roman"/>
          <w:b/>
          <w:color w:val="auto"/>
          <w:sz w:val="21"/>
        </w:rPr>
        <w:t xml:space="preserve">        </w:t>
      </w:r>
      <w:r>
        <w:rPr>
          <w:rFonts w:ascii="Times New Roman" w:hAnsi="Times New Roman"/>
          <w:b/>
          <w:color w:val="auto"/>
          <w:sz w:val="21"/>
        </w:rPr>
        <w:t xml:space="preserve">           </w:t>
      </w:r>
      <w:r>
        <w:rPr>
          <w:rFonts w:ascii="Times New Roman"/>
          <w:b/>
          <w:color w:val="auto"/>
          <w:sz w:val="21"/>
        </w:rPr>
        <w:t>单位：</w:t>
      </w:r>
      <w:r>
        <w:rPr>
          <w:rFonts w:ascii="Times New Roman" w:hAnsi="Times New Roman"/>
          <w:b/>
          <w:color w:val="auto"/>
          <w:sz w:val="21"/>
        </w:rPr>
        <w:t>mg/L</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72"/>
        <w:gridCol w:w="982"/>
        <w:gridCol w:w="774"/>
        <w:gridCol w:w="920"/>
        <w:gridCol w:w="925"/>
        <w:gridCol w:w="982"/>
        <w:gridCol w:w="1128"/>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color w:val="auto"/>
                <w:sz w:val="21"/>
              </w:rPr>
              <w:t>点位</w:t>
            </w:r>
          </w:p>
        </w:tc>
        <w:tc>
          <w:tcPr>
            <w:tcW w:w="427"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K</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Na</w:t>
            </w:r>
          </w:p>
        </w:tc>
        <w:tc>
          <w:tcPr>
            <w:tcW w:w="4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Ca</w:t>
            </w:r>
          </w:p>
        </w:tc>
        <w:tc>
          <w:tcPr>
            <w:tcW w:w="509"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Mg</w:t>
            </w:r>
          </w:p>
        </w:tc>
        <w:tc>
          <w:tcPr>
            <w:tcW w:w="512"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CO</w:t>
            </w:r>
            <w:r>
              <w:rPr>
                <w:rFonts w:ascii="Times New Roman" w:hAnsi="Times New Roman"/>
                <w:color w:val="auto"/>
                <w:sz w:val="21"/>
                <w:vertAlign w:val="subscript"/>
              </w:rPr>
              <w:t>3</w:t>
            </w:r>
            <w:r>
              <w:rPr>
                <w:rFonts w:ascii="Times New Roman" w:hAnsi="Times New Roman"/>
                <w:color w:val="auto"/>
                <w:sz w:val="21"/>
                <w:vertAlign w:val="superscript"/>
              </w:rPr>
              <w:t>2-</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HCO</w:t>
            </w:r>
            <w:r>
              <w:rPr>
                <w:rFonts w:ascii="Times New Roman" w:hAnsi="Times New Roman"/>
                <w:color w:val="auto"/>
                <w:sz w:val="21"/>
                <w:vertAlign w:val="subscript"/>
              </w:rPr>
              <w:t>3</w:t>
            </w:r>
          </w:p>
        </w:tc>
        <w:tc>
          <w:tcPr>
            <w:tcW w:w="62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color w:val="auto"/>
                <w:sz w:val="21"/>
              </w:rPr>
              <w:t>硫酸盐</w:t>
            </w:r>
          </w:p>
        </w:tc>
        <w:tc>
          <w:tcPr>
            <w:tcW w:w="6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color w:val="auto"/>
                <w:sz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C1</w:t>
            </w:r>
          </w:p>
        </w:tc>
        <w:tc>
          <w:tcPr>
            <w:tcW w:w="427"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412</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7.15×10</w:t>
            </w:r>
            <w:r>
              <w:rPr>
                <w:rFonts w:ascii="Times New Roman" w:hAnsi="Times New Roman"/>
                <w:color w:val="auto"/>
                <w:sz w:val="21"/>
                <w:vertAlign w:val="superscript"/>
              </w:rPr>
              <w:t>3</w:t>
            </w:r>
          </w:p>
        </w:tc>
        <w:tc>
          <w:tcPr>
            <w:tcW w:w="4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190</w:t>
            </w:r>
          </w:p>
        </w:tc>
        <w:tc>
          <w:tcPr>
            <w:tcW w:w="509"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324</w:t>
            </w:r>
          </w:p>
        </w:tc>
        <w:tc>
          <w:tcPr>
            <w:tcW w:w="512"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&lt;5</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2.22×10</w:t>
            </w:r>
            <w:r>
              <w:rPr>
                <w:rFonts w:ascii="Times New Roman" w:hAnsi="Times New Roman"/>
                <w:color w:val="auto"/>
                <w:sz w:val="21"/>
                <w:vertAlign w:val="superscript"/>
              </w:rPr>
              <w:t>3</w:t>
            </w:r>
          </w:p>
        </w:tc>
        <w:tc>
          <w:tcPr>
            <w:tcW w:w="62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304</w:t>
            </w:r>
          </w:p>
        </w:tc>
        <w:tc>
          <w:tcPr>
            <w:tcW w:w="6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1.01×10</w:t>
            </w:r>
            <w:r>
              <w:rPr>
                <w:rFonts w:ascii="Times New Roman" w:hAnsi="Times New Roman"/>
                <w:color w:val="auto"/>
                <w:sz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C2</w:t>
            </w:r>
          </w:p>
        </w:tc>
        <w:tc>
          <w:tcPr>
            <w:tcW w:w="427"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267</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3.89×10</w:t>
            </w:r>
            <w:r>
              <w:rPr>
                <w:rFonts w:ascii="Times New Roman" w:hAnsi="Times New Roman"/>
                <w:color w:val="auto"/>
                <w:sz w:val="21"/>
                <w:vertAlign w:val="superscript"/>
              </w:rPr>
              <w:t>3</w:t>
            </w:r>
          </w:p>
        </w:tc>
        <w:tc>
          <w:tcPr>
            <w:tcW w:w="4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182</w:t>
            </w:r>
          </w:p>
        </w:tc>
        <w:tc>
          <w:tcPr>
            <w:tcW w:w="509"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77.6</w:t>
            </w:r>
          </w:p>
        </w:tc>
        <w:tc>
          <w:tcPr>
            <w:tcW w:w="512"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&lt;5</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620</w:t>
            </w:r>
          </w:p>
        </w:tc>
        <w:tc>
          <w:tcPr>
            <w:tcW w:w="62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462</w:t>
            </w:r>
          </w:p>
        </w:tc>
        <w:tc>
          <w:tcPr>
            <w:tcW w:w="6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6.19×10</w:t>
            </w:r>
            <w:r>
              <w:rPr>
                <w:rFonts w:ascii="Times New Roman" w:hAnsi="Times New Roman"/>
                <w:color w:val="auto"/>
                <w:sz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C3</w:t>
            </w:r>
          </w:p>
        </w:tc>
        <w:tc>
          <w:tcPr>
            <w:tcW w:w="427"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571</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8.55×10</w:t>
            </w:r>
            <w:r>
              <w:rPr>
                <w:rFonts w:ascii="Times New Roman" w:hAnsi="Times New Roman"/>
                <w:color w:val="auto"/>
                <w:sz w:val="21"/>
                <w:vertAlign w:val="superscript"/>
              </w:rPr>
              <w:t>3</w:t>
            </w:r>
          </w:p>
        </w:tc>
        <w:tc>
          <w:tcPr>
            <w:tcW w:w="4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458</w:t>
            </w:r>
          </w:p>
        </w:tc>
        <w:tc>
          <w:tcPr>
            <w:tcW w:w="509" w:type="pct"/>
            <w:vAlign w:val="center"/>
          </w:tcPr>
          <w:p>
            <w:pPr>
              <w:keepNext w:val="0"/>
              <w:keepLines w:val="0"/>
              <w:numPr>
                <w:ilvl w:val="12"/>
                <w:numId w:val="0"/>
              </w:numPr>
              <w:suppressLineNumbers w:val="0"/>
              <w:spacing w:before="0" w:beforeAutospacing="0" w:after="0" w:afterAutospacing="0"/>
              <w:ind w:left="0" w:right="0"/>
              <w:jc w:val="center"/>
              <w:rPr>
                <w:rFonts w:ascii="Times New Roman" w:hAnsi="Times New Roman" w:eastAsia="楷体_GB2312"/>
                <w:color w:val="auto"/>
                <w:sz w:val="21"/>
              </w:rPr>
            </w:pPr>
            <w:r>
              <w:rPr>
                <w:rFonts w:ascii="Times New Roman" w:hAnsi="Times New Roman"/>
                <w:color w:val="auto"/>
                <w:sz w:val="21"/>
              </w:rPr>
              <w:t>368</w:t>
            </w:r>
          </w:p>
        </w:tc>
        <w:tc>
          <w:tcPr>
            <w:tcW w:w="512"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&lt;5</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840</w:t>
            </w:r>
          </w:p>
        </w:tc>
        <w:tc>
          <w:tcPr>
            <w:tcW w:w="62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123</w:t>
            </w:r>
          </w:p>
        </w:tc>
        <w:tc>
          <w:tcPr>
            <w:tcW w:w="628"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1.63×10</w:t>
            </w:r>
            <w:r>
              <w:rPr>
                <w:rFonts w:ascii="Times New Roman" w:hAnsi="Times New Roman"/>
                <w:color w:val="auto"/>
                <w:sz w:val="21"/>
                <w:vertAlign w:val="superscript"/>
              </w:rPr>
              <w:t>4</w:t>
            </w:r>
          </w:p>
        </w:tc>
      </w:tr>
    </w:tbl>
    <w:p>
      <w:pPr>
        <w:spacing w:line="240" w:lineRule="auto"/>
        <w:ind w:firstLine="0" w:firstLineChars="0"/>
        <w:jc w:val="center"/>
        <w:rPr>
          <w:rFonts w:ascii="Times New Roman" w:hAnsi="Times New Roman"/>
          <w:b/>
          <w:color w:val="auto"/>
          <w:sz w:val="21"/>
          <w:szCs w:val="24"/>
        </w:rPr>
      </w:pPr>
      <w:r>
        <w:rPr>
          <w:rFonts w:hint="eastAsia"/>
          <w:b/>
          <w:color w:val="auto"/>
          <w:sz w:val="21"/>
        </w:rPr>
        <w:t>表4-11 地</w:t>
      </w:r>
      <w:r>
        <w:rPr>
          <w:rFonts w:ascii="Times New Roman"/>
          <w:b/>
          <w:color w:val="auto"/>
          <w:sz w:val="21"/>
        </w:rPr>
        <w:t>下水</w:t>
      </w:r>
      <w:r>
        <w:rPr>
          <w:rFonts w:ascii="Times New Roman" w:hAnsi="Times New Roman"/>
          <w:b/>
          <w:color w:val="auto"/>
          <w:sz w:val="21"/>
        </w:rPr>
        <w:t>8</w:t>
      </w:r>
      <w:r>
        <w:rPr>
          <w:rFonts w:ascii="Times New Roman"/>
          <w:b/>
          <w:color w:val="auto"/>
          <w:sz w:val="21"/>
        </w:rPr>
        <w:t>大常规离子浓度的平衡</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765"/>
        <w:gridCol w:w="689"/>
        <w:gridCol w:w="980"/>
        <w:gridCol w:w="594"/>
        <w:gridCol w:w="689"/>
        <w:gridCol w:w="702"/>
        <w:gridCol w:w="980"/>
        <w:gridCol w:w="666"/>
        <w:gridCol w:w="980"/>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点位</w:t>
            </w:r>
          </w:p>
        </w:tc>
        <w:tc>
          <w:tcPr>
            <w:tcW w:w="4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单位</w:t>
            </w:r>
          </w:p>
        </w:tc>
        <w:tc>
          <w:tcPr>
            <w:tcW w:w="29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K</w:t>
            </w:r>
            <w:r>
              <w:rPr>
                <w:rFonts w:ascii="Times New Roman" w:hAnsi="Times New Roman"/>
                <w:color w:val="auto"/>
                <w:sz w:val="21"/>
                <w:vertAlign w:val="superscript"/>
              </w:rPr>
              <w:t>+</w:t>
            </w:r>
          </w:p>
        </w:tc>
        <w:tc>
          <w:tcPr>
            <w:tcW w:w="54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Na</w:t>
            </w:r>
            <w:r>
              <w:rPr>
                <w:rFonts w:ascii="Times New Roman" w:hAnsi="Times New Roman"/>
                <w:color w:val="auto"/>
                <w:sz w:val="21"/>
                <w:vertAlign w:val="superscript"/>
              </w:rPr>
              <w:t>+</w:t>
            </w:r>
          </w:p>
        </w:tc>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Ca</w:t>
            </w:r>
            <w:r>
              <w:rPr>
                <w:rFonts w:ascii="Times New Roman" w:hAnsi="Times New Roman"/>
                <w:color w:val="auto"/>
                <w:sz w:val="21"/>
                <w:vertAlign w:val="superscript"/>
              </w:rPr>
              <w:t>2+</w:t>
            </w:r>
          </w:p>
        </w:tc>
        <w:tc>
          <w:tcPr>
            <w:tcW w:w="36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w:t>
            </w:r>
            <w:r>
              <w:rPr>
                <w:rFonts w:ascii="Times New Roman" w:hAnsi="Times New Roman"/>
                <w:color w:val="auto"/>
                <w:sz w:val="21"/>
                <w:vertAlign w:val="superscript"/>
              </w:rPr>
              <w:t>2+</w:t>
            </w:r>
          </w:p>
        </w:tc>
        <w:tc>
          <w:tcPr>
            <w:tcW w:w="3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w:t>
            </w:r>
            <w:r>
              <w:rPr>
                <w:rFonts w:ascii="Times New Roman" w:hAnsi="Times New Roman"/>
                <w:color w:val="auto"/>
                <w:sz w:val="21"/>
                <w:vertAlign w:val="subscript"/>
              </w:rPr>
              <w:t>3</w:t>
            </w:r>
            <w:r>
              <w:rPr>
                <w:rFonts w:ascii="Times New Roman" w:hAnsi="Times New Roman"/>
                <w:color w:val="auto"/>
                <w:sz w:val="21"/>
                <w:vertAlign w:val="superscript"/>
              </w:rPr>
              <w:t>2-</w:t>
            </w:r>
          </w:p>
        </w:tc>
        <w:tc>
          <w:tcPr>
            <w:tcW w:w="54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HCO</w:t>
            </w:r>
            <w:r>
              <w:rPr>
                <w:rFonts w:ascii="Times New Roman" w:hAnsi="Times New Roman"/>
                <w:color w:val="auto"/>
                <w:sz w:val="21"/>
                <w:vertAlign w:val="subscript"/>
              </w:rPr>
              <w:t>3</w:t>
            </w:r>
            <w:r>
              <w:rPr>
                <w:rFonts w:ascii="Times New Roman" w:hAnsi="Times New Roman"/>
                <w:color w:val="auto"/>
                <w:sz w:val="21"/>
                <w:vertAlign w:val="superscript"/>
              </w:rPr>
              <w:t>-</w:t>
            </w:r>
          </w:p>
        </w:tc>
        <w:tc>
          <w:tcPr>
            <w:tcW w:w="37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SO</w:t>
            </w:r>
            <w:r>
              <w:rPr>
                <w:rFonts w:ascii="Times New Roman" w:hAnsi="Times New Roman"/>
                <w:color w:val="auto"/>
                <w:sz w:val="21"/>
                <w:vertAlign w:val="subscript"/>
              </w:rPr>
              <w:t>4</w:t>
            </w:r>
            <w:r>
              <w:rPr>
                <w:rFonts w:ascii="Times New Roman" w:hAnsi="Times New Roman"/>
                <w:color w:val="auto"/>
                <w:sz w:val="21"/>
                <w:vertAlign w:val="superscript"/>
              </w:rPr>
              <w:t>2-</w:t>
            </w:r>
          </w:p>
        </w:tc>
        <w:tc>
          <w:tcPr>
            <w:tcW w:w="54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Cl</w:t>
            </w:r>
            <w:r>
              <w:rPr>
                <w:rFonts w:ascii="Times New Roman" w:hAnsi="Times New Roman"/>
                <w:color w:val="auto"/>
                <w:sz w:val="21"/>
                <w:vertAlign w:val="superscript"/>
              </w:rPr>
              <w:t>-</w:t>
            </w:r>
          </w:p>
        </w:tc>
        <w:tc>
          <w:tcPr>
            <w:tcW w:w="9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color w:val="auto"/>
                <w:sz w:val="21"/>
              </w:rPr>
              <w:t>离子平衡误差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C1</w:t>
            </w:r>
          </w:p>
        </w:tc>
        <w:tc>
          <w:tcPr>
            <w:tcW w:w="42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mg/L</w:t>
            </w:r>
          </w:p>
        </w:tc>
        <w:tc>
          <w:tcPr>
            <w:tcW w:w="29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412</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7.15×10</w:t>
            </w:r>
            <w:r>
              <w:rPr>
                <w:rFonts w:ascii="Times New Roman" w:hAnsi="Times New Roman"/>
                <w:color w:val="auto"/>
                <w:sz w:val="21"/>
                <w:vertAlign w:val="superscript"/>
              </w:rPr>
              <w:t>3</w:t>
            </w:r>
          </w:p>
        </w:tc>
        <w:tc>
          <w:tcPr>
            <w:tcW w:w="331"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190</w:t>
            </w:r>
          </w:p>
        </w:tc>
        <w:tc>
          <w:tcPr>
            <w:tcW w:w="36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324</w:t>
            </w:r>
          </w:p>
        </w:tc>
        <w:tc>
          <w:tcPr>
            <w:tcW w:w="385"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&lt;5</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2.22×10</w:t>
            </w:r>
            <w:r>
              <w:rPr>
                <w:rFonts w:ascii="Times New Roman" w:hAnsi="Times New Roman"/>
                <w:color w:val="auto"/>
                <w:sz w:val="21"/>
                <w:vertAlign w:val="superscript"/>
              </w:rPr>
              <w:t>3</w:t>
            </w:r>
          </w:p>
        </w:tc>
        <w:tc>
          <w:tcPr>
            <w:tcW w:w="372"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304</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1.01×10</w:t>
            </w:r>
            <w:r>
              <w:rPr>
                <w:rFonts w:ascii="Times New Roman" w:hAnsi="Times New Roman"/>
                <w:color w:val="auto"/>
                <w:sz w:val="21"/>
                <w:vertAlign w:val="superscript"/>
              </w:rPr>
              <w:t>4</w:t>
            </w:r>
          </w:p>
        </w:tc>
        <w:tc>
          <w:tcPr>
            <w:tcW w:w="9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2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meq/L</w:t>
            </w:r>
          </w:p>
        </w:tc>
        <w:tc>
          <w:tcPr>
            <w:tcW w:w="29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10.56</w:t>
            </w:r>
          </w:p>
        </w:tc>
        <w:tc>
          <w:tcPr>
            <w:tcW w:w="54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310.87</w:t>
            </w:r>
          </w:p>
        </w:tc>
        <w:tc>
          <w:tcPr>
            <w:tcW w:w="331"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9.5</w:t>
            </w:r>
          </w:p>
        </w:tc>
        <w:tc>
          <w:tcPr>
            <w:tcW w:w="36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385"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&lt;</w:t>
            </w:r>
            <w:r>
              <w:rPr>
                <w:rFonts w:hint="eastAsia" w:ascii="Times New Roman" w:hAnsi="Times New Roman"/>
                <w:color w:val="auto"/>
                <w:sz w:val="21"/>
              </w:rPr>
              <w:t>0.17</w:t>
            </w:r>
          </w:p>
        </w:tc>
        <w:tc>
          <w:tcPr>
            <w:tcW w:w="54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36.39</w:t>
            </w:r>
          </w:p>
        </w:tc>
        <w:tc>
          <w:tcPr>
            <w:tcW w:w="372"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6.33</w:t>
            </w:r>
          </w:p>
        </w:tc>
        <w:tc>
          <w:tcPr>
            <w:tcW w:w="54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284.5</w:t>
            </w:r>
          </w:p>
        </w:tc>
        <w:tc>
          <w:tcPr>
            <w:tcW w:w="9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C2</w:t>
            </w:r>
          </w:p>
        </w:tc>
        <w:tc>
          <w:tcPr>
            <w:tcW w:w="42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mg/L</w:t>
            </w:r>
          </w:p>
        </w:tc>
        <w:tc>
          <w:tcPr>
            <w:tcW w:w="29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267</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3.89×10</w:t>
            </w:r>
            <w:r>
              <w:rPr>
                <w:rFonts w:ascii="Times New Roman" w:hAnsi="Times New Roman"/>
                <w:color w:val="auto"/>
                <w:sz w:val="21"/>
                <w:vertAlign w:val="superscript"/>
              </w:rPr>
              <w:t>3</w:t>
            </w:r>
          </w:p>
        </w:tc>
        <w:tc>
          <w:tcPr>
            <w:tcW w:w="331"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182</w:t>
            </w:r>
          </w:p>
        </w:tc>
        <w:tc>
          <w:tcPr>
            <w:tcW w:w="36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77.6</w:t>
            </w:r>
          </w:p>
        </w:tc>
        <w:tc>
          <w:tcPr>
            <w:tcW w:w="385"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&lt;5</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620</w:t>
            </w:r>
          </w:p>
        </w:tc>
        <w:tc>
          <w:tcPr>
            <w:tcW w:w="372"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462</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6.19×10</w:t>
            </w:r>
            <w:r>
              <w:rPr>
                <w:rFonts w:ascii="Times New Roman" w:hAnsi="Times New Roman"/>
                <w:color w:val="auto"/>
                <w:sz w:val="21"/>
                <w:vertAlign w:val="superscript"/>
              </w:rPr>
              <w:t>3</w:t>
            </w:r>
          </w:p>
        </w:tc>
        <w:tc>
          <w:tcPr>
            <w:tcW w:w="9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2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meq/L</w:t>
            </w:r>
          </w:p>
        </w:tc>
        <w:tc>
          <w:tcPr>
            <w:tcW w:w="29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6.85</w:t>
            </w:r>
          </w:p>
        </w:tc>
        <w:tc>
          <w:tcPr>
            <w:tcW w:w="54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169.1</w:t>
            </w:r>
          </w:p>
        </w:tc>
        <w:tc>
          <w:tcPr>
            <w:tcW w:w="331"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9.1</w:t>
            </w:r>
          </w:p>
        </w:tc>
        <w:tc>
          <w:tcPr>
            <w:tcW w:w="36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6.39</w:t>
            </w:r>
          </w:p>
        </w:tc>
        <w:tc>
          <w:tcPr>
            <w:tcW w:w="385"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&lt;</w:t>
            </w:r>
            <w:r>
              <w:rPr>
                <w:rFonts w:hint="eastAsia" w:ascii="Times New Roman" w:hAnsi="Times New Roman"/>
                <w:color w:val="auto"/>
                <w:sz w:val="21"/>
              </w:rPr>
              <w:t>0.17</w:t>
            </w:r>
          </w:p>
        </w:tc>
        <w:tc>
          <w:tcPr>
            <w:tcW w:w="54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10.16</w:t>
            </w:r>
          </w:p>
        </w:tc>
        <w:tc>
          <w:tcPr>
            <w:tcW w:w="372"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9.63</w:t>
            </w:r>
          </w:p>
        </w:tc>
        <w:tc>
          <w:tcPr>
            <w:tcW w:w="54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174.4</w:t>
            </w:r>
          </w:p>
        </w:tc>
        <w:tc>
          <w:tcPr>
            <w:tcW w:w="9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C3</w:t>
            </w:r>
          </w:p>
        </w:tc>
        <w:tc>
          <w:tcPr>
            <w:tcW w:w="423"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mg/L</w:t>
            </w:r>
          </w:p>
        </w:tc>
        <w:tc>
          <w:tcPr>
            <w:tcW w:w="294"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571</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8.55×10</w:t>
            </w:r>
            <w:r>
              <w:rPr>
                <w:rFonts w:ascii="Times New Roman" w:hAnsi="Times New Roman"/>
                <w:color w:val="auto"/>
                <w:sz w:val="21"/>
                <w:vertAlign w:val="superscript"/>
              </w:rPr>
              <w:t>3</w:t>
            </w:r>
          </w:p>
        </w:tc>
        <w:tc>
          <w:tcPr>
            <w:tcW w:w="331"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458</w:t>
            </w:r>
          </w:p>
        </w:tc>
        <w:tc>
          <w:tcPr>
            <w:tcW w:w="364" w:type="pct"/>
            <w:vAlign w:val="center"/>
          </w:tcPr>
          <w:p>
            <w:pPr>
              <w:keepNext w:val="0"/>
              <w:keepLines w:val="0"/>
              <w:numPr>
                <w:ilvl w:val="12"/>
                <w:numId w:val="0"/>
              </w:numPr>
              <w:suppressLineNumbers w:val="0"/>
              <w:spacing w:before="0" w:beforeAutospacing="0" w:after="0" w:afterAutospacing="0"/>
              <w:ind w:left="0" w:right="0"/>
              <w:jc w:val="center"/>
              <w:rPr>
                <w:rFonts w:ascii="Times New Roman" w:hAnsi="Times New Roman" w:eastAsia="楷体_GB2312"/>
                <w:color w:val="auto"/>
                <w:sz w:val="21"/>
              </w:rPr>
            </w:pPr>
            <w:r>
              <w:rPr>
                <w:rFonts w:ascii="Times New Roman" w:hAnsi="Times New Roman"/>
                <w:color w:val="auto"/>
                <w:sz w:val="21"/>
              </w:rPr>
              <w:t>368</w:t>
            </w:r>
          </w:p>
        </w:tc>
        <w:tc>
          <w:tcPr>
            <w:tcW w:w="385"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&lt;5</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840</w:t>
            </w:r>
          </w:p>
        </w:tc>
        <w:tc>
          <w:tcPr>
            <w:tcW w:w="372"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123</w:t>
            </w:r>
          </w:p>
        </w:tc>
        <w:tc>
          <w:tcPr>
            <w:tcW w:w="543" w:type="pct"/>
            <w:vAlign w:val="center"/>
          </w:tcPr>
          <w:p>
            <w:pPr>
              <w:keepNext w:val="0"/>
              <w:keepLines w:val="0"/>
              <w:widowControl/>
              <w:suppressLineNumbers w:val="0"/>
              <w:autoSpaceDE w:val="0"/>
              <w:autoSpaceDN w:val="0"/>
              <w:spacing w:before="0" w:beforeAutospacing="0" w:after="0" w:afterAutospacing="0" w:line="240" w:lineRule="auto"/>
              <w:ind w:left="0" w:right="0" w:firstLine="0" w:firstLineChars="0"/>
              <w:jc w:val="center"/>
              <w:outlineLvl w:val="3"/>
              <w:rPr>
                <w:rFonts w:ascii="Times New Roman" w:hAnsi="Times New Roman"/>
                <w:color w:val="auto"/>
                <w:sz w:val="21"/>
              </w:rPr>
            </w:pPr>
            <w:r>
              <w:rPr>
                <w:rFonts w:ascii="Times New Roman" w:hAnsi="Times New Roman"/>
                <w:color w:val="auto"/>
                <w:sz w:val="21"/>
              </w:rPr>
              <w:t>1.63×10</w:t>
            </w:r>
            <w:r>
              <w:rPr>
                <w:rFonts w:ascii="Times New Roman" w:hAnsi="Times New Roman"/>
                <w:color w:val="auto"/>
                <w:sz w:val="21"/>
                <w:vertAlign w:val="superscript"/>
              </w:rPr>
              <w:t>4</w:t>
            </w:r>
          </w:p>
        </w:tc>
        <w:tc>
          <w:tcPr>
            <w:tcW w:w="9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2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meq/L</w:t>
            </w:r>
          </w:p>
        </w:tc>
        <w:tc>
          <w:tcPr>
            <w:tcW w:w="29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14.64</w:t>
            </w:r>
          </w:p>
        </w:tc>
        <w:tc>
          <w:tcPr>
            <w:tcW w:w="54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371.7</w:t>
            </w:r>
          </w:p>
        </w:tc>
        <w:tc>
          <w:tcPr>
            <w:tcW w:w="331"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22.9</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30.29</w:t>
            </w:r>
          </w:p>
        </w:tc>
        <w:tc>
          <w:tcPr>
            <w:tcW w:w="38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&lt;</w:t>
            </w:r>
            <w:r>
              <w:rPr>
                <w:rFonts w:hint="eastAsia" w:ascii="Times New Roman" w:hAnsi="Times New Roman"/>
                <w:color w:val="auto"/>
                <w:sz w:val="21"/>
              </w:rPr>
              <w:t>0.17</w:t>
            </w:r>
          </w:p>
        </w:tc>
        <w:tc>
          <w:tcPr>
            <w:tcW w:w="54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13.77</w:t>
            </w:r>
          </w:p>
        </w:tc>
        <w:tc>
          <w:tcPr>
            <w:tcW w:w="37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2.56</w:t>
            </w:r>
          </w:p>
        </w:tc>
        <w:tc>
          <w:tcPr>
            <w:tcW w:w="54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459.2</w:t>
            </w:r>
          </w:p>
        </w:tc>
        <w:tc>
          <w:tcPr>
            <w:tcW w:w="90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-36.17</w:t>
            </w:r>
          </w:p>
        </w:tc>
      </w:tr>
    </w:tbl>
    <w:p>
      <w:pPr>
        <w:ind w:firstLine="480"/>
        <w:rPr>
          <w:rFonts w:ascii="Times New Roman" w:hAnsi="Times New Roman"/>
          <w:color w:val="auto"/>
          <w:kern w:val="0"/>
        </w:rPr>
        <w:sectPr>
          <w:footerReference r:id="rId17" w:type="first"/>
          <w:footerReference r:id="rId16" w:type="default"/>
          <w:pgSz w:w="11906" w:h="16838"/>
          <w:pgMar w:top="1440" w:right="1286" w:bottom="1440" w:left="1800" w:header="851" w:footer="992" w:gutter="0"/>
          <w:cols w:space="720" w:num="1"/>
          <w:titlePg/>
          <w:docGrid w:type="lines" w:linePitch="312" w:charSpace="0"/>
        </w:sectPr>
      </w:pPr>
    </w:p>
    <w:p>
      <w:pPr>
        <w:wordWrap w:val="0"/>
        <w:spacing w:line="240" w:lineRule="auto"/>
        <w:ind w:left="420" w:right="105" w:firstLine="0" w:firstLineChars="0"/>
        <w:jc w:val="right"/>
        <w:rPr>
          <w:rFonts w:ascii="Times New Roman" w:hAnsi="Times New Roman"/>
          <w:b/>
          <w:color w:val="auto"/>
          <w:sz w:val="21"/>
          <w:szCs w:val="24"/>
        </w:rPr>
      </w:pPr>
      <w:r>
        <w:rPr>
          <w:rFonts w:hint="eastAsia"/>
          <w:b/>
          <w:color w:val="auto"/>
          <w:sz w:val="21"/>
        </w:rPr>
        <w:t xml:space="preserve">表4-12  </w:t>
      </w:r>
      <w:r>
        <w:rPr>
          <w:b/>
          <w:color w:val="auto"/>
          <w:sz w:val="21"/>
        </w:rPr>
        <w:t>地下水监测结果表</w:t>
      </w:r>
      <w:r>
        <w:rPr>
          <w:rFonts w:ascii="Times New Roman" w:hAnsi="Times New Roman"/>
          <w:b/>
          <w:color w:val="auto"/>
          <w:sz w:val="21"/>
        </w:rPr>
        <w:t xml:space="preserve">    </w:t>
      </w:r>
      <w:r>
        <w:rPr>
          <w:rFonts w:hint="eastAsia" w:ascii="Times New Roman" w:hAnsi="Times New Roman"/>
          <w:b/>
          <w:color w:val="auto"/>
          <w:sz w:val="21"/>
        </w:rPr>
        <w:t xml:space="preserve">                </w:t>
      </w:r>
      <w:r>
        <w:rPr>
          <w:rFonts w:ascii="Times New Roman" w:hAnsi="Times New Roman"/>
          <w:b/>
          <w:color w:val="auto"/>
          <w:sz w:val="21"/>
        </w:rPr>
        <w:t xml:space="preserve"> </w:t>
      </w:r>
      <w:r>
        <w:rPr>
          <w:rFonts w:ascii="Times New Roman"/>
          <w:b/>
          <w:color w:val="auto"/>
          <w:sz w:val="21"/>
        </w:rPr>
        <w:t>单位：</w:t>
      </w:r>
      <w:r>
        <w:rPr>
          <w:rFonts w:ascii="Times New Roman" w:hAnsi="Times New Roman"/>
          <w:b/>
          <w:color w:val="auto"/>
          <w:sz w:val="21"/>
        </w:rPr>
        <w:t>mg/L</w:t>
      </w:r>
      <w:r>
        <w:rPr>
          <w:rFonts w:ascii="Times New Roman"/>
          <w:b/>
          <w:color w:val="auto"/>
          <w:sz w:val="21"/>
        </w:rPr>
        <w:t>，</w:t>
      </w:r>
      <w:r>
        <w:rPr>
          <w:rFonts w:ascii="Times New Roman" w:hAnsi="Times New Roman"/>
          <w:b/>
          <w:color w:val="auto"/>
          <w:sz w:val="21"/>
        </w:rPr>
        <w:t>pH</w:t>
      </w:r>
      <w:r>
        <w:rPr>
          <w:rFonts w:ascii="Times New Roman"/>
          <w:b/>
          <w:color w:val="auto"/>
          <w:sz w:val="21"/>
        </w:rPr>
        <w:t>无量纲，细菌总数</w:t>
      </w:r>
      <w:r>
        <w:rPr>
          <w:rFonts w:ascii="Times New Roman" w:hAnsi="Times New Roman"/>
          <w:b/>
          <w:color w:val="auto"/>
          <w:sz w:val="21"/>
        </w:rPr>
        <w:t>CFU/mL</w:t>
      </w:r>
      <w:r>
        <w:rPr>
          <w:rFonts w:ascii="Times New Roman"/>
          <w:b/>
          <w:color w:val="auto"/>
          <w:sz w:val="21"/>
        </w:rPr>
        <w:t>，总硬度</w:t>
      </w:r>
      <w:r>
        <w:rPr>
          <w:rFonts w:hint="eastAsia" w:ascii="Times New Roman" w:hAnsi="Times New Roman"/>
          <w:b/>
          <w:color w:val="auto"/>
          <w:sz w:val="21"/>
        </w:rPr>
        <w:t>mg</w:t>
      </w:r>
      <w:r>
        <w:rPr>
          <w:rFonts w:ascii="Times New Roman" w:hAnsi="Times New Roman"/>
          <w:b/>
          <w:color w:val="auto"/>
          <w:sz w:val="21"/>
        </w:rPr>
        <w:t>/L</w:t>
      </w:r>
      <w:r>
        <w:rPr>
          <w:rFonts w:ascii="Times New Roman"/>
          <w:b/>
          <w:color w:val="auto"/>
          <w:sz w:val="21"/>
        </w:rPr>
        <w:t>，总大肠菌群</w:t>
      </w:r>
      <w:r>
        <w:rPr>
          <w:rFonts w:hint="eastAsia" w:ascii="Times New Roman"/>
          <w:b/>
          <w:color w:val="auto"/>
          <w:sz w:val="21"/>
        </w:rPr>
        <w:t>MPN</w:t>
      </w:r>
      <w:r>
        <w:rPr>
          <w:rFonts w:ascii="Times New Roman" w:hAnsi="Times New Roman"/>
          <w:b/>
          <w:color w:val="auto"/>
          <w:sz w:val="21"/>
        </w:rPr>
        <w:t>/L</w:t>
      </w:r>
    </w:p>
    <w:tbl>
      <w:tblPr>
        <w:tblStyle w:val="8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029"/>
        <w:gridCol w:w="1063"/>
        <w:gridCol w:w="1372"/>
        <w:gridCol w:w="1372"/>
        <w:gridCol w:w="981"/>
        <w:gridCol w:w="1074"/>
        <w:gridCol w:w="975"/>
        <w:gridCol w:w="1191"/>
        <w:gridCol w:w="1043"/>
        <w:gridCol w:w="913"/>
        <w:gridCol w:w="1032"/>
        <w:gridCol w:w="794"/>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2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点位</w:t>
            </w:r>
          </w:p>
        </w:tc>
        <w:tc>
          <w:tcPr>
            <w:tcW w:w="4792" w:type="pct"/>
            <w:gridSpan w:val="13"/>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检测项目及结果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C1</w:t>
            </w: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监测因子</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pH</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氨氮</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硝酸盐</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亚硝酸盐</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挥发性酚类</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氰化物</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砷</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汞</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氟化物</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铬（六价）</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铁</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监测结果</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7.30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14.4</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&lt;0.144</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0.005</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&lt;0.0003</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&lt;0.002</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0.00554</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0.000241</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0.34</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&lt;0.004</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0.32</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cs="宋体"/>
                <w:color w:val="auto"/>
                <w:sz w:val="18"/>
                <w:szCs w:val="18"/>
              </w:rPr>
              <w:t>Ⅳ</w:t>
            </w:r>
            <w:r>
              <w:rPr>
                <w:rFonts w:ascii="Times New Roman" w:hAnsi="Times New Roman"/>
                <w:color w:val="auto"/>
                <w:sz w:val="18"/>
                <w:szCs w:val="18"/>
              </w:rPr>
              <w:t>类标准</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5.5~6.5，8.5~9</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w:t>
            </w:r>
            <w:r>
              <w:rPr>
                <w:rFonts w:ascii="Times New Roman" w:hAnsi="Times New Roman"/>
                <w:b/>
                <w:color w:val="auto"/>
                <w:sz w:val="18"/>
                <w:szCs w:val="18"/>
              </w:rPr>
              <w:t>.5</w:t>
            </w:r>
            <w:r>
              <w:rPr>
                <w:rFonts w:hint="eastAsia" w:ascii="Times New Roman" w:hAnsi="Times New Roman"/>
                <w:b/>
                <w:color w:val="auto"/>
                <w:sz w:val="18"/>
                <w:szCs w:val="18"/>
              </w:rPr>
              <w:t>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30</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4.80</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0.01</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≤0.1</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0.05</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0.002</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2.0</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≤0.1</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2.0</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监测因子</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总硬度</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溶解性总固体</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高锰酸盐指数</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氯化物</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硫酸盐</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细菌总数</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总大肠菌群</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镉</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铅</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LAS</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铜</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监测结果</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4.82×10</w:t>
            </w:r>
            <w:r>
              <w:rPr>
                <w:rFonts w:ascii="Times New Roman" w:hAnsi="Times New Roman"/>
                <w:color w:val="auto"/>
                <w:sz w:val="18"/>
                <w:szCs w:val="18"/>
                <w:vertAlign w:val="superscript"/>
              </w:rPr>
              <w:t>3</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2.19×10</w:t>
            </w:r>
            <w:r>
              <w:rPr>
                <w:rFonts w:ascii="Times New Roman" w:hAnsi="Times New Roman"/>
                <w:color w:val="auto"/>
                <w:sz w:val="18"/>
                <w:szCs w:val="18"/>
                <w:vertAlign w:val="superscript"/>
              </w:rPr>
              <w:t>4</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37.8</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1.01×10</w:t>
            </w:r>
            <w:r>
              <w:rPr>
                <w:rFonts w:ascii="Times New Roman" w:hAnsi="Times New Roman"/>
                <w:color w:val="auto"/>
                <w:sz w:val="18"/>
                <w:szCs w:val="18"/>
                <w:vertAlign w:val="superscript"/>
              </w:rPr>
              <w:t>4</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304</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2.5×10</w:t>
            </w:r>
            <w:r>
              <w:rPr>
                <w:rFonts w:ascii="Times New Roman" w:hAnsi="Times New Roman"/>
                <w:color w:val="auto"/>
                <w:sz w:val="18"/>
                <w:szCs w:val="18"/>
                <w:vertAlign w:val="superscript"/>
              </w:rPr>
              <w:t>4</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&lt;20</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&lt;</w:t>
            </w:r>
            <w:r>
              <w:rPr>
                <w:rFonts w:ascii="Times New Roman" w:hAnsi="Times New Roman"/>
                <w:color w:val="auto"/>
                <w:sz w:val="18"/>
                <w:szCs w:val="18"/>
              </w:rPr>
              <w:t>0.0005</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&lt;0.0025</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&lt;0.05</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0.0553</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cs="宋体"/>
                <w:color w:val="auto"/>
                <w:sz w:val="18"/>
                <w:szCs w:val="18"/>
              </w:rPr>
              <w:t>Ⅳ</w:t>
            </w:r>
            <w:r>
              <w:rPr>
                <w:rFonts w:ascii="Times New Roman" w:hAnsi="Times New Roman"/>
                <w:color w:val="auto"/>
                <w:sz w:val="18"/>
                <w:szCs w:val="18"/>
              </w:rPr>
              <w:t>类标准</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6</w:t>
            </w:r>
            <w:r>
              <w:rPr>
                <w:rFonts w:ascii="Times New Roman" w:hAnsi="Times New Roman"/>
                <w:b/>
                <w:color w:val="auto"/>
                <w:sz w:val="18"/>
                <w:szCs w:val="18"/>
              </w:rPr>
              <w:t>50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2000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10</w:t>
            </w:r>
            <w:r>
              <w:rPr>
                <w:rFonts w:ascii="Times New Roman" w:hAnsi="Times New Roman"/>
                <w:b/>
                <w:color w:val="auto"/>
                <w:sz w:val="18"/>
                <w:szCs w:val="18"/>
              </w:rPr>
              <w:t>.0</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≤350</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≤350</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1000</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1000</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0.01</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0.10</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0.3</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≤1.5</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C2</w:t>
            </w: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监测因子</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pH</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氨氮</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硝酸盐</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亚硝酸盐</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挥发性酚类</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氰化物</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砷</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汞</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氟化物</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铬（六价）</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铁</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监测结果</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9.88</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48.4</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&lt;0.144</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2.95</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&lt;0.0003</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&lt;0.002</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0.00809</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0.000266</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0.21</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&lt;0.004</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0.04</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cs="宋体"/>
                <w:color w:val="auto"/>
                <w:sz w:val="18"/>
                <w:szCs w:val="18"/>
              </w:rPr>
              <w:t>Ⅳ</w:t>
            </w:r>
            <w:r>
              <w:rPr>
                <w:rFonts w:ascii="Times New Roman" w:hAnsi="Times New Roman"/>
                <w:color w:val="auto"/>
                <w:sz w:val="18"/>
                <w:szCs w:val="18"/>
              </w:rPr>
              <w:t>类标准</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5.5~6.5，8.5~9</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w:t>
            </w:r>
            <w:r>
              <w:rPr>
                <w:rFonts w:ascii="Times New Roman" w:hAnsi="Times New Roman"/>
                <w:b/>
                <w:color w:val="auto"/>
                <w:sz w:val="18"/>
                <w:szCs w:val="18"/>
              </w:rPr>
              <w:t>.5</w:t>
            </w:r>
            <w:r>
              <w:rPr>
                <w:rFonts w:hint="eastAsia" w:ascii="Times New Roman" w:hAnsi="Times New Roman"/>
                <w:b/>
                <w:color w:val="auto"/>
                <w:sz w:val="18"/>
                <w:szCs w:val="18"/>
              </w:rPr>
              <w:t>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30</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4.80</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0.01</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≤0.1</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0.05</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0.002</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2.0</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≤0.1</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2.0</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监测因子</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总硬度</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溶解性总固体</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高锰酸盐指数</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氯化物</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硫酸盐</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细菌总数</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总大肠菌群</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镉</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铅</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LAS</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铜</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监测结果</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2.68×10</w:t>
            </w:r>
            <w:r>
              <w:rPr>
                <w:rFonts w:ascii="Times New Roman" w:hAnsi="Times New Roman"/>
                <w:color w:val="auto"/>
                <w:sz w:val="18"/>
                <w:szCs w:val="18"/>
                <w:vertAlign w:val="superscript"/>
              </w:rPr>
              <w:t>3</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1.33×10</w:t>
            </w:r>
            <w:r>
              <w:rPr>
                <w:rFonts w:ascii="Times New Roman" w:hAnsi="Times New Roman"/>
                <w:color w:val="auto"/>
                <w:sz w:val="18"/>
                <w:szCs w:val="18"/>
                <w:vertAlign w:val="superscript"/>
              </w:rPr>
              <w:t>4</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50.6</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6.19×10</w:t>
            </w:r>
            <w:r>
              <w:rPr>
                <w:rFonts w:ascii="Times New Roman" w:hAnsi="Times New Roman"/>
                <w:color w:val="auto"/>
                <w:sz w:val="18"/>
                <w:szCs w:val="18"/>
                <w:vertAlign w:val="superscript"/>
              </w:rPr>
              <w:t>3</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462</w:t>
            </w:r>
          </w:p>
        </w:tc>
        <w:tc>
          <w:tcPr>
            <w:tcW w:w="34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3.9×10</w:t>
            </w:r>
            <w:r>
              <w:rPr>
                <w:rFonts w:ascii="Times New Roman" w:hAnsi="Times New Roman"/>
                <w:color w:val="auto"/>
                <w:sz w:val="18"/>
                <w:szCs w:val="18"/>
                <w:vertAlign w:val="superscript"/>
              </w:rPr>
              <w:t>4</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&lt;20</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&lt;</w:t>
            </w:r>
            <w:r>
              <w:rPr>
                <w:rFonts w:ascii="Times New Roman" w:hAnsi="Times New Roman"/>
                <w:color w:val="auto"/>
                <w:sz w:val="18"/>
                <w:szCs w:val="18"/>
              </w:rPr>
              <w:t>0.0005</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&lt;0.0025</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&lt;0.05</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0.0372</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cs="宋体"/>
                <w:color w:val="auto"/>
                <w:sz w:val="18"/>
                <w:szCs w:val="18"/>
              </w:rPr>
              <w:t>Ⅳ</w:t>
            </w:r>
            <w:r>
              <w:rPr>
                <w:rFonts w:ascii="Times New Roman" w:hAnsi="Times New Roman"/>
                <w:color w:val="auto"/>
                <w:sz w:val="18"/>
                <w:szCs w:val="18"/>
              </w:rPr>
              <w:t>类标准</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6</w:t>
            </w:r>
            <w:r>
              <w:rPr>
                <w:rFonts w:ascii="Times New Roman" w:hAnsi="Times New Roman"/>
                <w:b/>
                <w:color w:val="auto"/>
                <w:sz w:val="18"/>
                <w:szCs w:val="18"/>
              </w:rPr>
              <w:t>50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2000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10</w:t>
            </w:r>
            <w:r>
              <w:rPr>
                <w:rFonts w:ascii="Times New Roman" w:hAnsi="Times New Roman"/>
                <w:b/>
                <w:color w:val="auto"/>
                <w:sz w:val="18"/>
                <w:szCs w:val="18"/>
              </w:rPr>
              <w:t>.0</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≤350</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≤350</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1000</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1000</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0.01</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0.10</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0.3</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≤1.5</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C3</w:t>
            </w: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监测因子</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pH</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氨氮</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硝酸盐</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亚硝酸盐</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挥发性酚类</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氰化物</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砷</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汞</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氟化物</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铬（六价）</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铁</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监测结果</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7.88</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28.0</w:t>
            </w:r>
          </w:p>
        </w:tc>
        <w:tc>
          <w:tcPr>
            <w:tcW w:w="48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&lt;0.144</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0.040</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&lt;0.0003</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&lt;0.002</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0.00152</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0.000251</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0.40</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&lt;0.004</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0.54</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cs="宋体"/>
                <w:color w:val="auto"/>
                <w:sz w:val="18"/>
                <w:szCs w:val="18"/>
              </w:rPr>
              <w:t>Ⅳ</w:t>
            </w:r>
            <w:r>
              <w:rPr>
                <w:rFonts w:ascii="Times New Roman" w:hAnsi="Times New Roman"/>
                <w:color w:val="auto"/>
                <w:sz w:val="18"/>
                <w:szCs w:val="18"/>
              </w:rPr>
              <w:t>类标准</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5.5~6.5，8.5~9</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w:t>
            </w:r>
            <w:r>
              <w:rPr>
                <w:rFonts w:ascii="Times New Roman" w:hAnsi="Times New Roman"/>
                <w:b/>
                <w:color w:val="auto"/>
                <w:sz w:val="18"/>
                <w:szCs w:val="18"/>
              </w:rPr>
              <w:t>.5</w:t>
            </w:r>
            <w:r>
              <w:rPr>
                <w:rFonts w:hint="eastAsia" w:ascii="Times New Roman" w:hAnsi="Times New Roman"/>
                <w:b/>
                <w:color w:val="auto"/>
                <w:sz w:val="18"/>
                <w:szCs w:val="18"/>
              </w:rPr>
              <w:t>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30</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4.80</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0.01</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≤0.1</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0.05</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0.002</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2.0</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≤0.1</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2.0</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监测因子</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总硬度</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溶解性总固体</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高锰酸盐指数</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氯化物</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硫酸盐</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细菌总数</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总大肠菌群</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镉</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铅</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LAS</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铜</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监测结果</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6.03×10</w:t>
            </w:r>
            <w:r>
              <w:rPr>
                <w:rFonts w:ascii="Times New Roman" w:hAnsi="Times New Roman"/>
                <w:color w:val="auto"/>
                <w:sz w:val="18"/>
                <w:szCs w:val="18"/>
                <w:vertAlign w:val="superscript"/>
              </w:rPr>
              <w:t>3</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2.89×10</w:t>
            </w:r>
            <w:r>
              <w:rPr>
                <w:rFonts w:ascii="Times New Roman" w:hAnsi="Times New Roman"/>
                <w:color w:val="auto"/>
                <w:sz w:val="18"/>
                <w:szCs w:val="18"/>
                <w:vertAlign w:val="superscript"/>
              </w:rPr>
              <w:t>4</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49.0</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1.63×10</w:t>
            </w:r>
            <w:r>
              <w:rPr>
                <w:rFonts w:ascii="Times New Roman" w:hAnsi="Times New Roman"/>
                <w:color w:val="auto"/>
                <w:sz w:val="18"/>
                <w:szCs w:val="18"/>
                <w:vertAlign w:val="superscript"/>
              </w:rPr>
              <w:t>4</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123</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1.6×10</w:t>
            </w:r>
            <w:r>
              <w:rPr>
                <w:rFonts w:ascii="Times New Roman" w:hAnsi="Times New Roman"/>
                <w:color w:val="auto"/>
                <w:sz w:val="18"/>
                <w:szCs w:val="18"/>
                <w:vertAlign w:val="superscript"/>
              </w:rPr>
              <w:t>4</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&lt;20</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&lt;</w:t>
            </w:r>
            <w:r>
              <w:rPr>
                <w:rFonts w:ascii="Times New Roman" w:hAnsi="Times New Roman"/>
                <w:color w:val="auto"/>
                <w:sz w:val="18"/>
                <w:szCs w:val="18"/>
              </w:rPr>
              <w:t>0.0005</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&lt;0.0025</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&lt;0.05</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0.0671</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8" w:type="pct"/>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3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cs="宋体"/>
                <w:color w:val="auto"/>
                <w:sz w:val="18"/>
                <w:szCs w:val="18"/>
              </w:rPr>
              <w:t>Ⅳ</w:t>
            </w:r>
            <w:r>
              <w:rPr>
                <w:rFonts w:ascii="Times New Roman" w:hAnsi="Times New Roman"/>
                <w:color w:val="auto"/>
                <w:sz w:val="18"/>
                <w:szCs w:val="18"/>
              </w:rPr>
              <w:t>类标准</w:t>
            </w:r>
          </w:p>
        </w:tc>
        <w:tc>
          <w:tcPr>
            <w:tcW w:w="37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6</w:t>
            </w:r>
            <w:r>
              <w:rPr>
                <w:rFonts w:ascii="Times New Roman" w:hAnsi="Times New Roman"/>
                <w:b/>
                <w:color w:val="auto"/>
                <w:sz w:val="18"/>
                <w:szCs w:val="18"/>
              </w:rPr>
              <w:t>50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2000</w:t>
            </w:r>
          </w:p>
        </w:tc>
        <w:tc>
          <w:tcPr>
            <w:tcW w:w="48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10</w:t>
            </w:r>
            <w:r>
              <w:rPr>
                <w:rFonts w:ascii="Times New Roman" w:hAnsi="Times New Roman"/>
                <w:b/>
                <w:color w:val="auto"/>
                <w:sz w:val="18"/>
                <w:szCs w:val="18"/>
              </w:rPr>
              <w:t>.0</w:t>
            </w:r>
          </w:p>
        </w:tc>
        <w:tc>
          <w:tcPr>
            <w:tcW w:w="346"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≤350</w:t>
            </w:r>
          </w:p>
        </w:tc>
        <w:tc>
          <w:tcPr>
            <w:tcW w:w="379"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≤350</w:t>
            </w:r>
          </w:p>
        </w:tc>
        <w:tc>
          <w:tcPr>
            <w:tcW w:w="34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b/>
                <w:color w:val="auto"/>
                <w:sz w:val="18"/>
                <w:szCs w:val="18"/>
              </w:rPr>
            </w:pPr>
            <w:r>
              <w:rPr>
                <w:rFonts w:ascii="Times New Roman" w:hAnsi="Times New Roman"/>
                <w:b/>
                <w:color w:val="auto"/>
                <w:sz w:val="18"/>
                <w:szCs w:val="18"/>
              </w:rPr>
              <w:t>≤</w:t>
            </w:r>
            <w:r>
              <w:rPr>
                <w:rFonts w:hint="eastAsia" w:ascii="Times New Roman" w:hAnsi="Times New Roman"/>
                <w:b/>
                <w:color w:val="auto"/>
                <w:sz w:val="18"/>
                <w:szCs w:val="18"/>
              </w:rPr>
              <w:t>1000</w:t>
            </w:r>
          </w:p>
        </w:tc>
        <w:tc>
          <w:tcPr>
            <w:tcW w:w="42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1000</w:t>
            </w:r>
          </w:p>
        </w:tc>
        <w:tc>
          <w:tcPr>
            <w:tcW w:w="36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0.01</w:t>
            </w:r>
          </w:p>
        </w:tc>
        <w:tc>
          <w:tcPr>
            <w:tcW w:w="322"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0.10</w:t>
            </w:r>
          </w:p>
        </w:tc>
        <w:tc>
          <w:tcPr>
            <w:tcW w:w="364"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r>
              <w:rPr>
                <w:rFonts w:hint="eastAsia" w:ascii="Times New Roman" w:hAnsi="Times New Roman"/>
                <w:color w:val="auto"/>
                <w:sz w:val="18"/>
                <w:szCs w:val="18"/>
              </w:rPr>
              <w:t>0.3</w:t>
            </w:r>
          </w:p>
        </w:tc>
        <w:tc>
          <w:tcPr>
            <w:tcW w:w="280"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≤1.5</w:t>
            </w:r>
          </w:p>
        </w:tc>
        <w:tc>
          <w:tcPr>
            <w:tcW w:w="263"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r>
    </w:tbl>
    <w:p>
      <w:pPr>
        <w:ind w:firstLine="480"/>
        <w:rPr>
          <w:rFonts w:ascii="Times New Roman" w:hAnsi="Times New Roman"/>
          <w:color w:val="auto"/>
          <w:kern w:val="0"/>
        </w:rPr>
      </w:pPr>
    </w:p>
    <w:p>
      <w:pPr>
        <w:ind w:firstLine="480"/>
        <w:rPr>
          <w:rFonts w:ascii="Times New Roman" w:hAnsi="Times New Roman"/>
          <w:color w:val="auto"/>
          <w:kern w:val="0"/>
        </w:rPr>
        <w:sectPr>
          <w:pgSz w:w="16838" w:h="11906" w:orient="landscape"/>
          <w:pgMar w:top="1287" w:right="1440" w:bottom="1797" w:left="1440" w:header="851" w:footer="992" w:gutter="0"/>
          <w:cols w:space="720" w:num="1"/>
          <w:titlePg/>
          <w:docGrid w:type="lines" w:linePitch="312" w:charSpace="0"/>
        </w:sectPr>
      </w:pPr>
    </w:p>
    <w:p>
      <w:pPr>
        <w:ind w:firstLine="480"/>
        <w:rPr>
          <w:color w:val="auto"/>
        </w:rPr>
      </w:pPr>
      <w:r>
        <w:rPr>
          <w:rFonts w:hint="eastAsia"/>
          <w:color w:val="auto"/>
        </w:rPr>
        <w:t>（4）评价结果</w:t>
      </w:r>
    </w:p>
    <w:p>
      <w:pPr>
        <w:ind w:firstLine="480"/>
        <w:rPr>
          <w:rFonts w:ascii="Times New Roman" w:hAnsi="Times New Roman"/>
          <w:color w:val="auto"/>
          <w:kern w:val="0"/>
        </w:rPr>
      </w:pPr>
      <w:r>
        <w:rPr>
          <w:rFonts w:ascii="Times New Roman" w:hAnsi="Times New Roman"/>
          <w:color w:val="auto"/>
          <w:kern w:val="0"/>
        </w:rPr>
        <w:t>按照导则中的方法，对上述3个监测孔的水样进行分析。水质因子的标准浓度值采用《地下水质量标准》（GB/T14848-1993）的</w:t>
      </w:r>
      <w:r>
        <w:rPr>
          <w:rFonts w:hint="eastAsia" w:ascii="Times New Roman" w:hAnsi="Times New Roman"/>
          <w:color w:val="auto"/>
        </w:rPr>
        <w:t>Ⅳ</w:t>
      </w:r>
      <w:r>
        <w:rPr>
          <w:rFonts w:ascii="Times New Roman" w:hAnsi="Times New Roman"/>
          <w:color w:val="auto"/>
          <w:kern w:val="0"/>
        </w:rPr>
        <w:t>类</w:t>
      </w:r>
      <w:r>
        <w:rPr>
          <w:rFonts w:ascii="Times New Roman" w:hAnsi="Times New Roman"/>
          <w:color w:val="auto"/>
          <w:kern w:val="0"/>
          <w:szCs w:val="24"/>
        </w:rPr>
        <w:t>标准。</w:t>
      </w:r>
      <w:r>
        <w:rPr>
          <w:rFonts w:hint="eastAsia" w:ascii="Times New Roman" w:hAnsi="Times New Roman"/>
          <w:color w:val="auto"/>
          <w:kern w:val="0"/>
          <w:szCs w:val="24"/>
        </w:rPr>
        <w:t>地下水监测指标中</w:t>
      </w:r>
      <w:r>
        <w:rPr>
          <w:rFonts w:ascii="Times New Roman" w:hAnsi="Times New Roman"/>
          <w:color w:val="auto"/>
          <w:szCs w:val="24"/>
        </w:rPr>
        <w:t>氨氮</w:t>
      </w:r>
      <w:r>
        <w:rPr>
          <w:rFonts w:hint="eastAsia" w:ascii="Times New Roman" w:hAnsi="Times New Roman"/>
          <w:color w:val="auto"/>
          <w:szCs w:val="24"/>
        </w:rPr>
        <w:t>、</w:t>
      </w:r>
      <w:r>
        <w:rPr>
          <w:rFonts w:ascii="Times New Roman" w:hAnsi="Times New Roman"/>
          <w:color w:val="auto"/>
          <w:szCs w:val="24"/>
        </w:rPr>
        <w:t>总硬度</w:t>
      </w:r>
      <w:r>
        <w:rPr>
          <w:rFonts w:hint="eastAsia" w:ascii="Times New Roman" w:hAnsi="Times New Roman"/>
          <w:color w:val="auto"/>
          <w:szCs w:val="24"/>
        </w:rPr>
        <w:t>、</w:t>
      </w:r>
      <w:r>
        <w:rPr>
          <w:rFonts w:ascii="Times New Roman" w:hAnsi="Times New Roman"/>
          <w:color w:val="auto"/>
          <w:szCs w:val="24"/>
        </w:rPr>
        <w:t>溶解性总固体</w:t>
      </w:r>
      <w:r>
        <w:rPr>
          <w:rFonts w:hint="eastAsia" w:ascii="Times New Roman" w:hAnsi="Times New Roman"/>
          <w:color w:val="auto"/>
          <w:szCs w:val="24"/>
        </w:rPr>
        <w:t>、</w:t>
      </w:r>
      <w:r>
        <w:rPr>
          <w:rFonts w:ascii="Times New Roman" w:hAnsi="Times New Roman"/>
          <w:color w:val="auto"/>
          <w:szCs w:val="24"/>
        </w:rPr>
        <w:t>高锰酸盐指数</w:t>
      </w:r>
      <w:r>
        <w:rPr>
          <w:rFonts w:hint="eastAsia" w:ascii="Times New Roman" w:hAnsi="Times New Roman"/>
          <w:color w:val="auto"/>
          <w:szCs w:val="24"/>
        </w:rPr>
        <w:t>、</w:t>
      </w:r>
      <w:r>
        <w:rPr>
          <w:rFonts w:ascii="Times New Roman" w:hAnsi="Times New Roman"/>
          <w:color w:val="auto"/>
          <w:szCs w:val="24"/>
        </w:rPr>
        <w:t>氯化物</w:t>
      </w:r>
      <w:r>
        <w:rPr>
          <w:rFonts w:hint="eastAsia" w:ascii="Times New Roman" w:hAnsi="Times New Roman"/>
          <w:color w:val="auto"/>
          <w:szCs w:val="24"/>
        </w:rPr>
        <w:t>、</w:t>
      </w:r>
      <w:r>
        <w:rPr>
          <w:rFonts w:ascii="Times New Roman" w:hAnsi="Times New Roman"/>
          <w:color w:val="auto"/>
          <w:szCs w:val="24"/>
        </w:rPr>
        <w:t>细菌总数</w:t>
      </w:r>
      <w:r>
        <w:rPr>
          <w:rFonts w:hint="eastAsia" w:ascii="Times New Roman" w:hAnsi="Times New Roman"/>
          <w:color w:val="auto"/>
          <w:szCs w:val="24"/>
        </w:rPr>
        <w:t>超标，其余指标</w:t>
      </w:r>
      <w:r>
        <w:rPr>
          <w:rFonts w:ascii="Times New Roman" w:hAnsi="Times New Roman"/>
          <w:color w:val="auto"/>
          <w:kern w:val="0"/>
          <w:szCs w:val="24"/>
        </w:rPr>
        <w:t>各项指标均满足《地下水质量标准》</w:t>
      </w:r>
      <w:r>
        <w:rPr>
          <w:rFonts w:ascii="Times New Roman" w:hAnsi="Times New Roman"/>
          <w:color w:val="auto"/>
          <w:kern w:val="0"/>
        </w:rPr>
        <w:t>（GB/T14848-1993）的</w:t>
      </w:r>
      <w:r>
        <w:rPr>
          <w:rFonts w:hint="eastAsia" w:ascii="Times New Roman" w:hAnsi="Times New Roman"/>
          <w:color w:val="auto"/>
        </w:rPr>
        <w:t>Ⅳ</w:t>
      </w:r>
      <w:r>
        <w:rPr>
          <w:rFonts w:ascii="Times New Roman" w:hAnsi="Times New Roman"/>
          <w:color w:val="auto"/>
          <w:kern w:val="0"/>
        </w:rPr>
        <w:t>类标准</w:t>
      </w:r>
      <w:r>
        <w:rPr>
          <w:rFonts w:hint="eastAsia" w:ascii="Times New Roman" w:hAnsi="Times New Roman"/>
          <w:color w:val="auto"/>
          <w:kern w:val="0"/>
        </w:rPr>
        <w:t>，说明地下水受到一定程度的污染，超标原因可能是周围化粪池、管网等渗漏所致，建议有关部门定期监督检查处理设施、管网等运行是否正常，有渗漏情况的勒令相关单位修建</w:t>
      </w:r>
      <w:r>
        <w:rPr>
          <w:rFonts w:ascii="Times New Roman" w:hAnsi="Times New Roman"/>
          <w:color w:val="auto"/>
          <w:kern w:val="0"/>
        </w:rPr>
        <w:t>。由于CO</w:t>
      </w:r>
      <w:r>
        <w:rPr>
          <w:rFonts w:ascii="Times New Roman" w:hAnsi="Times New Roman"/>
          <w:color w:val="auto"/>
          <w:kern w:val="0"/>
          <w:vertAlign w:val="subscript"/>
        </w:rPr>
        <w:t>3</w:t>
      </w:r>
      <w:r>
        <w:rPr>
          <w:rFonts w:ascii="Times New Roman" w:hAnsi="Times New Roman"/>
          <w:color w:val="auto"/>
          <w:kern w:val="0"/>
          <w:vertAlign w:val="superscript"/>
        </w:rPr>
        <w:t>2-</w:t>
      </w:r>
      <w:r>
        <w:rPr>
          <w:rFonts w:ascii="Times New Roman" w:hAnsi="Times New Roman"/>
          <w:color w:val="auto"/>
          <w:kern w:val="0"/>
        </w:rPr>
        <w:t>、HCO</w:t>
      </w:r>
      <w:r>
        <w:rPr>
          <w:rFonts w:ascii="Times New Roman" w:hAnsi="Times New Roman"/>
          <w:color w:val="auto"/>
          <w:kern w:val="0"/>
          <w:vertAlign w:val="subscript"/>
        </w:rPr>
        <w:t>3</w:t>
      </w:r>
      <w:r>
        <w:rPr>
          <w:rFonts w:ascii="Times New Roman" w:hAnsi="Times New Roman"/>
          <w:color w:val="auto"/>
          <w:kern w:val="0"/>
          <w:vertAlign w:val="superscript"/>
        </w:rPr>
        <w:t>-</w:t>
      </w:r>
      <w:r>
        <w:rPr>
          <w:rFonts w:ascii="Times New Roman" w:hAnsi="Times New Roman"/>
          <w:color w:val="auto"/>
          <w:kern w:val="0"/>
        </w:rPr>
        <w:t>、Cl</w:t>
      </w:r>
      <w:r>
        <w:rPr>
          <w:rFonts w:ascii="Times New Roman" w:hAnsi="Times New Roman"/>
          <w:color w:val="auto"/>
          <w:kern w:val="0"/>
          <w:vertAlign w:val="superscript"/>
        </w:rPr>
        <w:t>-</w:t>
      </w:r>
      <w:r>
        <w:rPr>
          <w:rFonts w:ascii="Times New Roman" w:hAnsi="Times New Roman"/>
          <w:color w:val="auto"/>
          <w:kern w:val="0"/>
        </w:rPr>
        <w:t>、SO</w:t>
      </w:r>
      <w:r>
        <w:rPr>
          <w:rFonts w:ascii="Times New Roman" w:hAnsi="Times New Roman"/>
          <w:color w:val="auto"/>
          <w:kern w:val="0"/>
          <w:vertAlign w:val="subscript"/>
        </w:rPr>
        <w:t>4</w:t>
      </w:r>
      <w:r>
        <w:rPr>
          <w:rFonts w:ascii="Times New Roman" w:hAnsi="Times New Roman"/>
          <w:color w:val="auto"/>
          <w:kern w:val="0"/>
          <w:vertAlign w:val="superscript"/>
        </w:rPr>
        <w:t>2-</w:t>
      </w:r>
      <w:r>
        <w:rPr>
          <w:rFonts w:ascii="Times New Roman" w:hAnsi="Times New Roman"/>
          <w:color w:val="auto"/>
          <w:kern w:val="0"/>
        </w:rPr>
        <w:t>、K</w:t>
      </w:r>
      <w:r>
        <w:rPr>
          <w:rFonts w:ascii="Times New Roman" w:hAnsi="Times New Roman"/>
          <w:color w:val="auto"/>
          <w:kern w:val="0"/>
          <w:vertAlign w:val="superscript"/>
        </w:rPr>
        <w:t>+</w:t>
      </w:r>
      <w:r>
        <w:rPr>
          <w:rFonts w:ascii="Times New Roman" w:hAnsi="Times New Roman"/>
          <w:color w:val="auto"/>
          <w:kern w:val="0"/>
        </w:rPr>
        <w:t>、Na</w:t>
      </w:r>
      <w:r>
        <w:rPr>
          <w:rFonts w:ascii="Times New Roman" w:hAnsi="Times New Roman"/>
          <w:color w:val="auto"/>
          <w:kern w:val="0"/>
          <w:vertAlign w:val="superscript"/>
        </w:rPr>
        <w:t>+</w:t>
      </w:r>
      <w:r>
        <w:rPr>
          <w:rFonts w:ascii="Times New Roman" w:hAnsi="Times New Roman"/>
          <w:color w:val="auto"/>
          <w:kern w:val="0"/>
        </w:rPr>
        <w:t>、Ca</w:t>
      </w:r>
      <w:r>
        <w:rPr>
          <w:rFonts w:ascii="Times New Roman" w:hAnsi="Times New Roman"/>
          <w:color w:val="auto"/>
          <w:kern w:val="0"/>
          <w:vertAlign w:val="superscript"/>
        </w:rPr>
        <w:t>2+</w:t>
      </w:r>
      <w:r>
        <w:rPr>
          <w:rFonts w:ascii="Times New Roman" w:hAnsi="Times New Roman"/>
          <w:color w:val="auto"/>
          <w:kern w:val="0"/>
        </w:rPr>
        <w:t>、Mg</w:t>
      </w:r>
      <w:r>
        <w:rPr>
          <w:rFonts w:ascii="Times New Roman" w:hAnsi="Times New Roman"/>
          <w:color w:val="auto"/>
          <w:kern w:val="0"/>
          <w:vertAlign w:val="superscript"/>
        </w:rPr>
        <w:t>2+</w:t>
      </w:r>
      <w:r>
        <w:rPr>
          <w:rFonts w:ascii="Times New Roman" w:hAnsi="Times New Roman"/>
          <w:color w:val="auto"/>
          <w:kern w:val="0"/>
        </w:rPr>
        <w:t>等离子目前无相关标准，现仅作为地下水背景调查。</w:t>
      </w:r>
    </w:p>
    <w:p>
      <w:pPr>
        <w:ind w:firstLine="0" w:firstLineChars="0"/>
        <w:rPr>
          <w:rFonts w:ascii="Times New Roman" w:hAnsi="Times New Roman"/>
          <w:color w:val="auto"/>
          <w:kern w:val="0"/>
        </w:rPr>
        <w:sectPr>
          <w:pgSz w:w="11906" w:h="16838"/>
          <w:pgMar w:top="1440" w:right="1287" w:bottom="1440" w:left="1797" w:header="851" w:footer="992" w:gutter="0"/>
          <w:cols w:space="720" w:num="1"/>
          <w:titlePg/>
          <w:docGrid w:linePitch="312" w:charSpace="0"/>
        </w:sectPr>
      </w:pPr>
    </w:p>
    <w:bookmarkEnd w:id="29"/>
    <w:bookmarkEnd w:id="30"/>
    <w:bookmarkEnd w:id="31"/>
    <w:p>
      <w:pPr>
        <w:pStyle w:val="438"/>
        <w:spacing w:before="240" w:line="360" w:lineRule="auto"/>
        <w:rPr>
          <w:color w:val="auto"/>
        </w:rPr>
      </w:pPr>
      <w:bookmarkStart w:id="79" w:name="_Toc37350069"/>
      <w:bookmarkStart w:id="80" w:name="_Toc247301341"/>
      <w:r>
        <w:rPr>
          <w:color w:val="auto"/>
        </w:rPr>
        <w:t>环境影响预测与评价</w:t>
      </w:r>
      <w:bookmarkEnd w:id="79"/>
    </w:p>
    <w:p>
      <w:pPr>
        <w:pStyle w:val="592"/>
        <w:numPr>
          <w:ilvl w:val="0"/>
          <w:numId w:val="30"/>
        </w:numPr>
        <w:rPr>
          <w:color w:val="auto"/>
        </w:rPr>
      </w:pPr>
      <w:bookmarkStart w:id="81" w:name="_Toc37350070"/>
      <w:r>
        <w:rPr>
          <w:rFonts w:hint="eastAsia"/>
          <w:color w:val="auto"/>
        </w:rPr>
        <w:t>运营期</w:t>
      </w:r>
      <w:r>
        <w:rPr>
          <w:color w:val="auto"/>
        </w:rPr>
        <w:t>环境影响预测与评价</w:t>
      </w:r>
      <w:bookmarkEnd w:id="81"/>
    </w:p>
    <w:p>
      <w:pPr>
        <w:pStyle w:val="4"/>
        <w:numPr>
          <w:ilvl w:val="0"/>
          <w:numId w:val="31"/>
        </w:numPr>
        <w:spacing w:beforeLines="0"/>
        <w:rPr>
          <w:rFonts w:ascii="Times New Roman" w:hAnsi="Times New Roman"/>
          <w:color w:val="auto"/>
          <w:sz w:val="24"/>
          <w:szCs w:val="24"/>
        </w:rPr>
      </w:pPr>
      <w:r>
        <w:rPr>
          <w:rFonts w:ascii="Times New Roman" w:hAnsi="Times New Roman"/>
          <w:color w:val="auto"/>
          <w:sz w:val="24"/>
          <w:szCs w:val="24"/>
        </w:rPr>
        <w:t>大气环境影响预测与评价</w:t>
      </w:r>
    </w:p>
    <w:p>
      <w:pPr>
        <w:ind w:firstLine="466"/>
        <w:rPr>
          <w:rFonts w:ascii="Times New Roman" w:hAnsi="Times New Roman"/>
          <w:b/>
          <w:color w:val="auto"/>
        </w:rPr>
      </w:pPr>
      <w:r>
        <w:rPr>
          <w:rFonts w:hint="eastAsia" w:ascii="Times New Roman" w:hAnsi="Times New Roman"/>
          <w:b/>
          <w:color w:val="auto"/>
          <w:spacing w:val="-4"/>
        </w:rPr>
        <w:t>1、</w:t>
      </w:r>
      <w:r>
        <w:rPr>
          <w:rFonts w:ascii="Times New Roman" w:hAnsi="Times New Roman"/>
          <w:b/>
          <w:color w:val="auto"/>
          <w:spacing w:val="-4"/>
        </w:rPr>
        <w:t>臭气</w:t>
      </w:r>
    </w:p>
    <w:p>
      <w:pPr>
        <w:ind w:firstLine="480"/>
        <w:rPr>
          <w:rFonts w:ascii="Times New Roman" w:hAnsi="Times New Roman"/>
          <w:color w:val="auto"/>
        </w:rPr>
      </w:pPr>
      <w:r>
        <w:rPr>
          <w:rFonts w:ascii="Times New Roman" w:hAnsi="Times New Roman"/>
          <w:color w:val="auto"/>
        </w:rPr>
        <w:t>本项目为废塑料的废旧塑料回收再生产，项目所用的废塑料进厂前塑料</w:t>
      </w:r>
      <w:r>
        <w:rPr>
          <w:rFonts w:hint="eastAsia" w:ascii="Times New Roman" w:hAnsi="Times New Roman"/>
          <w:color w:val="auto"/>
        </w:rPr>
        <w:t>均为干净废塑料</w:t>
      </w:r>
      <w:r>
        <w:rPr>
          <w:rFonts w:ascii="Times New Roman" w:hAnsi="Times New Roman"/>
          <w:color w:val="auto"/>
        </w:rPr>
        <w:t>，达到原料无臭气挥发。此外，本项目废塑料加工温度根据原材料属性设置，原料塑料经软化熔融后重新造粒成型，与“高温焚烧”在变化机理上有较大差异，故不会有大量高级有机副产物产生，亦无高浓度臭气排放。</w:t>
      </w:r>
    </w:p>
    <w:p>
      <w:pPr>
        <w:ind w:firstLine="480"/>
        <w:rPr>
          <w:rFonts w:ascii="Times New Roman" w:hAnsi="Times New Roman"/>
          <w:color w:val="auto"/>
        </w:rPr>
      </w:pPr>
      <w:r>
        <w:rPr>
          <w:rFonts w:ascii="Times New Roman" w:hAnsi="Times New Roman"/>
          <w:color w:val="auto"/>
        </w:rPr>
        <w:t>根据同类企业类比调查分析，一般流料挤出、造粒中排放的有机废气无治理设施时，在车间内的臭气强度级别约为3~3.5，感到明显臭味；车间外则感觉不到明显臭味，臭气强度级别为0~1。</w:t>
      </w:r>
    </w:p>
    <w:p>
      <w:pPr>
        <w:ind w:firstLine="464"/>
        <w:rPr>
          <w:rFonts w:ascii="Times New Roman" w:hAnsi="Times New Roman"/>
          <w:color w:val="auto"/>
          <w:spacing w:val="-4"/>
        </w:rPr>
      </w:pPr>
      <w:r>
        <w:rPr>
          <w:rFonts w:ascii="Times New Roman" w:hAnsi="Times New Roman"/>
          <w:color w:val="auto"/>
          <w:spacing w:val="-4"/>
        </w:rPr>
        <w:t>本项目</w:t>
      </w:r>
      <w:r>
        <w:rPr>
          <w:rFonts w:hint="eastAsia" w:ascii="Times New Roman" w:hAnsi="Times New Roman"/>
          <w:color w:val="auto"/>
          <w:spacing w:val="-4"/>
        </w:rPr>
        <w:t>造粒车间</w:t>
      </w:r>
      <w:r>
        <w:rPr>
          <w:rFonts w:ascii="Times New Roman" w:hAnsi="Times New Roman"/>
          <w:color w:val="auto"/>
          <w:spacing w:val="-4"/>
        </w:rPr>
        <w:t>各挤出机机头上方设置集气罩，业主单位应委托有资质的单位设计并安装集气罩，收集效率不低于</w:t>
      </w:r>
      <w:r>
        <w:rPr>
          <w:rFonts w:hint="eastAsia" w:ascii="Times New Roman" w:hAnsi="Times New Roman"/>
          <w:color w:val="auto"/>
          <w:spacing w:val="-4"/>
        </w:rPr>
        <w:t>90</w:t>
      </w:r>
      <w:r>
        <w:rPr>
          <w:rFonts w:ascii="Times New Roman" w:hAnsi="Times New Roman"/>
          <w:color w:val="auto"/>
          <w:spacing w:val="-4"/>
        </w:rPr>
        <w:t>%。废气收集后经</w:t>
      </w:r>
      <w:r>
        <w:rPr>
          <w:rFonts w:ascii="Times New Roman" w:hAnsi="Times New Roman"/>
          <w:color w:val="auto"/>
        </w:rPr>
        <w:t>喷射塔+</w:t>
      </w:r>
      <w:r>
        <w:rPr>
          <w:rFonts w:hint="eastAsia" w:ascii="Times New Roman" w:hAnsi="Times New Roman"/>
          <w:color w:val="auto"/>
        </w:rPr>
        <w:t>油烟净化器+</w:t>
      </w:r>
      <w:r>
        <w:rPr>
          <w:rFonts w:ascii="Times New Roman" w:hAnsi="Times New Roman"/>
          <w:color w:val="auto"/>
        </w:rPr>
        <w:t>UV光氧+活性炭装置</w:t>
      </w:r>
      <w:r>
        <w:rPr>
          <w:rFonts w:hint="eastAsia" w:ascii="Times New Roman" w:hAnsi="Times New Roman"/>
          <w:color w:val="auto"/>
          <w:spacing w:val="-4"/>
        </w:rPr>
        <w:t>净化后通过20m高的排气筒高空排放。</w:t>
      </w:r>
    </w:p>
    <w:p>
      <w:pPr>
        <w:adjustRightInd w:val="0"/>
        <w:snapToGrid w:val="0"/>
        <w:ind w:firstLine="480"/>
        <w:rPr>
          <w:rFonts w:ascii="Times New Roman" w:hAnsi="Times New Roman"/>
          <w:color w:val="auto"/>
        </w:rPr>
      </w:pPr>
      <w:r>
        <w:rPr>
          <w:rFonts w:ascii="Times New Roman" w:hAnsi="Times New Roman"/>
          <w:color w:val="auto"/>
        </w:rPr>
        <w:t>预计排气筒臭气浓度可达到《恶臭污染物排放标准》（GB14554-93）中臭气浓度二级标准；同时通过加强造粒车间室内通风，将不能完全收集的臭气及时排出，经大气稀释后，项目厂界臭气浓度可达到《恶臭污染物排放标准》（GB14554-93）中臭气浓度厂界标准，对周边环境影响不大。</w:t>
      </w:r>
    </w:p>
    <w:p>
      <w:pPr>
        <w:adjustRightInd w:val="0"/>
        <w:snapToGrid w:val="0"/>
        <w:ind w:firstLine="482"/>
        <w:rPr>
          <w:rFonts w:ascii="Times New Roman" w:hAnsi="Times New Roman"/>
          <w:b/>
          <w:color w:val="auto"/>
        </w:rPr>
      </w:pPr>
      <w:r>
        <w:rPr>
          <w:rFonts w:hint="eastAsia" w:ascii="Times New Roman" w:hAnsi="Times New Roman"/>
          <w:b/>
          <w:color w:val="auto"/>
        </w:rPr>
        <w:t>2、粉尘、有机废气、氨</w:t>
      </w:r>
    </w:p>
    <w:p>
      <w:pPr>
        <w:ind w:firstLine="482"/>
        <w:rPr>
          <w:rFonts w:ascii="Times New Roman" w:hAnsi="Times New Roman"/>
          <w:b/>
          <w:color w:val="auto"/>
        </w:rPr>
      </w:pPr>
      <w:r>
        <w:rPr>
          <w:rFonts w:hint="eastAsia" w:ascii="Times New Roman" w:hAnsi="Times New Roman"/>
          <w:b/>
          <w:color w:val="auto"/>
        </w:rPr>
        <w:t>（1）大气环境影响预测</w:t>
      </w:r>
    </w:p>
    <w:p>
      <w:pPr>
        <w:ind w:firstLine="482"/>
        <w:rPr>
          <w:rFonts w:ascii="Times New Roman" w:hAnsi="Times New Roman"/>
          <w:b/>
          <w:color w:val="auto"/>
        </w:rPr>
      </w:pPr>
      <w:r>
        <w:rPr>
          <w:rFonts w:hint="eastAsia" w:ascii="Times New Roman" w:hAnsi="Times New Roman"/>
          <w:b/>
          <w:color w:val="auto"/>
        </w:rPr>
        <w:t>①评价因子和评价标准</w:t>
      </w:r>
      <w:r>
        <w:rPr>
          <w:rFonts w:ascii="Times New Roman" w:hAnsi="Times New Roman"/>
          <w:b/>
          <w:color w:val="auto"/>
        </w:rPr>
        <w:t>筛选</w:t>
      </w:r>
    </w:p>
    <w:p>
      <w:pPr>
        <w:adjustRightInd w:val="0"/>
        <w:snapToGrid w:val="0"/>
        <w:ind w:firstLine="480"/>
        <w:rPr>
          <w:rFonts w:ascii="Times New Roman" w:hAnsi="Times New Roman"/>
          <w:color w:val="auto"/>
          <w:szCs w:val="24"/>
        </w:rPr>
      </w:pPr>
      <w:r>
        <w:rPr>
          <w:rFonts w:ascii="Times New Roman" w:hAnsi="Times New Roman"/>
          <w:color w:val="auto"/>
          <w:szCs w:val="24"/>
        </w:rPr>
        <w:t>甲基丙烯酸甲酯</w:t>
      </w:r>
      <w:r>
        <w:rPr>
          <w:rFonts w:hint="eastAsia" w:ascii="Times New Roman" w:hAnsi="Times New Roman"/>
          <w:color w:val="auto"/>
          <w:szCs w:val="24"/>
        </w:rPr>
        <w:t>和非甲烷总烃并入TVOC预测，故本环评选取TVOC、粉尘、苯乙烯、丙烯腈、</w:t>
      </w:r>
      <w:r>
        <w:rPr>
          <w:rFonts w:ascii="Times New Roman" w:hAnsi="Times New Roman"/>
          <w:color w:val="auto"/>
          <w:szCs w:val="24"/>
        </w:rPr>
        <w:t>1,3 丁二烯</w:t>
      </w:r>
      <w:r>
        <w:rPr>
          <w:rFonts w:hint="eastAsia" w:ascii="Times New Roman" w:hAnsi="Times New Roman"/>
          <w:color w:val="auto"/>
          <w:szCs w:val="24"/>
        </w:rPr>
        <w:t>、氨作为大气影响预测评价因子。</w:t>
      </w:r>
    </w:p>
    <w:p>
      <w:pPr>
        <w:spacing w:line="240" w:lineRule="auto"/>
        <w:ind w:firstLine="0" w:firstLineChars="0"/>
        <w:jc w:val="center"/>
        <w:rPr>
          <w:rFonts w:ascii="Times New Roman" w:hAnsi="Times New Roman"/>
          <w:b/>
          <w:color w:val="auto"/>
          <w:sz w:val="21"/>
        </w:rPr>
      </w:pPr>
      <w:r>
        <w:rPr>
          <w:rFonts w:ascii="Times New Roman" w:hAnsi="Times New Roman"/>
          <w:b/>
          <w:color w:val="auto"/>
          <w:sz w:val="21"/>
        </w:rPr>
        <w:t xml:space="preserve">表5-8  </w:t>
      </w:r>
      <w:r>
        <w:rPr>
          <w:rFonts w:hint="eastAsia" w:ascii="Times New Roman" w:hAnsi="Times New Roman"/>
          <w:b/>
          <w:color w:val="auto"/>
          <w:sz w:val="21"/>
        </w:rPr>
        <w:t>评价因子和评价标准表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191"/>
        <w:gridCol w:w="1936"/>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评价因子</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平均时段</w:t>
            </w:r>
          </w:p>
        </w:tc>
        <w:tc>
          <w:tcPr>
            <w:tcW w:w="107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标准值/（mg/m</w:t>
            </w:r>
            <w:r>
              <w:rPr>
                <w:rFonts w:ascii="Times New Roman" w:hAnsi="Times New Roman"/>
                <w:color w:val="auto"/>
                <w:sz w:val="21"/>
                <w:vertAlign w:val="superscript"/>
              </w:rPr>
              <w:t>3</w:t>
            </w:r>
            <w:r>
              <w:rPr>
                <w:rFonts w:ascii="Times New Roman" w:hAnsi="Times New Roman"/>
                <w:color w:val="auto"/>
                <w:sz w:val="21"/>
              </w:rPr>
              <w:t>）</w:t>
            </w:r>
          </w:p>
        </w:tc>
        <w:tc>
          <w:tcPr>
            <w:tcW w:w="250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1h值</w:t>
            </w:r>
          </w:p>
        </w:tc>
        <w:tc>
          <w:tcPr>
            <w:tcW w:w="107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0.9</w:t>
            </w:r>
          </w:p>
        </w:tc>
        <w:tc>
          <w:tcPr>
            <w:tcW w:w="250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1h值</w:t>
            </w:r>
          </w:p>
        </w:tc>
        <w:tc>
          <w:tcPr>
            <w:tcW w:w="107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2509"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《环境影响评价技术导则  大气环境》（HJ 2.2-2018）</w:t>
            </w:r>
            <w:r>
              <w:rPr>
                <w:rFonts w:hint="eastAsia" w:ascii="Times New Roman" w:hAnsi="Times New Roman"/>
                <w:color w:val="auto"/>
                <w:sz w:val="21"/>
              </w:rPr>
              <w:t>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1h值</w:t>
            </w:r>
          </w:p>
        </w:tc>
        <w:tc>
          <w:tcPr>
            <w:tcW w:w="107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w:t>
            </w:r>
          </w:p>
        </w:tc>
        <w:tc>
          <w:tcPr>
            <w:tcW w:w="2509"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1h值</w:t>
            </w:r>
          </w:p>
        </w:tc>
        <w:tc>
          <w:tcPr>
            <w:tcW w:w="107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2509"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1h值</w:t>
            </w:r>
          </w:p>
        </w:tc>
        <w:tc>
          <w:tcPr>
            <w:tcW w:w="107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2509"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65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一次值</w:t>
            </w:r>
          </w:p>
        </w:tc>
        <w:tc>
          <w:tcPr>
            <w:tcW w:w="107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250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原《前苏联居民区大气中有害</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物质的最大允许浓度》</w:t>
            </w:r>
            <w:r>
              <w:rPr>
                <w:rFonts w:ascii="Times New Roman" w:hAnsi="Times New Roman"/>
                <w:color w:val="auto"/>
                <w:sz w:val="21"/>
              </w:rPr>
              <w:t xml:space="preserve"> (CH245-71)</w:t>
            </w:r>
          </w:p>
        </w:tc>
      </w:tr>
    </w:tbl>
    <w:p>
      <w:pPr>
        <w:ind w:firstLine="482"/>
        <w:rPr>
          <w:rFonts w:ascii="Times New Roman" w:hAnsi="Times New Roman"/>
          <w:b/>
          <w:color w:val="auto"/>
        </w:rPr>
      </w:pPr>
      <w:r>
        <w:rPr>
          <w:rFonts w:hint="eastAsia" w:ascii="Times New Roman" w:hAnsi="Times New Roman"/>
          <w:b/>
          <w:color w:val="auto"/>
        </w:rPr>
        <w:t>②废气有组织排放达标情况分析</w:t>
      </w:r>
    </w:p>
    <w:p>
      <w:pPr>
        <w:widowControl/>
        <w:ind w:firstLine="480"/>
        <w:rPr>
          <w:rFonts w:ascii="Times New Roman" w:hAnsi="Times New Roman"/>
          <w:color w:val="auto"/>
        </w:rPr>
      </w:pPr>
      <w:r>
        <w:rPr>
          <w:rFonts w:hint="eastAsia" w:ascii="Times New Roman" w:hAnsi="Times New Roman"/>
          <w:color w:val="auto"/>
        </w:rPr>
        <w:t>根据工程分析，废气处理设施排气筒有组织排放废气污染物达标排放情况表见下表</w:t>
      </w:r>
      <w:r>
        <w:rPr>
          <w:rFonts w:ascii="Times New Roman" w:hAnsi="Times New Roman"/>
          <w:color w:val="auto"/>
        </w:rPr>
        <w:t>。</w:t>
      </w:r>
    </w:p>
    <w:p>
      <w:pPr>
        <w:adjustRightInd w:val="0"/>
        <w:snapToGrid w:val="0"/>
        <w:spacing w:line="240" w:lineRule="auto"/>
        <w:ind w:firstLine="0" w:firstLineChars="0"/>
        <w:jc w:val="center"/>
        <w:rPr>
          <w:rFonts w:ascii="Times New Roman" w:hAnsi="Times New Roman"/>
          <w:b/>
          <w:color w:val="auto"/>
          <w:sz w:val="21"/>
        </w:rPr>
      </w:pPr>
      <w:r>
        <w:rPr>
          <w:rFonts w:ascii="Times New Roman" w:hAnsi="Times New Roman"/>
          <w:b/>
          <w:color w:val="auto"/>
          <w:sz w:val="21"/>
        </w:rPr>
        <w:t xml:space="preserve">表5-9  </w:t>
      </w:r>
      <w:r>
        <w:rPr>
          <w:rFonts w:ascii="Times New Roman" w:hAnsi="Times New Roman"/>
          <w:b/>
          <w:bCs/>
          <w:color w:val="auto"/>
          <w:sz w:val="21"/>
        </w:rPr>
        <w:t>废气排放浓度与允许排放浓度对照一览表</w:t>
      </w:r>
    </w:p>
    <w:tbl>
      <w:tblPr>
        <w:tblStyle w:val="8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12"/>
        <w:gridCol w:w="1212"/>
        <w:gridCol w:w="2749"/>
        <w:gridCol w:w="1213"/>
        <w:gridCol w:w="1444"/>
        <w:gridCol w:w="10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排气筒编号</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污染物名称</w:t>
            </w:r>
          </w:p>
        </w:tc>
        <w:tc>
          <w:tcPr>
            <w:tcW w:w="154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有组织排放浓度（mg/m</w:t>
            </w:r>
            <w:r>
              <w:rPr>
                <w:rFonts w:ascii="Times New Roman" w:hAnsi="Times New Roman"/>
                <w:color w:val="auto"/>
                <w:sz w:val="21"/>
                <w:vertAlign w:val="superscript"/>
              </w:rPr>
              <w:t>3</w:t>
            </w:r>
            <w:r>
              <w:rPr>
                <w:rFonts w:ascii="Times New Roman" w:hAnsi="Times New Roman"/>
                <w:color w:val="auto"/>
                <w:sz w:val="21"/>
              </w:rPr>
              <w:t>）</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排气筒高度</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w:t>
            </w:r>
          </w:p>
        </w:tc>
        <w:tc>
          <w:tcPr>
            <w:tcW w:w="8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允许排放浓度</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（mg/m</w:t>
            </w:r>
            <w:r>
              <w:rPr>
                <w:rFonts w:ascii="Times New Roman" w:hAnsi="Times New Roman"/>
                <w:color w:val="auto"/>
                <w:sz w:val="21"/>
                <w:vertAlign w:val="superscript"/>
              </w:rPr>
              <w:t>3</w:t>
            </w:r>
            <w:r>
              <w:rPr>
                <w:rFonts w:ascii="Times New Roman" w:hAnsi="Times New Roman"/>
                <w:color w:val="auto"/>
                <w:sz w:val="21"/>
              </w:rPr>
              <w:t>）</w:t>
            </w:r>
          </w:p>
        </w:tc>
        <w:tc>
          <w:tcPr>
            <w:tcW w:w="5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达标/超标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r>
              <w:rPr>
                <w:rFonts w:hint="eastAsia" w:ascii="Times New Roman" w:hAnsi="Times New Roman"/>
                <w:color w:val="auto"/>
                <w:sz w:val="21"/>
              </w:rPr>
              <w:t>#</w:t>
            </w:r>
          </w:p>
        </w:tc>
        <w:tc>
          <w:tcPr>
            <w:tcW w:w="6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p>
        </w:tc>
        <w:tc>
          <w:tcPr>
            <w:tcW w:w="154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5.3</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8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60</w:t>
            </w:r>
          </w:p>
        </w:tc>
        <w:tc>
          <w:tcPr>
            <w:tcW w:w="5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1</w:t>
            </w:r>
            <w:r>
              <w:rPr>
                <w:rFonts w:hint="eastAsia" w:ascii="Times New Roman" w:hAnsi="Times New Roman"/>
                <w:color w:val="auto"/>
                <w:sz w:val="21"/>
              </w:rPr>
              <w:t>#</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54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0.087</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8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59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1</w:t>
            </w:r>
            <w:r>
              <w:rPr>
                <w:rFonts w:hint="eastAsia" w:ascii="Times New Roman" w:hAnsi="Times New Roman"/>
                <w:color w:val="auto"/>
                <w:sz w:val="21"/>
              </w:rPr>
              <w:t>#</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54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8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0.5</w:t>
            </w:r>
          </w:p>
        </w:tc>
        <w:tc>
          <w:tcPr>
            <w:tcW w:w="59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1</w:t>
            </w:r>
            <w:r>
              <w:rPr>
                <w:rFonts w:hint="eastAsia" w:ascii="Times New Roman" w:hAnsi="Times New Roman"/>
                <w:color w:val="auto"/>
                <w:sz w:val="21"/>
              </w:rPr>
              <w:t>#</w:t>
            </w:r>
          </w:p>
        </w:tc>
        <w:tc>
          <w:tcPr>
            <w:tcW w:w="6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54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8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59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1</w:t>
            </w:r>
            <w:r>
              <w:rPr>
                <w:rFonts w:hint="eastAsia" w:ascii="Times New Roman" w:hAnsi="Times New Roman"/>
                <w:color w:val="auto"/>
                <w:sz w:val="21"/>
              </w:rPr>
              <w:t>#</w:t>
            </w:r>
          </w:p>
        </w:tc>
        <w:tc>
          <w:tcPr>
            <w:tcW w:w="6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54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0.67</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8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59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hint="eastAsia" w:ascii="Times New Roman" w:hAnsi="Times New Roman"/>
                <w:color w:val="auto"/>
                <w:sz w:val="21"/>
              </w:rPr>
              <w:t>2#</w:t>
            </w:r>
          </w:p>
        </w:tc>
        <w:tc>
          <w:tcPr>
            <w:tcW w:w="6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154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2.17</w:t>
            </w:r>
          </w:p>
        </w:tc>
        <w:tc>
          <w:tcPr>
            <w:tcW w:w="68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8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590" w:type="pct"/>
            <w:vAlign w:val="center"/>
          </w:tcPr>
          <w:p>
            <w:pPr>
              <w:keepNext w:val="0"/>
              <w:keepLines w:val="0"/>
              <w:suppressLineNumbers w:val="0"/>
              <w:spacing w:before="0" w:beforeAutospacing="0" w:after="0" w:afterAutospacing="0" w:line="240" w:lineRule="auto"/>
              <w:ind w:left="0" w:right="0" w:firstLine="0" w:firstLineChars="0"/>
              <w:jc w:val="center"/>
              <w:rPr>
                <w:color w:val="auto"/>
              </w:rPr>
            </w:pPr>
            <w:r>
              <w:rPr>
                <w:rFonts w:ascii="Times New Roman" w:hAnsi="Times New Roman"/>
                <w:color w:val="auto"/>
                <w:sz w:val="21"/>
              </w:rPr>
              <w:t>达标</w:t>
            </w:r>
          </w:p>
        </w:tc>
      </w:tr>
    </w:tbl>
    <w:p>
      <w:pPr>
        <w:adjustRightInd w:val="0"/>
        <w:snapToGrid w:val="0"/>
        <w:ind w:firstLine="480"/>
        <w:rPr>
          <w:rFonts w:ascii="Times New Roman" w:hAnsi="Times New Roman"/>
          <w:color w:val="auto"/>
        </w:rPr>
      </w:pPr>
      <w:r>
        <w:rPr>
          <w:rFonts w:hint="eastAsia" w:ascii="Times New Roman" w:hAnsi="Times New Roman"/>
          <w:color w:val="auto"/>
        </w:rPr>
        <w:t>根据上表分析，项目废气处理设施排气筒有组织排放废气排放浓度满足</w:t>
      </w:r>
      <w:r>
        <w:rPr>
          <w:rFonts w:hint="eastAsia" w:ascii="Times New Roman" w:hAnsi="Times New Roman" w:cs="宋体"/>
          <w:color w:val="auto"/>
        </w:rPr>
        <w:t>相关排放</w:t>
      </w:r>
      <w:r>
        <w:rPr>
          <w:rFonts w:ascii="Times New Roman" w:hAnsi="Times New Roman"/>
          <w:color w:val="auto"/>
        </w:rPr>
        <w:t>限值</w:t>
      </w:r>
      <w:r>
        <w:rPr>
          <w:rFonts w:hint="eastAsia" w:ascii="Times New Roman" w:hAnsi="Times New Roman"/>
          <w:color w:val="auto"/>
        </w:rPr>
        <w:t>标准。</w:t>
      </w:r>
    </w:p>
    <w:p>
      <w:pPr>
        <w:ind w:firstLine="482"/>
        <w:rPr>
          <w:rFonts w:ascii="Times New Roman" w:hAnsi="Times New Roman"/>
          <w:snapToGrid w:val="0"/>
          <w:color w:val="auto"/>
        </w:rPr>
      </w:pPr>
      <w:r>
        <w:rPr>
          <w:rFonts w:hint="eastAsia" w:ascii="Times New Roman" w:hAnsi="Times New Roman" w:cs="宋体"/>
          <w:b/>
          <w:color w:val="auto"/>
        </w:rPr>
        <w:t>③</w:t>
      </w:r>
      <w:r>
        <w:rPr>
          <w:rFonts w:ascii="Times New Roman" w:hAnsi="Times New Roman"/>
          <w:b/>
          <w:color w:val="auto"/>
        </w:rPr>
        <w:t>估算模型参数</w:t>
      </w:r>
    </w:p>
    <w:p>
      <w:pPr>
        <w:spacing w:line="240" w:lineRule="auto"/>
        <w:ind w:firstLine="422"/>
        <w:jc w:val="center"/>
        <w:rPr>
          <w:rFonts w:ascii="Times New Roman" w:hAnsi="Times New Roman"/>
          <w:snapToGrid w:val="0"/>
          <w:color w:val="auto"/>
        </w:rPr>
      </w:pPr>
      <w:r>
        <w:rPr>
          <w:rFonts w:ascii="Times New Roman" w:hAnsi="Times New Roman"/>
          <w:b/>
          <w:color w:val="auto"/>
          <w:sz w:val="21"/>
        </w:rPr>
        <w:t>表5-</w:t>
      </w:r>
      <w:r>
        <w:rPr>
          <w:rFonts w:hint="eastAsia" w:ascii="Times New Roman" w:hAnsi="Times New Roman"/>
          <w:b/>
          <w:color w:val="auto"/>
          <w:sz w:val="21"/>
        </w:rPr>
        <w:t>10</w:t>
      </w:r>
      <w:r>
        <w:rPr>
          <w:rFonts w:ascii="Times New Roman" w:hAnsi="Times New Roman"/>
          <w:b/>
          <w:bCs/>
          <w:color w:val="auto"/>
          <w:sz w:val="21"/>
        </w:rPr>
        <w:t>估算模型参数表</w:t>
      </w:r>
    </w:p>
    <w:tbl>
      <w:tblPr>
        <w:tblStyle w:val="83"/>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661"/>
        <w:gridCol w:w="3062"/>
        <w:gridCol w:w="3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0" w:hRule="exact"/>
          <w:jc w:val="center"/>
        </w:trPr>
        <w:tc>
          <w:tcPr>
            <w:tcW w:w="3166" w:type="pct"/>
            <w:gridSpan w:val="2"/>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参数</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5" w:hRule="exact"/>
          <w:jc w:val="center"/>
        </w:trPr>
        <w:tc>
          <w:tcPr>
            <w:tcW w:w="1472" w:type="pct"/>
            <w:vMerge w:val="restar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城市/农村选项</w:t>
            </w:r>
          </w:p>
        </w:tc>
        <w:tc>
          <w:tcPr>
            <w:tcW w:w="1694" w:type="pc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城市/农村</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城市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4" w:hRule="exact"/>
          <w:jc w:val="center"/>
        </w:trPr>
        <w:tc>
          <w:tcPr>
            <w:tcW w:w="1472" w:type="pct"/>
            <w:vMerge w:val="continue"/>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p>
        </w:tc>
        <w:tc>
          <w:tcPr>
            <w:tcW w:w="1694" w:type="pc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人口数（城市选项时）</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122.89万人（</w:t>
            </w:r>
            <w:r>
              <w:rPr>
                <w:rFonts w:hint="eastAsia" w:ascii="Times New Roman" w:hAnsi="Times New Roman"/>
                <w:color w:val="auto"/>
                <w:sz w:val="21"/>
              </w:rPr>
              <w:t>苍南</w:t>
            </w:r>
            <w:r>
              <w:rPr>
                <w:rFonts w:ascii="Times New Roman" w:hAnsi="Times New Roman"/>
                <w:color w:val="auto"/>
                <w:sz w:val="21"/>
              </w:rPr>
              <w:t>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4" w:hRule="exact"/>
          <w:jc w:val="center"/>
        </w:trPr>
        <w:tc>
          <w:tcPr>
            <w:tcW w:w="3166" w:type="pct"/>
            <w:gridSpan w:val="2"/>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最高环境温度/</w:t>
            </w:r>
            <w:r>
              <w:rPr>
                <w:rFonts w:hint="eastAsia" w:cs="宋体"/>
                <w:color w:val="auto"/>
                <w:sz w:val="21"/>
              </w:rPr>
              <w:t>℃</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40.</w:t>
            </w:r>
            <w:r>
              <w:rPr>
                <w:rFonts w:hint="eastAsia" w:ascii="Times New Roman" w:hAnsi="Times New Roman"/>
                <w:color w:val="auto"/>
                <w:sz w:val="21"/>
              </w:rPr>
              <w:t>6</w:t>
            </w:r>
            <w:r>
              <w:rPr>
                <w:rFonts w:hint="eastAsia" w:cs="宋体"/>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4" w:hRule="exact"/>
          <w:jc w:val="center"/>
        </w:trPr>
        <w:tc>
          <w:tcPr>
            <w:tcW w:w="3166" w:type="pct"/>
            <w:gridSpan w:val="2"/>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最低环境温度/</w:t>
            </w:r>
            <w:r>
              <w:rPr>
                <w:rFonts w:hint="eastAsia" w:cs="宋体"/>
                <w:color w:val="auto"/>
                <w:sz w:val="21"/>
              </w:rPr>
              <w:t>℃</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-2.0</w:t>
            </w:r>
            <w:r>
              <w:rPr>
                <w:rFonts w:hint="eastAsia" w:cs="宋体"/>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7" w:hRule="exact"/>
          <w:jc w:val="center"/>
        </w:trPr>
        <w:tc>
          <w:tcPr>
            <w:tcW w:w="3166" w:type="pct"/>
            <w:gridSpan w:val="2"/>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土地利用类型</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城市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exact"/>
          <w:jc w:val="center"/>
        </w:trPr>
        <w:tc>
          <w:tcPr>
            <w:tcW w:w="3166" w:type="pct"/>
            <w:gridSpan w:val="2"/>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区域湿度条件</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潮湿气候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5" w:hRule="exact"/>
          <w:jc w:val="center"/>
        </w:trPr>
        <w:tc>
          <w:tcPr>
            <w:tcW w:w="1472" w:type="pct"/>
            <w:vMerge w:val="restar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是否考虑地形</w:t>
            </w:r>
          </w:p>
        </w:tc>
        <w:tc>
          <w:tcPr>
            <w:tcW w:w="1694" w:type="pc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考虑地形</w:t>
            </w:r>
          </w:p>
        </w:tc>
        <w:tc>
          <w:tcPr>
            <w:tcW w:w="1834" w:type="pct"/>
            <w:vAlign w:val="center"/>
          </w:tcPr>
          <w:p>
            <w:pPr>
              <w:pStyle w:val="749"/>
              <w:keepNext w:val="0"/>
              <w:keepLines w:val="0"/>
              <w:suppressLineNumbers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√是  □否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0" w:hRule="exact"/>
          <w:jc w:val="center"/>
        </w:trPr>
        <w:tc>
          <w:tcPr>
            <w:tcW w:w="1472" w:type="pct"/>
            <w:vMerge w:val="continue"/>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p>
        </w:tc>
        <w:tc>
          <w:tcPr>
            <w:tcW w:w="1694" w:type="pc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地形数据分析率/m</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1" w:hRule="exact"/>
          <w:jc w:val="center"/>
        </w:trPr>
        <w:tc>
          <w:tcPr>
            <w:tcW w:w="1472" w:type="pct"/>
            <w:vMerge w:val="restar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是否考虑岸线熏烟</w:t>
            </w:r>
          </w:p>
        </w:tc>
        <w:tc>
          <w:tcPr>
            <w:tcW w:w="1694" w:type="pc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考虑岸线熏烟</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 xml:space="preserve">√是  </w:t>
            </w:r>
            <w:r>
              <w:rPr>
                <w:rFonts w:ascii="Times New Roman"/>
                <w:color w:val="auto"/>
                <w:sz w:val="21"/>
              </w:rPr>
              <w:t>□</w:t>
            </w:r>
            <w:r>
              <w:rPr>
                <w:rFonts w:ascii="Times New Roman" w:hAnsi="Times New Roman"/>
                <w:color w:val="auto"/>
                <w:sz w:val="21"/>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2" w:hRule="exact"/>
          <w:jc w:val="center"/>
        </w:trPr>
        <w:tc>
          <w:tcPr>
            <w:tcW w:w="1472" w:type="pct"/>
            <w:vMerge w:val="continue"/>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p>
        </w:tc>
        <w:tc>
          <w:tcPr>
            <w:tcW w:w="1694" w:type="pc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岸线距离/km</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4" w:hRule="exact"/>
          <w:jc w:val="center"/>
        </w:trPr>
        <w:tc>
          <w:tcPr>
            <w:tcW w:w="1472" w:type="pct"/>
            <w:vMerge w:val="continue"/>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p>
        </w:tc>
        <w:tc>
          <w:tcPr>
            <w:tcW w:w="1694" w:type="pct"/>
            <w:vAlign w:val="center"/>
          </w:tcPr>
          <w:p>
            <w:pPr>
              <w:keepNext w:val="0"/>
              <w:keepLines w:val="0"/>
              <w:widowControl/>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岸线方向/°</w:t>
            </w:r>
          </w:p>
        </w:tc>
        <w:tc>
          <w:tcPr>
            <w:tcW w:w="1834" w:type="pct"/>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w:t>
            </w:r>
          </w:p>
        </w:tc>
      </w:tr>
    </w:tbl>
    <w:p>
      <w:pPr>
        <w:ind w:firstLine="482"/>
        <w:rPr>
          <w:rFonts w:ascii="Times New Roman" w:hAnsi="Times New Roman"/>
          <w:b/>
          <w:color w:val="auto"/>
        </w:rPr>
      </w:pPr>
      <w:r>
        <w:rPr>
          <w:rFonts w:hint="eastAsia" w:ascii="Times New Roman" w:hAnsi="Times New Roman" w:cs="宋体"/>
          <w:b/>
          <w:color w:val="auto"/>
        </w:rPr>
        <w:t>④</w:t>
      </w:r>
      <w:r>
        <w:rPr>
          <w:rFonts w:ascii="Times New Roman" w:hAnsi="Times New Roman"/>
          <w:b/>
          <w:color w:val="auto"/>
        </w:rPr>
        <w:t>污染源参数</w:t>
      </w:r>
    </w:p>
    <w:p>
      <w:pPr>
        <w:ind w:firstLine="480"/>
        <w:rPr>
          <w:rFonts w:ascii="Times New Roman" w:hAnsi="Times New Roman"/>
          <w:snapToGrid w:val="0"/>
          <w:color w:val="auto"/>
        </w:rPr>
      </w:pPr>
      <w:r>
        <w:rPr>
          <w:rFonts w:ascii="Times New Roman" w:hAnsi="Times New Roman"/>
          <w:color w:val="auto"/>
        </w:rPr>
        <w:t>项目有组织排放点源参数清单见表5-</w:t>
      </w:r>
      <w:r>
        <w:rPr>
          <w:rFonts w:hint="eastAsia" w:ascii="Times New Roman" w:hAnsi="Times New Roman"/>
          <w:color w:val="auto"/>
        </w:rPr>
        <w:t>11</w:t>
      </w:r>
      <w:r>
        <w:rPr>
          <w:rFonts w:ascii="Times New Roman" w:hAnsi="Times New Roman"/>
          <w:color w:val="auto"/>
        </w:rPr>
        <w:t>，无组织排放面源参数清单见表5-1</w:t>
      </w:r>
      <w:r>
        <w:rPr>
          <w:rFonts w:hint="eastAsia" w:ascii="Times New Roman" w:hAnsi="Times New Roman"/>
          <w:color w:val="auto"/>
        </w:rPr>
        <w:t>2</w:t>
      </w:r>
      <w:r>
        <w:rPr>
          <w:rFonts w:ascii="Times New Roman" w:hAnsi="Times New Roman"/>
          <w:color w:val="auto"/>
        </w:rPr>
        <w:t>。</w:t>
      </w:r>
    </w:p>
    <w:p>
      <w:pPr>
        <w:spacing w:line="240" w:lineRule="auto"/>
        <w:ind w:firstLine="0" w:firstLineChars="0"/>
        <w:jc w:val="center"/>
        <w:rPr>
          <w:rFonts w:ascii="Times New Roman" w:hAnsi="Times New Roman"/>
          <w:b/>
          <w:snapToGrid w:val="0"/>
          <w:color w:val="auto"/>
          <w:sz w:val="21"/>
        </w:rPr>
      </w:pPr>
      <w:r>
        <w:rPr>
          <w:rFonts w:hint="eastAsia" w:ascii="Times New Roman" w:hAnsi="Times New Roman"/>
          <w:b/>
          <w:snapToGrid w:val="0"/>
          <w:color w:val="auto"/>
          <w:sz w:val="21"/>
        </w:rPr>
        <w:t xml:space="preserve">表5-11  </w:t>
      </w:r>
      <w:r>
        <w:rPr>
          <w:rFonts w:ascii="Times New Roman" w:hAnsi="Times New Roman"/>
          <w:b/>
          <w:snapToGrid w:val="0"/>
          <w:color w:val="auto"/>
          <w:sz w:val="21"/>
        </w:rPr>
        <w:t>AERSCREEN</w:t>
      </w:r>
      <w:r>
        <w:rPr>
          <w:rFonts w:hint="eastAsia" w:ascii="Times New Roman" w:hAnsi="Times New Roman"/>
          <w:b/>
          <w:snapToGrid w:val="0"/>
          <w:color w:val="auto"/>
          <w:sz w:val="21"/>
        </w:rPr>
        <w:t xml:space="preserve"> 点源模型参数</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352"/>
        <w:gridCol w:w="2276"/>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名称</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r>
              <w:rPr>
                <w:rFonts w:ascii="Times New Roman" w:hAnsi="Times New Roman"/>
                <w:color w:val="auto"/>
                <w:sz w:val="21"/>
              </w:rPr>
              <w:t>排气筒</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r>
              <w:rPr>
                <w:rFonts w:ascii="Times New Roman" w:hAnsi="Times New Roman"/>
                <w:color w:val="auto"/>
                <w:sz w:val="21"/>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排气筒底部中心</w:t>
            </w:r>
            <w:r>
              <w:rPr>
                <w:rFonts w:hint="eastAsia" w:ascii="Times New Roman" w:hAnsi="Times New Roman"/>
                <w:color w:val="auto"/>
                <w:sz w:val="21"/>
              </w:rPr>
              <w:t>经纬度</w:t>
            </w:r>
            <w:r>
              <w:rPr>
                <w:rFonts w:ascii="Times New Roman" w:hAnsi="Times New Roman"/>
                <w:color w:val="auto"/>
                <w:sz w:val="21"/>
              </w:rPr>
              <w:t>/X，Y</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120.61902255, 27.50440389</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120.61922103</w:t>
            </w:r>
            <w:r>
              <w:rPr>
                <w:rFonts w:hint="eastAsia" w:ascii="Times New Roman" w:hAnsi="Times New Roman"/>
                <w:color w:val="auto"/>
                <w:sz w:val="21"/>
              </w:rPr>
              <w:t>，</w:t>
            </w:r>
            <w:r>
              <w:rPr>
                <w:rFonts w:ascii="Times New Roman" w:hAnsi="Times New Roman"/>
                <w:color w:val="auto"/>
                <w:sz w:val="21"/>
              </w:rPr>
              <w:t>27.50423491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排气筒底部海拔高度/m</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排气筒高度/m</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排气筒出口内径/m</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烟气流速/（m/s）</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11.39</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烟气温度/</w:t>
            </w:r>
            <w:r>
              <w:rPr>
                <w:rFonts w:hint="eastAsia" w:cs="宋体"/>
                <w:color w:val="auto"/>
                <w:sz w:val="21"/>
              </w:rPr>
              <w:t>℃</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年排放小时数/h</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7920</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排放工况</w:t>
            </w:r>
          </w:p>
        </w:tc>
        <w:tc>
          <w:tcPr>
            <w:tcW w:w="2007"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正常排放</w:t>
            </w:r>
          </w:p>
        </w:tc>
        <w:tc>
          <w:tcPr>
            <w:tcW w:w="160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正常排放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污染物排放速率/（kg/h）</w:t>
            </w:r>
          </w:p>
        </w:tc>
        <w:tc>
          <w:tcPr>
            <w:tcW w:w="74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125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0.16</w:t>
            </w:r>
          </w:p>
        </w:tc>
        <w:tc>
          <w:tcPr>
            <w:tcW w:w="160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4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25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0.0026</w:t>
            </w:r>
          </w:p>
        </w:tc>
        <w:tc>
          <w:tcPr>
            <w:tcW w:w="160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4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25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60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4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25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60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4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25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0.0020</w:t>
            </w:r>
          </w:p>
        </w:tc>
        <w:tc>
          <w:tcPr>
            <w:tcW w:w="160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4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125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600"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0.013</w:t>
            </w:r>
          </w:p>
        </w:tc>
      </w:tr>
    </w:tbl>
    <w:p>
      <w:pPr>
        <w:spacing w:line="240" w:lineRule="auto"/>
        <w:ind w:firstLine="0" w:firstLineChars="0"/>
        <w:jc w:val="center"/>
        <w:rPr>
          <w:rFonts w:ascii="Times New Roman" w:hAnsi="Times New Roman"/>
          <w:b/>
          <w:snapToGrid w:val="0"/>
          <w:color w:val="auto"/>
          <w:sz w:val="21"/>
        </w:rPr>
      </w:pPr>
      <w:r>
        <w:rPr>
          <w:rFonts w:hint="eastAsia" w:ascii="Times New Roman" w:hAnsi="Times New Roman"/>
          <w:b/>
          <w:snapToGrid w:val="0"/>
          <w:color w:val="auto"/>
          <w:sz w:val="21"/>
        </w:rPr>
        <w:t xml:space="preserve">5-12  </w:t>
      </w:r>
      <w:r>
        <w:rPr>
          <w:rFonts w:ascii="Times New Roman" w:hAnsi="Times New Roman"/>
          <w:b/>
          <w:snapToGrid w:val="0"/>
          <w:color w:val="auto"/>
          <w:sz w:val="21"/>
        </w:rPr>
        <w:t>AERSCREEN</w:t>
      </w:r>
      <w:r>
        <w:rPr>
          <w:rFonts w:hint="eastAsia" w:ascii="Times New Roman" w:hAnsi="Times New Roman"/>
          <w:b/>
          <w:snapToGrid w:val="0"/>
          <w:color w:val="auto"/>
          <w:sz w:val="21"/>
        </w:rPr>
        <w:t xml:space="preserve"> 面源模型参数</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985"/>
        <w:gridCol w:w="2693"/>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名称</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造粒车间</w:t>
            </w:r>
          </w:p>
        </w:tc>
        <w:tc>
          <w:tcPr>
            <w:tcW w:w="1568"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面源起点经纬度</w:t>
            </w:r>
            <w:r>
              <w:rPr>
                <w:rFonts w:ascii="Times New Roman" w:hAnsi="Times New Roman"/>
                <w:color w:val="auto"/>
                <w:sz w:val="21"/>
              </w:rPr>
              <w:t>/X，Y</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120.61893135, 27.50439584</w:t>
            </w:r>
          </w:p>
        </w:tc>
        <w:tc>
          <w:tcPr>
            <w:tcW w:w="15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120.61893135, 27.50439584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面源海拔高度</w:t>
            </w:r>
            <w:r>
              <w:rPr>
                <w:rFonts w:ascii="Times New Roman" w:hAnsi="Times New Roman"/>
                <w:color w:val="auto"/>
                <w:sz w:val="21"/>
              </w:rPr>
              <w:t>/m</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5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面源长度</w:t>
            </w:r>
            <w:r>
              <w:rPr>
                <w:rFonts w:ascii="Times New Roman" w:hAnsi="Times New Roman"/>
                <w:color w:val="auto"/>
                <w:sz w:val="21"/>
              </w:rPr>
              <w:t>/m</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38</w:t>
            </w:r>
          </w:p>
        </w:tc>
        <w:tc>
          <w:tcPr>
            <w:tcW w:w="15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面源宽度</w:t>
            </w:r>
            <w:r>
              <w:rPr>
                <w:rFonts w:ascii="Times New Roman" w:hAnsi="Times New Roman"/>
                <w:color w:val="auto"/>
                <w:sz w:val="21"/>
              </w:rPr>
              <w:t>/m</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23</w:t>
            </w:r>
          </w:p>
        </w:tc>
        <w:tc>
          <w:tcPr>
            <w:tcW w:w="15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与正北方向夹角</w:t>
            </w:r>
            <w:r>
              <w:rPr>
                <w:rFonts w:ascii="Times New Roman" w:hAnsi="Times New Roman"/>
                <w:color w:val="auto"/>
                <w:sz w:val="21"/>
              </w:rPr>
              <w:t>/°</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45</w:t>
            </w:r>
          </w:p>
        </w:tc>
        <w:tc>
          <w:tcPr>
            <w:tcW w:w="15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面源有效排放高度</w:t>
            </w:r>
            <w:r>
              <w:rPr>
                <w:rFonts w:ascii="Times New Roman" w:hAnsi="Times New Roman"/>
                <w:color w:val="auto"/>
                <w:sz w:val="21"/>
              </w:rPr>
              <w:t>/m</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w:t>
            </w:r>
          </w:p>
        </w:tc>
        <w:tc>
          <w:tcPr>
            <w:tcW w:w="15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年排放小时数</w:t>
            </w:r>
            <w:r>
              <w:rPr>
                <w:rFonts w:ascii="Times New Roman" w:hAnsi="Times New Roman"/>
                <w:color w:val="auto"/>
                <w:sz w:val="21"/>
              </w:rPr>
              <w:t>/h</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7920</w:t>
            </w:r>
          </w:p>
        </w:tc>
        <w:tc>
          <w:tcPr>
            <w:tcW w:w="15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排放工况</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正常排放</w:t>
            </w:r>
          </w:p>
        </w:tc>
        <w:tc>
          <w:tcPr>
            <w:tcW w:w="1568"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非正常排放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污染物排放速率</w:t>
            </w:r>
            <w:r>
              <w:rPr>
                <w:rFonts w:ascii="Times New Roman" w:hAnsi="Times New Roman"/>
                <w:color w:val="auto"/>
                <w:sz w:val="21"/>
              </w:rPr>
              <w:t>/（kg/h）</w:t>
            </w:r>
          </w:p>
        </w:tc>
        <w:tc>
          <w:tcPr>
            <w:tcW w:w="109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1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0.0896</w:t>
            </w:r>
          </w:p>
        </w:tc>
        <w:tc>
          <w:tcPr>
            <w:tcW w:w="156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9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0.0014</w:t>
            </w:r>
          </w:p>
        </w:tc>
        <w:tc>
          <w:tcPr>
            <w:tcW w:w="156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9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0.0006</w:t>
            </w:r>
          </w:p>
        </w:tc>
        <w:tc>
          <w:tcPr>
            <w:tcW w:w="156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9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0.0006</w:t>
            </w:r>
          </w:p>
        </w:tc>
        <w:tc>
          <w:tcPr>
            <w:tcW w:w="156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9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568"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9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1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1568" w:type="pct"/>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0.071</w:t>
            </w:r>
          </w:p>
        </w:tc>
      </w:tr>
    </w:tbl>
    <w:p>
      <w:pPr>
        <w:ind w:firstLine="472" w:firstLineChars="196"/>
        <w:rPr>
          <w:rFonts w:ascii="Times New Roman" w:hAnsi="Times New Roman"/>
          <w:b/>
          <w:color w:val="auto"/>
        </w:rPr>
      </w:pPr>
      <w:r>
        <w:rPr>
          <w:rFonts w:hint="eastAsia" w:ascii="Times New Roman" w:hAnsi="Times New Roman"/>
          <w:b/>
          <w:color w:val="auto"/>
        </w:rPr>
        <w:t>⑤</w:t>
      </w:r>
      <w:r>
        <w:rPr>
          <w:rFonts w:ascii="Times New Roman" w:hAnsi="Times New Roman"/>
          <w:b/>
          <w:color w:val="auto"/>
        </w:rPr>
        <w:t>评价工作等级</w:t>
      </w:r>
    </w:p>
    <w:p>
      <w:pPr>
        <w:snapToGrid w:val="0"/>
        <w:ind w:firstLine="480"/>
        <w:rPr>
          <w:rFonts w:ascii="Times New Roman" w:hAnsi="Times New Roman"/>
          <w:color w:val="auto"/>
        </w:rPr>
      </w:pPr>
      <w:r>
        <w:rPr>
          <w:rFonts w:ascii="Times New Roman" w:hAnsi="Times New Roman"/>
          <w:color w:val="auto"/>
        </w:rPr>
        <w:t>根据项目工程分析结果，生产废气采用《环境影响评价技术导则 大气环境》（HJ2.2-2018）推荐模式清单中的估算模式AERSREEN计算各污染物在全气象组合情况条件下的最大落地浓度及浓度占标率等，评价等级判别表见表5-1</w:t>
      </w:r>
      <w:r>
        <w:rPr>
          <w:rFonts w:hint="eastAsia" w:ascii="Times New Roman" w:hAnsi="Times New Roman"/>
          <w:color w:val="auto"/>
        </w:rPr>
        <w:t>3</w:t>
      </w:r>
      <w:r>
        <w:rPr>
          <w:rFonts w:ascii="Times New Roman" w:hAnsi="Times New Roman"/>
          <w:color w:val="auto"/>
        </w:rPr>
        <w:t>。</w:t>
      </w:r>
    </w:p>
    <w:p>
      <w:pPr>
        <w:snapToGrid w:val="0"/>
        <w:spacing w:line="240" w:lineRule="auto"/>
        <w:ind w:firstLine="0" w:firstLineChars="0"/>
        <w:jc w:val="center"/>
        <w:rPr>
          <w:rFonts w:ascii="Times New Roman" w:hAnsi="Times New Roman"/>
          <w:b/>
          <w:color w:val="auto"/>
          <w:sz w:val="21"/>
        </w:rPr>
      </w:pPr>
      <w:r>
        <w:rPr>
          <w:rFonts w:ascii="Times New Roman" w:hAnsi="Times New Roman"/>
          <w:b/>
          <w:color w:val="auto"/>
          <w:sz w:val="21"/>
        </w:rPr>
        <w:t>5-13 评价等级判别表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7"/>
        <w:gridCol w:w="5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评价工作等级</w:t>
            </w:r>
          </w:p>
        </w:tc>
        <w:tc>
          <w:tcPr>
            <w:tcW w:w="2811"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一级评价</w:t>
            </w:r>
          </w:p>
        </w:tc>
        <w:tc>
          <w:tcPr>
            <w:tcW w:w="2811"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P</w:t>
            </w:r>
            <w:r>
              <w:rPr>
                <w:rFonts w:ascii="Times New Roman" w:hAnsi="Times New Roman"/>
                <w:color w:val="auto"/>
                <w:sz w:val="21"/>
                <w:vertAlign w:val="subscript"/>
              </w:rPr>
              <w:t>max</w:t>
            </w:r>
            <w:r>
              <w:rPr>
                <w:rFonts w:ascii="Times New Roman" w:hAnsi="Times New Roman"/>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二级评价</w:t>
            </w:r>
          </w:p>
        </w:tc>
        <w:tc>
          <w:tcPr>
            <w:tcW w:w="2811"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1%≤P</w:t>
            </w:r>
            <w:r>
              <w:rPr>
                <w:rFonts w:ascii="Times New Roman" w:hAnsi="Times New Roman"/>
                <w:color w:val="auto"/>
                <w:sz w:val="21"/>
                <w:vertAlign w:val="subscript"/>
              </w:rPr>
              <w:t>max</w:t>
            </w:r>
            <w:r>
              <w:rPr>
                <w:rFonts w:ascii="Times New Roman" w:hAnsi="Times New Roman"/>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三级评价</w:t>
            </w:r>
          </w:p>
        </w:tc>
        <w:tc>
          <w:tcPr>
            <w:tcW w:w="2811" w:type="pct"/>
            <w:vAlign w:val="center"/>
          </w:tcPr>
          <w:p>
            <w:pPr>
              <w:keepNext w:val="0"/>
              <w:keepLines w:val="0"/>
              <w:suppressLineNumbers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P</w:t>
            </w:r>
            <w:r>
              <w:rPr>
                <w:rFonts w:ascii="Times New Roman" w:hAnsi="Times New Roman"/>
                <w:color w:val="auto"/>
                <w:sz w:val="21"/>
                <w:vertAlign w:val="subscript"/>
              </w:rPr>
              <w:t>max</w:t>
            </w:r>
            <w:r>
              <w:rPr>
                <w:rFonts w:ascii="Times New Roman" w:hAnsi="Times New Roman"/>
                <w:color w:val="auto"/>
                <w:sz w:val="21"/>
              </w:rPr>
              <w:t>＜1%</w:t>
            </w:r>
          </w:p>
        </w:tc>
      </w:tr>
    </w:tbl>
    <w:p>
      <w:pPr>
        <w:ind w:firstLine="480"/>
        <w:rPr>
          <w:rFonts w:ascii="Times New Roman" w:hAnsi="Times New Roman"/>
          <w:color w:val="auto"/>
          <w:szCs w:val="24"/>
        </w:rPr>
      </w:pPr>
      <w:r>
        <w:rPr>
          <w:rFonts w:ascii="Times New Roman" w:hAnsi="Times New Roman"/>
          <w:color w:val="auto"/>
          <w:szCs w:val="24"/>
        </w:rPr>
        <w:t>大气污染源筛选计算结果见表5-14。</w:t>
      </w:r>
    </w:p>
    <w:p>
      <w:pPr>
        <w:spacing w:line="240" w:lineRule="auto"/>
        <w:ind w:firstLine="0" w:firstLineChars="0"/>
        <w:jc w:val="center"/>
        <w:rPr>
          <w:rFonts w:ascii="Times New Roman" w:hAnsi="Times New Roman"/>
          <w:b/>
          <w:snapToGrid w:val="0"/>
          <w:color w:val="auto"/>
          <w:sz w:val="21"/>
        </w:rPr>
      </w:pPr>
      <w:r>
        <w:rPr>
          <w:rFonts w:hint="eastAsia" w:ascii="Times New Roman" w:hAnsi="Times New Roman"/>
          <w:b/>
          <w:snapToGrid w:val="0"/>
          <w:color w:val="auto"/>
          <w:sz w:val="21"/>
        </w:rPr>
        <w:t xml:space="preserve">表5-14  </w:t>
      </w:r>
      <w:r>
        <w:rPr>
          <w:rFonts w:ascii="Times New Roman" w:hAnsi="Times New Roman"/>
          <w:b/>
          <w:color w:val="auto"/>
          <w:sz w:val="21"/>
        </w:rPr>
        <w:t>项目主要污染因子的最大地面浓度及占标率Pi</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320"/>
        <w:gridCol w:w="1600"/>
        <w:gridCol w:w="1108"/>
        <w:gridCol w:w="1269"/>
        <w:gridCol w:w="1612"/>
        <w:gridCol w:w="797"/>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34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形式</w:t>
            </w:r>
          </w:p>
        </w:tc>
        <w:tc>
          <w:tcPr>
            <w:tcW w:w="7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排气筒</w:t>
            </w:r>
            <w:r>
              <w:rPr>
                <w:rFonts w:ascii="Times New Roman" w:hAnsi="Times New Roman"/>
                <w:color w:val="auto"/>
                <w:sz w:val="21"/>
              </w:rPr>
              <w:t>编号</w:t>
            </w: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w:t>
            </w:r>
          </w:p>
        </w:tc>
        <w:tc>
          <w:tcPr>
            <w:tcW w:w="6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最大落地距离（m）</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最大落地浓度（mg/m</w:t>
            </w:r>
            <w:r>
              <w:rPr>
                <w:rFonts w:ascii="Times New Roman" w:hAnsi="Times New Roman"/>
                <w:color w:val="auto"/>
                <w:sz w:val="21"/>
                <w:vertAlign w:val="superscript"/>
              </w:rPr>
              <w:t>3</w:t>
            </w:r>
            <w:r>
              <w:rPr>
                <w:rFonts w:ascii="Times New Roman" w:hAnsi="Times New Roman"/>
                <w:color w:val="auto"/>
                <w:sz w:val="21"/>
              </w:rPr>
              <w:t>）</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最大地面浓度占标率（Pmax）</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D10%</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kern w:val="0"/>
                <w:sz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349"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有组织</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w:t>
            </w:r>
          </w:p>
        </w:tc>
        <w:tc>
          <w:tcPr>
            <w:tcW w:w="73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1#排气筒</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61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350</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0.004697</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0.39</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4.11E-5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0.41</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3.229 E-5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3.229 E-5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5.871 E-5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r>
              <w:rPr>
                <w:rFonts w:ascii="Times New Roman" w:hAnsi="Times New Roman"/>
                <w:color w:val="auto"/>
                <w:sz w:val="21"/>
              </w:rPr>
              <w:t>#排气筒</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6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122</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0.000565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349"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无组织</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w:t>
            </w:r>
          </w:p>
        </w:tc>
        <w:tc>
          <w:tcPr>
            <w:tcW w:w="73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造粒车间</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TVOC</w:t>
            </w:r>
          </w:p>
        </w:tc>
        <w:tc>
          <w:tcPr>
            <w:tcW w:w="613"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62</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0.03655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3.05</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0.000575</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5.75</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0.0002464</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0.49</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0.0002464</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613"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0.0004518</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0.23</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49"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破碎车间</w:t>
            </w:r>
          </w:p>
        </w:tc>
        <w:tc>
          <w:tcPr>
            <w:tcW w:w="88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6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w:t>
            </w:r>
          </w:p>
        </w:tc>
        <w:tc>
          <w:tcPr>
            <w:tcW w:w="70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0.05703</w:t>
            </w:r>
          </w:p>
        </w:tc>
        <w:tc>
          <w:tcPr>
            <w:tcW w:w="8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6.34</w:t>
            </w:r>
          </w:p>
        </w:tc>
        <w:tc>
          <w:tcPr>
            <w:tcW w:w="4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3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二级</w:t>
            </w:r>
          </w:p>
        </w:tc>
      </w:tr>
    </w:tbl>
    <w:p>
      <w:pPr>
        <w:ind w:firstLine="480"/>
        <w:rPr>
          <w:rFonts w:ascii="Times New Roman" w:hAnsi="Times New Roman"/>
          <w:color w:val="auto"/>
        </w:rPr>
      </w:pPr>
      <w:r>
        <w:rPr>
          <w:rFonts w:ascii="Times New Roman" w:hAnsi="Times New Roman"/>
          <w:color w:val="auto"/>
        </w:rPr>
        <w:t>根据上表可知，在正常工况下，项目排放废气污染物的最大地面浓度占标率Pi中最大值为</w:t>
      </w:r>
      <w:r>
        <w:rPr>
          <w:rFonts w:hint="eastAsia" w:ascii="Times New Roman" w:hAnsi="Times New Roman"/>
          <w:color w:val="auto"/>
        </w:rPr>
        <w:t>6.34</w:t>
      </w:r>
      <w:r>
        <w:rPr>
          <w:rFonts w:ascii="Times New Roman" w:hAnsi="Times New Roman"/>
          <w:color w:val="auto"/>
        </w:rPr>
        <w:t>%，属于1%≤Pmax&lt;10％，依据《环境影响评价技术导则—大气环境》(HJ2.2-2018)确定大气环境评价等级为二级，二级评价项目不进行进一步预测与评价，只对污染物排放量进行核算，项目大气环境影响评价范围边长取5km。</w:t>
      </w:r>
    </w:p>
    <w:p>
      <w:pPr>
        <w:ind w:firstLine="482"/>
        <w:rPr>
          <w:rFonts w:ascii="Times New Roman" w:hAnsi="Times New Roman"/>
          <w:b/>
          <w:color w:val="auto"/>
        </w:rPr>
      </w:pPr>
      <w:r>
        <w:rPr>
          <w:rFonts w:hint="eastAsia" w:ascii="Times New Roman" w:hAnsi="Times New Roman"/>
          <w:b/>
          <w:color w:val="auto"/>
        </w:rPr>
        <w:t>⑥污染物排放量核算</w:t>
      </w:r>
    </w:p>
    <w:p>
      <w:pPr>
        <w:adjustRightInd w:val="0"/>
        <w:snapToGrid w:val="0"/>
        <w:spacing w:line="240" w:lineRule="auto"/>
        <w:ind w:firstLine="422"/>
        <w:jc w:val="center"/>
        <w:rPr>
          <w:rFonts w:ascii="Times New Roman" w:hAnsi="Times New Roman"/>
          <w:b/>
          <w:bCs/>
          <w:color w:val="auto"/>
          <w:sz w:val="21"/>
        </w:rPr>
      </w:pPr>
      <w:r>
        <w:rPr>
          <w:rFonts w:ascii="Times New Roman" w:hAnsi="Times New Roman"/>
          <w:b/>
          <w:bCs/>
          <w:color w:val="auto"/>
          <w:sz w:val="21"/>
        </w:rPr>
        <w:t>表5-1</w:t>
      </w:r>
      <w:r>
        <w:rPr>
          <w:rFonts w:hint="eastAsia" w:ascii="Times New Roman" w:hAnsi="Times New Roman"/>
          <w:b/>
          <w:bCs/>
          <w:color w:val="auto"/>
          <w:sz w:val="21"/>
        </w:rPr>
        <w:t>5</w:t>
      </w:r>
      <w:r>
        <w:rPr>
          <w:rFonts w:ascii="Times New Roman" w:hAnsi="Times New Roman"/>
          <w:b/>
          <w:bCs/>
          <w:color w:val="auto"/>
          <w:sz w:val="21"/>
        </w:rPr>
        <w:t xml:space="preserve">  大气污染物有组织排放核算表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367"/>
        <w:gridCol w:w="1482"/>
        <w:gridCol w:w="1641"/>
        <w:gridCol w:w="2086"/>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序号</w:t>
            </w:r>
          </w:p>
        </w:tc>
        <w:tc>
          <w:tcPr>
            <w:tcW w:w="75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排放口编号</w:t>
            </w:r>
          </w:p>
        </w:tc>
        <w:tc>
          <w:tcPr>
            <w:tcW w:w="8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污染物</w:t>
            </w:r>
          </w:p>
        </w:tc>
        <w:tc>
          <w:tcPr>
            <w:tcW w:w="90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核算排放浓度/（mg/m</w:t>
            </w:r>
            <w:r>
              <w:rPr>
                <w:rFonts w:ascii="Times New Roman" w:hAnsi="Times New Roman"/>
                <w:bCs/>
                <w:color w:val="auto"/>
                <w:sz w:val="21"/>
                <w:vertAlign w:val="superscript"/>
              </w:rPr>
              <w:t>3</w:t>
            </w:r>
            <w:r>
              <w:rPr>
                <w:rFonts w:ascii="Times New Roman" w:hAnsi="Times New Roman"/>
                <w:bCs/>
                <w:color w:val="auto"/>
                <w:sz w:val="21"/>
              </w:rPr>
              <w:t>）</w:t>
            </w:r>
          </w:p>
        </w:tc>
        <w:tc>
          <w:tcPr>
            <w:tcW w:w="115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核算排放速率/（kg/h）</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1</w:t>
            </w:r>
          </w:p>
        </w:tc>
        <w:tc>
          <w:tcPr>
            <w:tcW w:w="755"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1#</w:t>
            </w:r>
            <w:r>
              <w:rPr>
                <w:rFonts w:ascii="Times New Roman" w:hAnsi="Times New Roman"/>
                <w:bCs/>
                <w:color w:val="auto"/>
                <w:sz w:val="21"/>
              </w:rPr>
              <w:t>排气筒</w:t>
            </w:r>
          </w:p>
        </w:tc>
        <w:tc>
          <w:tcPr>
            <w:tcW w:w="8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非甲烷总烃</w:t>
            </w:r>
          </w:p>
        </w:tc>
        <w:tc>
          <w:tcPr>
            <w:tcW w:w="9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5.3</w:t>
            </w:r>
          </w:p>
        </w:tc>
        <w:tc>
          <w:tcPr>
            <w:tcW w:w="115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0.16</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2</w:t>
            </w:r>
          </w:p>
        </w:tc>
        <w:tc>
          <w:tcPr>
            <w:tcW w:w="755"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82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9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0.087</w:t>
            </w:r>
          </w:p>
        </w:tc>
        <w:tc>
          <w:tcPr>
            <w:tcW w:w="115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0.0026</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3</w:t>
            </w:r>
          </w:p>
        </w:tc>
        <w:tc>
          <w:tcPr>
            <w:tcW w:w="755"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82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9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115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4</w:t>
            </w:r>
          </w:p>
        </w:tc>
        <w:tc>
          <w:tcPr>
            <w:tcW w:w="755"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82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9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115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5</w:t>
            </w:r>
          </w:p>
        </w:tc>
        <w:tc>
          <w:tcPr>
            <w:tcW w:w="755"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8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9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0.67</w:t>
            </w:r>
          </w:p>
        </w:tc>
        <w:tc>
          <w:tcPr>
            <w:tcW w:w="115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0.0020</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color w:val="auto"/>
                <w:sz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6</w:t>
            </w:r>
          </w:p>
        </w:tc>
        <w:tc>
          <w:tcPr>
            <w:tcW w:w="755"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8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甲基丙烯酸甲酯</w:t>
            </w:r>
          </w:p>
        </w:tc>
        <w:tc>
          <w:tcPr>
            <w:tcW w:w="9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0.037</w:t>
            </w:r>
          </w:p>
        </w:tc>
        <w:tc>
          <w:tcPr>
            <w:tcW w:w="115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0.0011</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7</w:t>
            </w:r>
          </w:p>
        </w:tc>
        <w:tc>
          <w:tcPr>
            <w:tcW w:w="75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2#</w:t>
            </w:r>
            <w:r>
              <w:rPr>
                <w:rFonts w:ascii="Times New Roman" w:hAnsi="Times New Roman"/>
                <w:bCs/>
                <w:color w:val="auto"/>
                <w:sz w:val="21"/>
              </w:rPr>
              <w:t>排气筒</w:t>
            </w:r>
          </w:p>
        </w:tc>
        <w:tc>
          <w:tcPr>
            <w:tcW w:w="82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908"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2.17</w:t>
            </w:r>
          </w:p>
        </w:tc>
        <w:tc>
          <w:tcPr>
            <w:tcW w:w="1154"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0.013</w:t>
            </w:r>
          </w:p>
        </w:tc>
        <w:tc>
          <w:tcPr>
            <w:tcW w:w="10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color w:val="auto"/>
                <w:sz w:val="21"/>
              </w:rPr>
              <w:t>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7" w:type="pct"/>
            <w:gridSpan w:val="2"/>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主要排放口合计</w:t>
            </w:r>
          </w:p>
        </w:tc>
        <w:tc>
          <w:tcPr>
            <w:tcW w:w="2882" w:type="pct"/>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VOCs</w:t>
            </w:r>
          </w:p>
        </w:tc>
        <w:tc>
          <w:tcPr>
            <w:tcW w:w="10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7" w:type="pct"/>
            <w:gridSpan w:val="2"/>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882" w:type="pct"/>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0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7" w:type="pct"/>
            <w:gridSpan w:val="2"/>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882" w:type="pct"/>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10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7" w:type="pct"/>
            <w:gridSpan w:val="2"/>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有组织排放总计</w:t>
            </w:r>
          </w:p>
        </w:tc>
        <w:tc>
          <w:tcPr>
            <w:tcW w:w="2882" w:type="pct"/>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VOCs</w:t>
            </w:r>
          </w:p>
        </w:tc>
        <w:tc>
          <w:tcPr>
            <w:tcW w:w="10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7" w:type="pct"/>
            <w:gridSpan w:val="2"/>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882" w:type="pct"/>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0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7" w:type="pct"/>
            <w:gridSpan w:val="2"/>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882" w:type="pct"/>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10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0.106</w:t>
            </w:r>
          </w:p>
        </w:tc>
      </w:tr>
    </w:tbl>
    <w:p>
      <w:pPr>
        <w:adjustRightInd w:val="0"/>
        <w:snapToGrid w:val="0"/>
        <w:spacing w:line="240" w:lineRule="auto"/>
        <w:ind w:firstLine="0" w:firstLineChars="0"/>
        <w:jc w:val="center"/>
        <w:rPr>
          <w:rFonts w:ascii="Times New Roman" w:hAnsi="Times New Roman"/>
          <w:b/>
          <w:bCs/>
          <w:color w:val="auto"/>
          <w:sz w:val="21"/>
        </w:rPr>
      </w:pPr>
      <w:r>
        <w:rPr>
          <w:rFonts w:ascii="Times New Roman" w:hAnsi="Times New Roman"/>
          <w:b/>
          <w:bCs/>
          <w:color w:val="auto"/>
          <w:sz w:val="21"/>
        </w:rPr>
        <w:t>表5-1</w:t>
      </w:r>
      <w:r>
        <w:rPr>
          <w:rFonts w:hint="eastAsia" w:ascii="Times New Roman" w:hAnsi="Times New Roman"/>
          <w:b/>
          <w:bCs/>
          <w:color w:val="auto"/>
          <w:sz w:val="21"/>
        </w:rPr>
        <w:t>6</w:t>
      </w:r>
      <w:r>
        <w:rPr>
          <w:rFonts w:ascii="Times New Roman" w:hAnsi="Times New Roman"/>
          <w:b/>
          <w:bCs/>
          <w:color w:val="auto"/>
          <w:sz w:val="21"/>
        </w:rPr>
        <w:t xml:space="preserve">  大气污染物无组织排放核算表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448"/>
        <w:gridCol w:w="669"/>
        <w:gridCol w:w="2155"/>
        <w:gridCol w:w="962"/>
        <w:gridCol w:w="2213"/>
        <w:gridCol w:w="1258"/>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248"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排放口编号</w:t>
            </w:r>
          </w:p>
        </w:tc>
        <w:tc>
          <w:tcPr>
            <w:tcW w:w="370"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产污环节</w:t>
            </w:r>
          </w:p>
        </w:tc>
        <w:tc>
          <w:tcPr>
            <w:tcW w:w="1192"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主要防治措施</w:t>
            </w:r>
          </w:p>
        </w:tc>
        <w:tc>
          <w:tcPr>
            <w:tcW w:w="532"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w:t>
            </w:r>
          </w:p>
        </w:tc>
        <w:tc>
          <w:tcPr>
            <w:tcW w:w="1920"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国家或地方污染物排放标准</w:t>
            </w:r>
          </w:p>
        </w:tc>
        <w:tc>
          <w:tcPr>
            <w:tcW w:w="490"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48"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370"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92"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532"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224"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标准名称</w:t>
            </w: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浓度限值/（mg/m</w:t>
            </w:r>
            <w:r>
              <w:rPr>
                <w:rFonts w:ascii="Times New Roman" w:hAnsi="Times New Roman"/>
                <w:color w:val="auto"/>
                <w:sz w:val="21"/>
                <w:vertAlign w:val="superscript"/>
              </w:rPr>
              <w:t>3</w:t>
            </w:r>
            <w:r>
              <w:rPr>
                <w:rFonts w:ascii="Times New Roman" w:hAnsi="Times New Roman"/>
                <w:color w:val="auto"/>
                <w:sz w:val="21"/>
              </w:rPr>
              <w:t>）</w:t>
            </w:r>
          </w:p>
        </w:tc>
        <w:tc>
          <w:tcPr>
            <w:tcW w:w="490"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248"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p>
        </w:tc>
        <w:tc>
          <w:tcPr>
            <w:tcW w:w="370"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造粒工序</w:t>
            </w:r>
          </w:p>
        </w:tc>
        <w:tc>
          <w:tcPr>
            <w:tcW w:w="119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造粒车间</w:t>
            </w:r>
            <w:r>
              <w:rPr>
                <w:rFonts w:ascii="Times New Roman" w:hAnsi="Times New Roman"/>
                <w:color w:val="auto"/>
                <w:sz w:val="21"/>
              </w:rPr>
              <w:t>各挤出机机头上方设置集气罩，收集效率不低于</w:t>
            </w:r>
            <w:r>
              <w:rPr>
                <w:rFonts w:hint="eastAsia" w:ascii="Times New Roman" w:hAnsi="Times New Roman"/>
                <w:color w:val="auto"/>
                <w:sz w:val="21"/>
              </w:rPr>
              <w:t>90</w:t>
            </w:r>
            <w:r>
              <w:rPr>
                <w:rFonts w:ascii="Times New Roman" w:hAnsi="Times New Roman"/>
                <w:color w:val="auto"/>
                <w:sz w:val="21"/>
              </w:rPr>
              <w:t>%。废气收集后经喷射塔+</w:t>
            </w:r>
            <w:r>
              <w:rPr>
                <w:rFonts w:hint="eastAsia" w:ascii="Times New Roman" w:hAnsi="Times New Roman"/>
                <w:color w:val="auto"/>
                <w:sz w:val="21"/>
              </w:rPr>
              <w:t>油烟净化器+</w:t>
            </w:r>
            <w:r>
              <w:rPr>
                <w:rFonts w:ascii="Times New Roman" w:hAnsi="Times New Roman"/>
                <w:color w:val="auto"/>
                <w:sz w:val="21"/>
              </w:rPr>
              <w:t>UV光氧+活性炭装置</w:t>
            </w:r>
            <w:r>
              <w:rPr>
                <w:rFonts w:hint="eastAsia" w:ascii="Times New Roman" w:hAnsi="Times New Roman"/>
                <w:color w:val="auto"/>
                <w:sz w:val="21"/>
              </w:rPr>
              <w:t>净化后</w:t>
            </w:r>
            <w:r>
              <w:rPr>
                <w:rFonts w:ascii="Times New Roman" w:hAnsi="Times New Roman"/>
                <w:color w:val="auto"/>
                <w:sz w:val="21"/>
              </w:rPr>
              <w:t>通过</w:t>
            </w:r>
            <w:r>
              <w:rPr>
                <w:rFonts w:hint="eastAsia" w:ascii="Times New Roman" w:hAnsi="Times New Roman"/>
                <w:color w:val="auto"/>
                <w:sz w:val="21"/>
              </w:rPr>
              <w:t>15m高的排气筒排放。</w:t>
            </w:r>
          </w:p>
        </w:tc>
        <w:tc>
          <w:tcPr>
            <w:tcW w:w="5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非甲烷总烃</w:t>
            </w:r>
          </w:p>
        </w:tc>
        <w:tc>
          <w:tcPr>
            <w:tcW w:w="1224"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《合成树脂工业污染物排放标准》（GB31572-2015）</w:t>
            </w: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4.0</w:t>
            </w:r>
          </w:p>
        </w:tc>
        <w:tc>
          <w:tcPr>
            <w:tcW w:w="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248"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370"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9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22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248"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370"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9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22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248"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370"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9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22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248"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370"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9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甲基丙烯酸甲酯</w:t>
            </w:r>
          </w:p>
        </w:tc>
        <w:tc>
          <w:tcPr>
            <w:tcW w:w="122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49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w:t>
            </w:r>
          </w:p>
        </w:tc>
        <w:tc>
          <w:tcPr>
            <w:tcW w:w="248"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370"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9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22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w:t>
            </w:r>
          </w:p>
        </w:tc>
        <w:tc>
          <w:tcPr>
            <w:tcW w:w="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w:t>
            </w:r>
          </w:p>
        </w:tc>
        <w:tc>
          <w:tcPr>
            <w:tcW w:w="248"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370"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破碎工序</w:t>
            </w:r>
          </w:p>
        </w:tc>
        <w:tc>
          <w:tcPr>
            <w:tcW w:w="11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收集经布袋除尘处理后</w:t>
            </w:r>
            <w:r>
              <w:rPr>
                <w:rFonts w:hint="eastAsia" w:ascii="Times New Roman" w:hAnsi="Times New Roman"/>
                <w:color w:val="auto"/>
                <w:sz w:val="21"/>
              </w:rPr>
              <w:t>高空排放（</w:t>
            </w:r>
            <w:r>
              <w:rPr>
                <w:rFonts w:ascii="Times New Roman" w:hAnsi="Times New Roman"/>
                <w:color w:val="auto"/>
                <w:sz w:val="21"/>
              </w:rPr>
              <w:t>2</w:t>
            </w:r>
            <w:r>
              <w:rPr>
                <w:rFonts w:hint="eastAsia" w:ascii="Times New Roman" w:hAnsi="Times New Roman"/>
                <w:color w:val="auto"/>
                <w:sz w:val="21"/>
              </w:rPr>
              <w:t>0</w:t>
            </w:r>
            <w:r>
              <w:rPr>
                <w:rFonts w:ascii="Times New Roman" w:hAnsi="Times New Roman"/>
                <w:color w:val="auto"/>
                <w:sz w:val="21"/>
              </w:rPr>
              <w:t>m）</w:t>
            </w:r>
          </w:p>
        </w:tc>
        <w:tc>
          <w:tcPr>
            <w:tcW w:w="53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122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96"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1.0</w:t>
            </w:r>
          </w:p>
        </w:tc>
        <w:tc>
          <w:tcPr>
            <w:tcW w:w="49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0" w:type="pct"/>
            <w:gridSpan w:val="5"/>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无组织排放总计</w:t>
            </w:r>
          </w:p>
        </w:tc>
        <w:tc>
          <w:tcPr>
            <w:tcW w:w="122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VOCs</w:t>
            </w:r>
          </w:p>
        </w:tc>
        <w:tc>
          <w:tcPr>
            <w:tcW w:w="1186"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0" w:type="pct"/>
            <w:gridSpan w:val="5"/>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22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186"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0" w:type="pct"/>
            <w:gridSpan w:val="5"/>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22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1186"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0.375</w:t>
            </w:r>
          </w:p>
        </w:tc>
      </w:tr>
    </w:tbl>
    <w:p>
      <w:pPr>
        <w:spacing w:line="240" w:lineRule="auto"/>
        <w:ind w:firstLine="0" w:firstLineChars="0"/>
        <w:jc w:val="center"/>
        <w:rPr>
          <w:rFonts w:ascii="Times New Roman" w:hAnsi="Times New Roman"/>
          <w:b/>
          <w:bCs/>
          <w:color w:val="auto"/>
          <w:sz w:val="21"/>
        </w:rPr>
      </w:pPr>
      <w:r>
        <w:rPr>
          <w:rFonts w:ascii="Times New Roman" w:hAnsi="Times New Roman"/>
          <w:b/>
          <w:bCs/>
          <w:color w:val="auto"/>
          <w:sz w:val="21"/>
        </w:rPr>
        <w:t>表5-1</w:t>
      </w:r>
      <w:r>
        <w:rPr>
          <w:rFonts w:hint="eastAsia" w:ascii="Times New Roman" w:hAnsi="Times New Roman"/>
          <w:b/>
          <w:bCs/>
          <w:color w:val="auto"/>
          <w:sz w:val="21"/>
        </w:rPr>
        <w:t>7</w:t>
      </w:r>
      <w:r>
        <w:rPr>
          <w:rFonts w:ascii="Times New Roman" w:hAnsi="Times New Roman"/>
          <w:b/>
          <w:bCs/>
          <w:color w:val="auto"/>
          <w:sz w:val="21"/>
        </w:rPr>
        <w:t xml:space="preserve">  大气污染物年排放量核算表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3017"/>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序号</w:t>
            </w:r>
          </w:p>
        </w:tc>
        <w:tc>
          <w:tcPr>
            <w:tcW w:w="16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污染物</w:t>
            </w:r>
          </w:p>
        </w:tc>
        <w:tc>
          <w:tcPr>
            <w:tcW w:w="167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1</w:t>
            </w:r>
          </w:p>
        </w:tc>
        <w:tc>
          <w:tcPr>
            <w:tcW w:w="166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VOCs</w:t>
            </w:r>
          </w:p>
        </w:tc>
        <w:tc>
          <w:tcPr>
            <w:tcW w:w="167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2.044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2</w:t>
            </w:r>
          </w:p>
        </w:tc>
        <w:tc>
          <w:tcPr>
            <w:tcW w:w="166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167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3</w:t>
            </w:r>
          </w:p>
        </w:tc>
        <w:tc>
          <w:tcPr>
            <w:tcW w:w="166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167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0.481</w:t>
            </w:r>
          </w:p>
        </w:tc>
      </w:tr>
    </w:tbl>
    <w:p>
      <w:pPr>
        <w:ind w:firstLine="482"/>
        <w:rPr>
          <w:rFonts w:ascii="Times New Roman" w:hAnsi="Times New Roman"/>
          <w:b/>
          <w:color w:val="auto"/>
        </w:rPr>
      </w:pPr>
      <w:r>
        <w:rPr>
          <w:rFonts w:hint="eastAsia" w:ascii="Times New Roman" w:hAnsi="Times New Roman"/>
          <w:b/>
          <w:color w:val="auto"/>
        </w:rPr>
        <w:t>⑦</w:t>
      </w:r>
      <w:r>
        <w:rPr>
          <w:rFonts w:ascii="Times New Roman" w:hAnsi="Times New Roman"/>
          <w:b/>
          <w:color w:val="auto"/>
        </w:rPr>
        <w:t>大气防护距离</w:t>
      </w:r>
    </w:p>
    <w:p>
      <w:pPr>
        <w:ind w:firstLine="480"/>
        <w:rPr>
          <w:rFonts w:ascii="Times New Roman" w:hAnsi="Times New Roman"/>
          <w:color w:val="auto"/>
          <w:szCs w:val="23"/>
        </w:rPr>
      </w:pPr>
      <w:r>
        <w:rPr>
          <w:rFonts w:ascii="Times New Roman" w:hAnsi="Times New Roman"/>
          <w:color w:val="auto"/>
          <w:szCs w:val="23"/>
        </w:rPr>
        <w:t>根据《环境影响评价技术导则 大气环境》（HJ2.2-2018），本项目无需采取进一步预测模型模拟基准年内本项目所有污染源对厂界外主要污染物的短期贡献浓度分布，因此本项目无需设置大气防护距离。</w:t>
      </w:r>
    </w:p>
    <w:p>
      <w:pPr>
        <w:ind w:firstLine="482"/>
        <w:rPr>
          <w:rFonts w:ascii="Times New Roman" w:hAnsi="Times New Roman"/>
          <w:b/>
          <w:color w:val="auto"/>
          <w:szCs w:val="23"/>
        </w:rPr>
      </w:pPr>
      <w:r>
        <w:rPr>
          <w:rFonts w:hint="eastAsia" w:ascii="Times New Roman" w:hAnsi="Times New Roman"/>
          <w:b/>
          <w:color w:val="auto"/>
          <w:szCs w:val="23"/>
        </w:rPr>
        <w:t>⑧非正常排放</w:t>
      </w:r>
    </w:p>
    <w:p>
      <w:pPr>
        <w:ind w:firstLine="480"/>
        <w:rPr>
          <w:rFonts w:ascii="Times New Roman" w:hAnsi="Times New Roman"/>
          <w:color w:val="auto"/>
          <w:szCs w:val="24"/>
        </w:rPr>
      </w:pPr>
      <w:r>
        <w:rPr>
          <w:rFonts w:hint="eastAsia" w:ascii="Times New Roman" w:hAnsi="Times New Roman"/>
          <w:color w:val="auto"/>
          <w:szCs w:val="24"/>
        </w:rPr>
        <w:t>由于设备故障、操作不当、工艺控制不当等因素可能导致温度过高，产生大量有机废气或环保治理措施失效，导致有机废气不经处理全部排放。本项目非正常工况指废气收集治理措施失效，废气在车间以无组织排放。</w:t>
      </w:r>
      <w:r>
        <w:rPr>
          <w:rFonts w:ascii="Times New Roman" w:hAnsi="Times New Roman"/>
          <w:color w:val="auto"/>
          <w:szCs w:val="24"/>
        </w:rPr>
        <w:t>本项目非正常排放情况下预测结果见下表5-</w:t>
      </w:r>
      <w:r>
        <w:rPr>
          <w:rFonts w:hint="eastAsia" w:ascii="Times New Roman" w:hAnsi="Times New Roman"/>
          <w:color w:val="auto"/>
          <w:szCs w:val="24"/>
        </w:rPr>
        <w:t>18</w:t>
      </w:r>
      <w:r>
        <w:rPr>
          <w:rFonts w:ascii="Times New Roman" w:hAnsi="Times New Roman"/>
          <w:color w:val="auto"/>
          <w:szCs w:val="24"/>
        </w:rPr>
        <w:t>。</w:t>
      </w:r>
    </w:p>
    <w:p>
      <w:pPr>
        <w:spacing w:line="240" w:lineRule="auto"/>
        <w:ind w:firstLine="422"/>
        <w:jc w:val="center"/>
        <w:rPr>
          <w:rFonts w:ascii="Times New Roman" w:hAnsi="Times New Roman"/>
          <w:b/>
          <w:color w:val="auto"/>
          <w:sz w:val="21"/>
        </w:rPr>
      </w:pPr>
      <w:r>
        <w:rPr>
          <w:rFonts w:ascii="Times New Roman" w:hAnsi="Times New Roman"/>
          <w:b/>
          <w:color w:val="auto"/>
          <w:sz w:val="21"/>
        </w:rPr>
        <w:t>表5-</w:t>
      </w:r>
      <w:r>
        <w:rPr>
          <w:rFonts w:hint="eastAsia" w:ascii="Times New Roman" w:hAnsi="Times New Roman"/>
          <w:b/>
          <w:color w:val="auto"/>
          <w:sz w:val="21"/>
        </w:rPr>
        <w:t>18</w:t>
      </w:r>
      <w:r>
        <w:rPr>
          <w:rFonts w:ascii="Times New Roman" w:hAnsi="Times New Roman"/>
          <w:b/>
          <w:color w:val="auto"/>
          <w:sz w:val="21"/>
        </w:rPr>
        <w:t xml:space="preserve">  项目非正常排放主要污染因子的最大地面浓度及占标率Pi</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300"/>
        <w:gridCol w:w="1506"/>
        <w:gridCol w:w="1506"/>
        <w:gridCol w:w="1506"/>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排放位置</w:t>
            </w:r>
          </w:p>
        </w:tc>
        <w:tc>
          <w:tcPr>
            <w:tcW w:w="7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w:t>
            </w:r>
          </w:p>
        </w:tc>
        <w:tc>
          <w:tcPr>
            <w:tcW w:w="833" w:type="pct"/>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排放速率(kg/h)</w:t>
            </w: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最大落地距离</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w:t>
            </w: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最大落地浓度</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（mg/m</w:t>
            </w:r>
            <w:r>
              <w:rPr>
                <w:rFonts w:ascii="Times New Roman" w:hAnsi="Times New Roman"/>
                <w:color w:val="auto"/>
                <w:sz w:val="21"/>
                <w:vertAlign w:val="superscript"/>
              </w:rPr>
              <w:t>3</w:t>
            </w:r>
            <w:r>
              <w:rPr>
                <w:rFonts w:ascii="Times New Roman" w:hAnsi="Times New Roman"/>
                <w:color w:val="auto"/>
                <w:sz w:val="21"/>
              </w:rPr>
              <w:t>）</w:t>
            </w:r>
          </w:p>
        </w:tc>
        <w:tc>
          <w:tcPr>
            <w:tcW w:w="118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最大地面浓度占标率</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熔融挤出车间</w:t>
            </w:r>
          </w:p>
        </w:tc>
        <w:tc>
          <w:tcPr>
            <w:tcW w:w="7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T</w:t>
            </w:r>
            <w:r>
              <w:rPr>
                <w:rFonts w:hint="eastAsia" w:ascii="Times New Roman" w:hAnsi="Times New Roman"/>
                <w:color w:val="auto"/>
                <w:sz w:val="21"/>
              </w:rPr>
              <w:t>VOC</w:t>
            </w:r>
          </w:p>
        </w:tc>
        <w:tc>
          <w:tcPr>
            <w:tcW w:w="833" w:type="pct"/>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szCs w:val="18"/>
              </w:rPr>
              <w:t>0.89</w:t>
            </w:r>
          </w:p>
        </w:tc>
        <w:tc>
          <w:tcPr>
            <w:tcW w:w="833"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62</w:t>
            </w: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0.3655</w:t>
            </w:r>
          </w:p>
        </w:tc>
        <w:tc>
          <w:tcPr>
            <w:tcW w:w="118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833" w:type="pct"/>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szCs w:val="18"/>
              </w:rPr>
              <w:t>0.014</w:t>
            </w:r>
          </w:p>
        </w:tc>
        <w:tc>
          <w:tcPr>
            <w:tcW w:w="83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0.00575</w:t>
            </w:r>
          </w:p>
        </w:tc>
        <w:tc>
          <w:tcPr>
            <w:tcW w:w="118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833" w:type="pct"/>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szCs w:val="18"/>
              </w:rPr>
              <w:t>0.006</w:t>
            </w:r>
          </w:p>
        </w:tc>
        <w:tc>
          <w:tcPr>
            <w:tcW w:w="83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0.002464</w:t>
            </w:r>
          </w:p>
        </w:tc>
        <w:tc>
          <w:tcPr>
            <w:tcW w:w="118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1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833" w:type="pct"/>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szCs w:val="18"/>
              </w:rPr>
              <w:t>0.006</w:t>
            </w:r>
          </w:p>
        </w:tc>
        <w:tc>
          <w:tcPr>
            <w:tcW w:w="83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0.002464</w:t>
            </w:r>
          </w:p>
        </w:tc>
        <w:tc>
          <w:tcPr>
            <w:tcW w:w="118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氨</w:t>
            </w:r>
          </w:p>
        </w:tc>
        <w:tc>
          <w:tcPr>
            <w:tcW w:w="833" w:type="pct"/>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szCs w:val="18"/>
              </w:rPr>
              <w:t>0.011</w:t>
            </w:r>
          </w:p>
        </w:tc>
        <w:tc>
          <w:tcPr>
            <w:tcW w:w="83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0.004518</w:t>
            </w:r>
          </w:p>
        </w:tc>
        <w:tc>
          <w:tcPr>
            <w:tcW w:w="118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破碎车间</w:t>
            </w:r>
          </w:p>
        </w:tc>
        <w:tc>
          <w:tcPr>
            <w:tcW w:w="7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w:t>
            </w:r>
          </w:p>
        </w:tc>
        <w:tc>
          <w:tcPr>
            <w:tcW w:w="833" w:type="pct"/>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r>
              <w:rPr>
                <w:rFonts w:hint="eastAsia" w:ascii="Times New Roman" w:hAnsi="Times New Roman"/>
                <w:color w:val="auto"/>
                <w:sz w:val="21"/>
              </w:rPr>
              <w:t>578</w:t>
            </w: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w:t>
            </w:r>
          </w:p>
        </w:tc>
        <w:tc>
          <w:tcPr>
            <w:tcW w:w="8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1.268</w:t>
            </w:r>
          </w:p>
        </w:tc>
        <w:tc>
          <w:tcPr>
            <w:tcW w:w="118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140.89</w:t>
            </w:r>
          </w:p>
        </w:tc>
      </w:tr>
    </w:tbl>
    <w:p>
      <w:pPr>
        <w:widowControl/>
        <w:ind w:firstLine="480"/>
        <w:rPr>
          <w:rFonts w:ascii="Times New Roman" w:hAnsi="Times New Roman"/>
          <w:color w:val="auto"/>
          <w:szCs w:val="24"/>
        </w:rPr>
      </w:pPr>
      <w:r>
        <w:rPr>
          <w:rFonts w:hint="eastAsia" w:ascii="Times New Roman" w:hAnsi="Times New Roman"/>
          <w:color w:val="auto"/>
          <w:szCs w:val="24"/>
        </w:rPr>
        <w:t>根据估算模式计算结果，非正常排放工况下，各污染物落地浓度相对于正常排放浓度成倍数增长。非正常排放对周边敏感点产生较大影响。尤其是恶劣环境下如阴雨天或者小风逆温等气象条件下，污染物难以稀释扩散，在项目所在地附近聚集，对项目所在地周边大气环境影响较大，建议建设单位加强环境管理，一旦废气收集治理设施出现故障，必须立即停止生产。</w:t>
      </w:r>
    </w:p>
    <w:p>
      <w:pPr>
        <w:ind w:firstLine="482"/>
        <w:rPr>
          <w:rFonts w:ascii="Times New Roman" w:hAnsi="Times New Roman"/>
          <w:b/>
          <w:color w:val="auto"/>
          <w:szCs w:val="23"/>
        </w:rPr>
      </w:pPr>
      <w:r>
        <w:rPr>
          <w:rFonts w:hint="eastAsia" w:ascii="Times New Roman" w:hAnsi="Times New Roman"/>
          <w:b/>
          <w:color w:val="auto"/>
          <w:szCs w:val="23"/>
        </w:rPr>
        <w:t>⑨大气环境自行监测计划</w:t>
      </w:r>
    </w:p>
    <w:p>
      <w:pPr>
        <w:spacing w:line="240" w:lineRule="auto"/>
        <w:ind w:firstLine="422"/>
        <w:jc w:val="center"/>
        <w:rPr>
          <w:rFonts w:ascii="Times New Roman" w:hAnsi="Times New Roman"/>
          <w:b/>
          <w:color w:val="auto"/>
          <w:sz w:val="21"/>
        </w:rPr>
      </w:pPr>
      <w:r>
        <w:rPr>
          <w:rFonts w:ascii="Times New Roman" w:hAnsi="Times New Roman"/>
          <w:b/>
          <w:color w:val="auto"/>
          <w:sz w:val="21"/>
        </w:rPr>
        <w:t>表</w:t>
      </w:r>
      <w:r>
        <w:rPr>
          <w:rFonts w:hint="eastAsia" w:ascii="Times New Roman" w:hAnsi="Times New Roman"/>
          <w:b/>
          <w:color w:val="auto"/>
          <w:sz w:val="21"/>
        </w:rPr>
        <w:t>5</w:t>
      </w:r>
      <w:r>
        <w:rPr>
          <w:rFonts w:ascii="Times New Roman" w:hAnsi="Times New Roman"/>
          <w:b/>
          <w:color w:val="auto"/>
          <w:sz w:val="21"/>
        </w:rPr>
        <w:t>-</w:t>
      </w:r>
      <w:r>
        <w:rPr>
          <w:rFonts w:hint="eastAsia" w:ascii="Times New Roman" w:hAnsi="Times New Roman"/>
          <w:b/>
          <w:color w:val="auto"/>
          <w:sz w:val="21"/>
        </w:rPr>
        <w:t xml:space="preserve">19 </w:t>
      </w:r>
      <w:r>
        <w:rPr>
          <w:rFonts w:ascii="Times New Roman" w:hAnsi="Times New Roman"/>
          <w:b/>
          <w:color w:val="auto"/>
          <w:sz w:val="21"/>
        </w:rPr>
        <w:t xml:space="preserve"> 有组织废气监测方案</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2335"/>
        <w:gridCol w:w="1947"/>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监测点位</w:t>
            </w:r>
          </w:p>
        </w:tc>
        <w:tc>
          <w:tcPr>
            <w:tcW w:w="129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监测指标</w:t>
            </w:r>
          </w:p>
        </w:tc>
        <w:tc>
          <w:tcPr>
            <w:tcW w:w="10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监测频次</w:t>
            </w:r>
          </w:p>
        </w:tc>
        <w:tc>
          <w:tcPr>
            <w:tcW w:w="155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1#排气筒</w:t>
            </w:r>
          </w:p>
        </w:tc>
        <w:tc>
          <w:tcPr>
            <w:tcW w:w="129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r>
              <w:rPr>
                <w:rFonts w:hint="eastAsia" w:ascii="Times New Roman" w:hAnsi="Times New Roman"/>
                <w:color w:val="auto"/>
                <w:sz w:val="21"/>
              </w:rPr>
              <w:t>、苯乙烯、</w:t>
            </w:r>
            <w:r>
              <w:rPr>
                <w:rFonts w:ascii="Times New Roman" w:hAnsi="Times New Roman"/>
                <w:color w:val="auto"/>
                <w:sz w:val="21"/>
              </w:rPr>
              <w:t>1</w:t>
            </w:r>
            <w:r>
              <w:rPr>
                <w:rFonts w:hint="eastAsia" w:ascii="Times New Roman" w:hAnsi="Times New Roman"/>
                <w:color w:val="auto"/>
                <w:sz w:val="21"/>
              </w:rPr>
              <w:t>，</w:t>
            </w:r>
            <w:r>
              <w:rPr>
                <w:rFonts w:ascii="Times New Roman" w:hAnsi="Times New Roman"/>
                <w:color w:val="auto"/>
                <w:sz w:val="21"/>
              </w:rPr>
              <w:t>3 丁二烯、丙烯腈、氨</w:t>
            </w:r>
          </w:p>
        </w:tc>
        <w:tc>
          <w:tcPr>
            <w:tcW w:w="10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1次/半年</w:t>
            </w:r>
          </w:p>
        </w:tc>
        <w:tc>
          <w:tcPr>
            <w:tcW w:w="1554" w:type="pct"/>
            <w:vMerge w:val="restart"/>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2#排气筒</w:t>
            </w:r>
          </w:p>
        </w:tc>
        <w:tc>
          <w:tcPr>
            <w:tcW w:w="129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10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1次/年</w:t>
            </w:r>
          </w:p>
        </w:tc>
        <w:tc>
          <w:tcPr>
            <w:tcW w:w="1554"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bl>
    <w:p>
      <w:pPr>
        <w:spacing w:line="240" w:lineRule="auto"/>
        <w:ind w:firstLine="422"/>
        <w:jc w:val="center"/>
        <w:rPr>
          <w:rFonts w:ascii="Times New Roman" w:hAnsi="Times New Roman"/>
          <w:b/>
          <w:color w:val="auto"/>
          <w:sz w:val="21"/>
        </w:rPr>
      </w:pPr>
      <w:r>
        <w:rPr>
          <w:rFonts w:ascii="Times New Roman" w:hAnsi="Times New Roman"/>
          <w:b/>
          <w:color w:val="auto"/>
          <w:sz w:val="21"/>
        </w:rPr>
        <w:t>表</w:t>
      </w:r>
      <w:r>
        <w:rPr>
          <w:rFonts w:hint="eastAsia" w:ascii="Times New Roman" w:hAnsi="Times New Roman"/>
          <w:b/>
          <w:color w:val="auto"/>
          <w:sz w:val="21"/>
        </w:rPr>
        <w:t>5</w:t>
      </w:r>
      <w:r>
        <w:rPr>
          <w:rFonts w:ascii="Times New Roman" w:hAnsi="Times New Roman"/>
          <w:b/>
          <w:color w:val="auto"/>
          <w:sz w:val="21"/>
        </w:rPr>
        <w:t>-</w:t>
      </w:r>
      <w:r>
        <w:rPr>
          <w:rFonts w:hint="eastAsia" w:ascii="Times New Roman" w:hAnsi="Times New Roman"/>
          <w:b/>
          <w:color w:val="auto"/>
          <w:sz w:val="21"/>
        </w:rPr>
        <w:t>20 无</w:t>
      </w:r>
      <w:r>
        <w:rPr>
          <w:rFonts w:ascii="Times New Roman" w:hAnsi="Times New Roman"/>
          <w:b/>
          <w:color w:val="auto"/>
          <w:sz w:val="21"/>
        </w:rPr>
        <w:t>组织废气监测方案</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2055"/>
        <w:gridCol w:w="2055"/>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监测点位</w:t>
            </w:r>
          </w:p>
        </w:tc>
        <w:tc>
          <w:tcPr>
            <w:tcW w:w="113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监测指标</w:t>
            </w:r>
          </w:p>
        </w:tc>
        <w:tc>
          <w:tcPr>
            <w:tcW w:w="113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监测频次</w:t>
            </w:r>
          </w:p>
        </w:tc>
        <w:tc>
          <w:tcPr>
            <w:tcW w:w="1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厂界</w:t>
            </w:r>
          </w:p>
        </w:tc>
        <w:tc>
          <w:tcPr>
            <w:tcW w:w="113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r>
              <w:rPr>
                <w:rFonts w:hint="eastAsia" w:ascii="Times New Roman" w:hAnsi="Times New Roman"/>
                <w:color w:val="auto"/>
                <w:sz w:val="21"/>
              </w:rPr>
              <w:t>、苯乙烯、</w:t>
            </w:r>
            <w:r>
              <w:rPr>
                <w:rFonts w:ascii="Times New Roman" w:hAnsi="Times New Roman"/>
                <w:color w:val="auto"/>
                <w:sz w:val="21"/>
              </w:rPr>
              <w:t>1</w:t>
            </w:r>
            <w:r>
              <w:rPr>
                <w:rFonts w:hint="eastAsia" w:ascii="Times New Roman" w:hAnsi="Times New Roman"/>
                <w:color w:val="auto"/>
                <w:sz w:val="21"/>
              </w:rPr>
              <w:t>，</w:t>
            </w:r>
            <w:r>
              <w:rPr>
                <w:rFonts w:ascii="Times New Roman" w:hAnsi="Times New Roman"/>
                <w:color w:val="auto"/>
                <w:sz w:val="21"/>
              </w:rPr>
              <w:t>3 丁二烯、丙烯腈、氨</w:t>
            </w:r>
            <w:r>
              <w:rPr>
                <w:rFonts w:hint="eastAsia" w:ascii="Times New Roman" w:hAnsi="Times New Roman"/>
                <w:color w:val="auto"/>
                <w:sz w:val="21"/>
              </w:rPr>
              <w:t>、颗粒物</w:t>
            </w:r>
          </w:p>
        </w:tc>
        <w:tc>
          <w:tcPr>
            <w:tcW w:w="113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color w:val="auto"/>
                <w:sz w:val="21"/>
              </w:rPr>
            </w:pPr>
            <w:r>
              <w:rPr>
                <w:rFonts w:hint="eastAsia" w:ascii="Times New Roman" w:hAnsi="Times New Roman"/>
                <w:color w:val="auto"/>
                <w:sz w:val="21"/>
              </w:rPr>
              <w:t>1次/年</w:t>
            </w:r>
          </w:p>
        </w:tc>
        <w:tc>
          <w:tcPr>
            <w:tcW w:w="1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臭气浓度</w:t>
            </w:r>
          </w:p>
        </w:tc>
        <w:tc>
          <w:tcPr>
            <w:tcW w:w="113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1次/年</w:t>
            </w:r>
          </w:p>
        </w:tc>
        <w:tc>
          <w:tcPr>
            <w:tcW w:w="1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《恶臭污染物排放标准》（GB14554-93）</w:t>
            </w:r>
          </w:p>
        </w:tc>
      </w:tr>
    </w:tbl>
    <w:p>
      <w:pPr>
        <w:ind w:firstLine="482"/>
        <w:rPr>
          <w:rFonts w:ascii="Times New Roman" w:hAnsi="Times New Roman"/>
          <w:b/>
          <w:color w:val="auto"/>
        </w:rPr>
      </w:pPr>
      <w:r>
        <w:rPr>
          <w:rFonts w:hint="eastAsia" w:ascii="Times New Roman" w:hAnsi="Times New Roman"/>
          <w:b/>
          <w:color w:val="auto"/>
        </w:rPr>
        <w:t>⑩大气环境影响评价自查表</w:t>
      </w:r>
    </w:p>
    <w:p>
      <w:pPr>
        <w:spacing w:line="348" w:lineRule="auto"/>
        <w:ind w:firstLine="480"/>
        <w:rPr>
          <w:rFonts w:ascii="Times New Roman" w:hAnsi="Times New Roman"/>
          <w:color w:val="auto"/>
        </w:rPr>
      </w:pPr>
      <w:r>
        <w:rPr>
          <w:rFonts w:ascii="Times New Roman" w:hAnsi="Times New Roman"/>
          <w:color w:val="auto"/>
        </w:rPr>
        <w:t>经以上分析可知，本项目生产过程产生的非甲烷总烃</w:t>
      </w:r>
      <w:r>
        <w:rPr>
          <w:rFonts w:hint="eastAsia" w:ascii="Times New Roman" w:hAnsi="Times New Roman"/>
          <w:color w:val="auto"/>
        </w:rPr>
        <w:t>在处理设施都正常运行的情况下</w:t>
      </w:r>
      <w:r>
        <w:rPr>
          <w:rFonts w:ascii="Times New Roman" w:hAnsi="Times New Roman"/>
          <w:color w:val="auto"/>
        </w:rPr>
        <w:t>排放能够符合相应排放标准。</w:t>
      </w:r>
    </w:p>
    <w:p>
      <w:pPr>
        <w:spacing w:line="348" w:lineRule="auto"/>
        <w:ind w:firstLine="480"/>
        <w:rPr>
          <w:rFonts w:ascii="Times New Roman" w:hAnsi="Times New Roman"/>
          <w:color w:val="auto"/>
        </w:rPr>
      </w:pPr>
      <w:r>
        <w:rPr>
          <w:rFonts w:ascii="Times New Roman" w:hAnsi="Times New Roman"/>
          <w:color w:val="auto"/>
        </w:rPr>
        <w:t>根据区域环境质量现状监测可知，本项目评价区域内环境空气质量良好，均有一定的环境容量。因此，在正常运营情况下，本项目所排放的废气对周边环境产生的影响不大。</w:t>
      </w:r>
    </w:p>
    <w:p>
      <w:pPr>
        <w:spacing w:line="348" w:lineRule="auto"/>
        <w:ind w:firstLine="480"/>
        <w:rPr>
          <w:rFonts w:ascii="Times New Roman" w:hAnsi="Times New Roman"/>
          <w:color w:val="auto"/>
        </w:rPr>
      </w:pPr>
      <w:r>
        <w:rPr>
          <w:rFonts w:ascii="Times New Roman" w:hAnsi="Times New Roman"/>
          <w:color w:val="auto"/>
        </w:rPr>
        <w:t>企业应加强管理，定期检修设备，保持废气处理设备正常运行，严防事故发生。非正常排放(指如点火开炉、设备检修、污染物排放控制指标不达标、工艺设备运转异常等情况下</w:t>
      </w:r>
      <w:r>
        <w:rPr>
          <w:rFonts w:hint="eastAsia" w:ascii="Times New Roman" w:hAnsi="Times New Roman"/>
          <w:color w:val="auto"/>
        </w:rPr>
        <w:t>无组织</w:t>
      </w:r>
      <w:r>
        <w:rPr>
          <w:rFonts w:ascii="Times New Roman" w:hAnsi="Times New Roman"/>
          <w:color w:val="auto"/>
        </w:rPr>
        <w:t>的排放)工况下，</w:t>
      </w:r>
      <w:r>
        <w:rPr>
          <w:rFonts w:hint="eastAsia" w:ascii="Times New Roman" w:hAnsi="Times New Roman"/>
          <w:color w:val="auto"/>
        </w:rPr>
        <w:t>废气</w:t>
      </w:r>
      <w:r>
        <w:rPr>
          <w:rFonts w:ascii="Times New Roman" w:hAnsi="Times New Roman"/>
          <w:color w:val="auto"/>
        </w:rPr>
        <w:t>落地浓度相对于正常排放浓度成倍数增长，非正常排放对周边敏感点产生影响。尤其是恶劣环境下如阴雨天或者小风逆温等气象条件下，污染物难以稀释扩散，在项目所在地附近聚集，对项目所在地周边大气环境影响较大，建议建设单位加强环境管理，一旦</w:t>
      </w:r>
      <w:r>
        <w:rPr>
          <w:rFonts w:hint="eastAsia" w:ascii="Times New Roman" w:hAnsi="Times New Roman"/>
          <w:color w:val="auto"/>
        </w:rPr>
        <w:t>出现非正常排放情况</w:t>
      </w:r>
      <w:r>
        <w:rPr>
          <w:rFonts w:ascii="Times New Roman" w:hAnsi="Times New Roman"/>
          <w:color w:val="auto"/>
        </w:rPr>
        <w:t>，必须立即停止生产。</w:t>
      </w:r>
    </w:p>
    <w:p>
      <w:pPr>
        <w:ind w:firstLine="480"/>
        <w:rPr>
          <w:rFonts w:ascii="Times New Roman" w:hAnsi="Times New Roman"/>
          <w:color w:val="auto"/>
          <w:szCs w:val="24"/>
        </w:rPr>
      </w:pPr>
      <w:r>
        <w:rPr>
          <w:rFonts w:ascii="Times New Roman" w:hAnsi="Times New Roman"/>
          <w:color w:val="auto"/>
        </w:rPr>
        <w:t>本项目所在区域环境空气质量为达标区，本项目新增污染源正常排放下污染物短期浓度贡献值的最大浓度占标率≤100%，本项目大气污染物在切实落实废气处理措施的基础上，对周边环境影响不大。综上，本项目环境影响可以接受。</w:t>
      </w:r>
    </w:p>
    <w:p>
      <w:pPr>
        <w:pStyle w:val="749"/>
        <w:spacing w:line="240" w:lineRule="auto"/>
        <w:jc w:val="center"/>
        <w:rPr>
          <w:rFonts w:ascii="Times New Roman" w:cs="Times New Roman"/>
          <w:b/>
          <w:color w:val="auto"/>
          <w:sz w:val="21"/>
          <w:szCs w:val="21"/>
        </w:rPr>
      </w:pPr>
      <w:r>
        <w:rPr>
          <w:rFonts w:ascii="Times New Roman" w:cs="Times New Roman"/>
          <w:b/>
          <w:color w:val="auto"/>
          <w:sz w:val="21"/>
          <w:szCs w:val="21"/>
        </w:rPr>
        <w:t>表5-</w:t>
      </w:r>
      <w:r>
        <w:rPr>
          <w:rFonts w:hint="eastAsia" w:ascii="Times New Roman" w:cs="Times New Roman"/>
          <w:b/>
          <w:color w:val="auto"/>
          <w:sz w:val="21"/>
          <w:szCs w:val="21"/>
        </w:rPr>
        <w:t xml:space="preserve">21 </w:t>
      </w:r>
      <w:r>
        <w:rPr>
          <w:rFonts w:ascii="Times New Roman" w:cs="Times New Roman"/>
          <w:b/>
          <w:color w:val="auto"/>
          <w:sz w:val="21"/>
          <w:szCs w:val="21"/>
        </w:rPr>
        <w:t xml:space="preserve"> 建设项目大气环境影响评价自查表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455"/>
        <w:gridCol w:w="1750"/>
        <w:gridCol w:w="434"/>
        <w:gridCol w:w="719"/>
        <w:gridCol w:w="302"/>
        <w:gridCol w:w="1891"/>
        <w:gridCol w:w="102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工作内容</w:t>
            </w:r>
          </w:p>
        </w:tc>
        <w:tc>
          <w:tcPr>
            <w:tcW w:w="3859" w:type="pct"/>
            <w:gridSpan w:val="7"/>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36"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评价等级与范围</w:t>
            </w: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评价等级</w:t>
            </w:r>
          </w:p>
        </w:tc>
        <w:tc>
          <w:tcPr>
            <w:tcW w:w="1606"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一级□</w:t>
            </w:r>
          </w:p>
        </w:tc>
        <w:tc>
          <w:tcPr>
            <w:tcW w:w="1213"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评价范围</w:t>
            </w:r>
          </w:p>
        </w:tc>
        <w:tc>
          <w:tcPr>
            <w:tcW w:w="1606"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边长=50km□</w:t>
            </w:r>
          </w:p>
        </w:tc>
        <w:tc>
          <w:tcPr>
            <w:tcW w:w="1213"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边长5～50km□</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边长=5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评价因子</w:t>
            </w:r>
          </w:p>
        </w:tc>
        <w:tc>
          <w:tcPr>
            <w:tcW w:w="805"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SO</w:t>
            </w:r>
            <w:r>
              <w:rPr>
                <w:rFonts w:ascii="Times New Roman" w:cs="Times New Roman"/>
                <w:color w:val="auto"/>
                <w:kern w:val="2"/>
                <w:sz w:val="21"/>
                <w:szCs w:val="21"/>
                <w:vertAlign w:val="subscript"/>
              </w:rPr>
              <w:t>2</w:t>
            </w:r>
            <w:r>
              <w:rPr>
                <w:rFonts w:ascii="Times New Roman" w:cs="Times New Roman"/>
                <w:color w:val="auto"/>
                <w:kern w:val="2"/>
                <w:sz w:val="21"/>
                <w:szCs w:val="21"/>
              </w:rPr>
              <w:t>+NO</w:t>
            </w:r>
            <w:r>
              <w:rPr>
                <w:rFonts w:ascii="Times New Roman" w:cs="Times New Roman"/>
                <w:color w:val="auto"/>
                <w:kern w:val="2"/>
                <w:sz w:val="21"/>
                <w:szCs w:val="21"/>
                <w:vertAlign w:val="subscript"/>
              </w:rPr>
              <w:t>x</w:t>
            </w:r>
            <w:r>
              <w:rPr>
                <w:rFonts w:ascii="Times New Roman" w:cs="Times New Roman"/>
                <w:color w:val="auto"/>
                <w:kern w:val="2"/>
                <w:sz w:val="21"/>
                <w:szCs w:val="21"/>
              </w:rPr>
              <w:t>排放量</w:t>
            </w:r>
          </w:p>
        </w:tc>
        <w:tc>
          <w:tcPr>
            <w:tcW w:w="1606"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≥2000t/a□</w:t>
            </w:r>
          </w:p>
        </w:tc>
        <w:tc>
          <w:tcPr>
            <w:tcW w:w="1213"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500 ~ 2000t/a□</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＜500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336"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评价因子</w:t>
            </w:r>
          </w:p>
        </w:tc>
        <w:tc>
          <w:tcPr>
            <w:tcW w:w="2819" w:type="pct"/>
            <w:gridSpan w:val="5"/>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基本污染物(SO</w:t>
            </w:r>
            <w:r>
              <w:rPr>
                <w:rFonts w:ascii="Times New Roman" w:cs="Times New Roman"/>
                <w:color w:val="auto"/>
                <w:kern w:val="2"/>
                <w:sz w:val="21"/>
                <w:szCs w:val="21"/>
                <w:vertAlign w:val="subscript"/>
              </w:rPr>
              <w:t>2、</w:t>
            </w:r>
            <w:r>
              <w:rPr>
                <w:rFonts w:ascii="Times New Roman" w:cs="Times New Roman"/>
                <w:color w:val="auto"/>
                <w:kern w:val="2"/>
                <w:sz w:val="21"/>
                <w:szCs w:val="21"/>
              </w:rPr>
              <w:t>NO</w:t>
            </w:r>
            <w:r>
              <w:rPr>
                <w:rFonts w:ascii="Times New Roman" w:cs="Times New Roman"/>
                <w:color w:val="auto"/>
                <w:kern w:val="2"/>
                <w:sz w:val="21"/>
                <w:szCs w:val="21"/>
                <w:vertAlign w:val="subscript"/>
              </w:rPr>
              <w:t>2</w:t>
            </w:r>
            <w:r>
              <w:rPr>
                <w:rFonts w:ascii="Times New Roman" w:cs="Times New Roman"/>
                <w:color w:val="auto"/>
                <w:kern w:val="2"/>
                <w:sz w:val="21"/>
                <w:szCs w:val="21"/>
              </w:rPr>
              <w:t>、PM</w:t>
            </w:r>
            <w:r>
              <w:rPr>
                <w:rFonts w:ascii="Times New Roman" w:cs="Times New Roman"/>
                <w:color w:val="auto"/>
                <w:kern w:val="2"/>
                <w:sz w:val="21"/>
                <w:szCs w:val="21"/>
                <w:vertAlign w:val="subscript"/>
              </w:rPr>
              <w:t>10</w:t>
            </w:r>
            <w:r>
              <w:rPr>
                <w:rFonts w:ascii="Times New Roman" w:cs="Times New Roman"/>
                <w:color w:val="auto"/>
                <w:kern w:val="2"/>
                <w:sz w:val="21"/>
                <w:szCs w:val="21"/>
              </w:rPr>
              <w:t>、PM</w:t>
            </w:r>
            <w:r>
              <w:rPr>
                <w:rFonts w:ascii="Times New Roman" w:cs="Times New Roman"/>
                <w:color w:val="auto"/>
                <w:kern w:val="2"/>
                <w:sz w:val="21"/>
                <w:szCs w:val="21"/>
                <w:vertAlign w:val="subscript"/>
              </w:rPr>
              <w:t>2.5</w:t>
            </w:r>
            <w:r>
              <w:rPr>
                <w:rFonts w:ascii="Times New Roman" w:cs="Times New Roman"/>
                <w:color w:val="auto"/>
                <w:kern w:val="2"/>
                <w:sz w:val="21"/>
                <w:szCs w:val="21"/>
              </w:rPr>
              <w:t xml:space="preserve">、臭氧、CO) </w:t>
            </w:r>
          </w:p>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 xml:space="preserve">其他污染物(非甲烷总烃) </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包括二次PM</w:t>
            </w:r>
            <w:r>
              <w:rPr>
                <w:rFonts w:ascii="Times New Roman" w:cs="Times New Roman"/>
                <w:color w:val="auto"/>
                <w:kern w:val="2"/>
                <w:sz w:val="21"/>
                <w:szCs w:val="21"/>
                <w:vertAlign w:val="subscript"/>
              </w:rPr>
              <w:t>2.5</w:t>
            </w:r>
            <w:r>
              <w:rPr>
                <w:rFonts w:ascii="Times New Roman" w:cs="Times New Roman"/>
                <w:color w:val="auto"/>
                <w:kern w:val="2"/>
                <w:sz w:val="21"/>
                <w:szCs w:val="21"/>
              </w:rPr>
              <w:t>□</w:t>
            </w:r>
          </w:p>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不包括二次PM</w:t>
            </w:r>
            <w:r>
              <w:rPr>
                <w:rFonts w:ascii="Times New Roman" w:cs="Times New Roman"/>
                <w:color w:val="auto"/>
                <w:kern w:val="2"/>
                <w:sz w:val="21"/>
                <w:szCs w:val="21"/>
                <w:vertAlign w:val="subscript"/>
              </w:rPr>
              <w:t>2.5</w:t>
            </w:r>
            <w:r>
              <w:rPr>
                <w:rFonts w:ascii="Times New Roman" w:cs="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评价标准</w:t>
            </w:r>
          </w:p>
        </w:tc>
        <w:tc>
          <w:tcPr>
            <w:tcW w:w="805"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评价标准</w:t>
            </w:r>
          </w:p>
        </w:tc>
        <w:tc>
          <w:tcPr>
            <w:tcW w:w="1208"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国家标准 √</w:t>
            </w:r>
          </w:p>
        </w:tc>
        <w:tc>
          <w:tcPr>
            <w:tcW w:w="1611"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地方标准 □</w:t>
            </w:r>
          </w:p>
        </w:tc>
        <w:tc>
          <w:tcPr>
            <w:tcW w:w="567"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附录D□</w:t>
            </w:r>
          </w:p>
        </w:tc>
        <w:tc>
          <w:tcPr>
            <w:tcW w:w="473"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现状评价</w:t>
            </w:r>
          </w:p>
        </w:tc>
        <w:tc>
          <w:tcPr>
            <w:tcW w:w="805"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环境功能区</w:t>
            </w:r>
          </w:p>
        </w:tc>
        <w:tc>
          <w:tcPr>
            <w:tcW w:w="1208"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一类区 □</w:t>
            </w:r>
          </w:p>
        </w:tc>
        <w:tc>
          <w:tcPr>
            <w:tcW w:w="1611"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二类区√</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评价基准年</w:t>
            </w:r>
          </w:p>
        </w:tc>
        <w:tc>
          <w:tcPr>
            <w:tcW w:w="3859" w:type="pct"/>
            <w:gridSpan w:val="7"/>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 201</w:t>
            </w:r>
            <w:r>
              <w:rPr>
                <w:rFonts w:hint="eastAsia" w:ascii="Times New Roman" w:hAnsi="Times New Roman"/>
                <w:color w:val="auto"/>
                <w:sz w:val="21"/>
              </w:rPr>
              <w:t>8</w:t>
            </w:r>
            <w:r>
              <w:rPr>
                <w:rFonts w:ascii="Times New Roman" w:hAnsi="Times New Roman"/>
                <w:color w:val="auto"/>
                <w:sz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环境空气质量现状调查数据源</w:t>
            </w:r>
          </w:p>
        </w:tc>
        <w:tc>
          <w:tcPr>
            <w:tcW w:w="1208"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长期例行监测数据□</w:t>
            </w:r>
          </w:p>
        </w:tc>
        <w:tc>
          <w:tcPr>
            <w:tcW w:w="1611"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主管部门发布的数据√</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现状评价</w:t>
            </w:r>
          </w:p>
        </w:tc>
        <w:tc>
          <w:tcPr>
            <w:tcW w:w="1773" w:type="pct"/>
            <w:gridSpan w:val="4"/>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达标区√</w:t>
            </w:r>
          </w:p>
        </w:tc>
        <w:tc>
          <w:tcPr>
            <w:tcW w:w="2086"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污染源调查</w:t>
            </w:r>
          </w:p>
        </w:tc>
        <w:tc>
          <w:tcPr>
            <w:tcW w:w="805"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调查内容</w:t>
            </w:r>
          </w:p>
        </w:tc>
        <w:tc>
          <w:tcPr>
            <w:tcW w:w="1208" w:type="pct"/>
            <w:gridSpan w:val="2"/>
            <w:vAlign w:val="center"/>
          </w:tcPr>
          <w:p>
            <w:pPr>
              <w:pStyle w:val="749"/>
              <w:keepNext w:val="0"/>
              <w:keepLines w:val="0"/>
              <w:suppressLineNumbers w:val="0"/>
              <w:snapToGrid w:val="0"/>
              <w:spacing w:before="0" w:beforeAutospacing="0" w:after="0" w:afterAutospacing="0" w:line="240" w:lineRule="auto"/>
              <w:ind w:left="0" w:right="0"/>
              <w:rPr>
                <w:rFonts w:ascii="Times New Roman" w:cs="Times New Roman"/>
                <w:color w:val="auto"/>
                <w:kern w:val="2"/>
                <w:sz w:val="21"/>
                <w:szCs w:val="21"/>
              </w:rPr>
            </w:pPr>
            <w:r>
              <w:rPr>
                <w:rFonts w:ascii="Times New Roman" w:cs="Times New Roman"/>
                <w:color w:val="auto"/>
                <w:kern w:val="2"/>
                <w:sz w:val="21"/>
                <w:szCs w:val="21"/>
              </w:rPr>
              <w:t>本项目正常排放源√</w:t>
            </w:r>
          </w:p>
          <w:p>
            <w:pPr>
              <w:pStyle w:val="749"/>
              <w:keepNext w:val="0"/>
              <w:keepLines w:val="0"/>
              <w:suppressLineNumbers w:val="0"/>
              <w:snapToGrid w:val="0"/>
              <w:spacing w:before="0" w:beforeAutospacing="0" w:after="0" w:afterAutospacing="0" w:line="240" w:lineRule="auto"/>
              <w:ind w:left="0" w:right="0"/>
              <w:rPr>
                <w:rFonts w:ascii="Times New Roman" w:cs="Times New Roman"/>
                <w:color w:val="auto"/>
                <w:kern w:val="2"/>
                <w:sz w:val="21"/>
                <w:szCs w:val="21"/>
              </w:rPr>
            </w:pPr>
            <w:r>
              <w:rPr>
                <w:rFonts w:ascii="Times New Roman" w:cs="Times New Roman"/>
                <w:color w:val="auto"/>
                <w:kern w:val="2"/>
                <w:sz w:val="21"/>
                <w:szCs w:val="21"/>
              </w:rPr>
              <w:t>本项目非正常排放源√</w:t>
            </w:r>
          </w:p>
          <w:p>
            <w:pPr>
              <w:pStyle w:val="749"/>
              <w:keepNext w:val="0"/>
              <w:keepLines w:val="0"/>
              <w:suppressLineNumbers w:val="0"/>
              <w:snapToGrid w:val="0"/>
              <w:spacing w:before="0" w:beforeAutospacing="0" w:after="0" w:afterAutospacing="0" w:line="240" w:lineRule="auto"/>
              <w:ind w:left="0" w:right="0"/>
              <w:rPr>
                <w:rFonts w:ascii="Times New Roman" w:cs="Times New Roman"/>
                <w:color w:val="auto"/>
                <w:kern w:val="2"/>
                <w:sz w:val="21"/>
                <w:szCs w:val="21"/>
              </w:rPr>
            </w:pPr>
            <w:r>
              <w:rPr>
                <w:rFonts w:ascii="Times New Roman" w:cs="Times New Roman"/>
                <w:color w:val="auto"/>
                <w:kern w:val="2"/>
                <w:sz w:val="21"/>
                <w:szCs w:val="21"/>
              </w:rPr>
              <w:t>现有污染源□</w:t>
            </w:r>
          </w:p>
        </w:tc>
        <w:tc>
          <w:tcPr>
            <w:tcW w:w="565"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拟替代的污染源□</w:t>
            </w:r>
          </w:p>
        </w:tc>
        <w:tc>
          <w:tcPr>
            <w:tcW w:w="1046"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其他在建、拟建项目污染源□</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环境监测</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计划</w:t>
            </w: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污染源监测</w:t>
            </w:r>
          </w:p>
        </w:tc>
        <w:tc>
          <w:tcPr>
            <w:tcW w:w="1773" w:type="pct"/>
            <w:gridSpan w:val="4"/>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监测因子：（</w:t>
            </w:r>
            <w:r>
              <w:rPr>
                <w:rFonts w:ascii="Times New Roman"/>
                <w:color w:val="auto"/>
                <w:kern w:val="2"/>
                <w:sz w:val="21"/>
              </w:rPr>
              <w:t>非甲烷总烃</w:t>
            </w:r>
            <w:r>
              <w:rPr>
                <w:rFonts w:hint="eastAsia" w:ascii="Times New Roman"/>
                <w:color w:val="auto"/>
                <w:kern w:val="2"/>
                <w:sz w:val="21"/>
              </w:rPr>
              <w:t>、苯乙烯、</w:t>
            </w:r>
            <w:r>
              <w:rPr>
                <w:rFonts w:ascii="Times New Roman"/>
                <w:color w:val="auto"/>
                <w:kern w:val="2"/>
                <w:sz w:val="21"/>
              </w:rPr>
              <w:t>1</w:t>
            </w:r>
            <w:r>
              <w:rPr>
                <w:rFonts w:hint="eastAsia" w:ascii="Times New Roman"/>
                <w:color w:val="auto"/>
                <w:kern w:val="2"/>
                <w:sz w:val="21"/>
              </w:rPr>
              <w:t>，</w:t>
            </w:r>
            <w:r>
              <w:rPr>
                <w:rFonts w:ascii="Times New Roman"/>
                <w:color w:val="auto"/>
                <w:kern w:val="2"/>
                <w:sz w:val="21"/>
              </w:rPr>
              <w:t>3 丁二烯、丙烯腈、氨</w:t>
            </w:r>
            <w:r>
              <w:rPr>
                <w:rFonts w:hint="eastAsia" w:ascii="Times New Roman"/>
                <w:color w:val="auto"/>
                <w:kern w:val="2"/>
                <w:sz w:val="21"/>
              </w:rPr>
              <w:t>、颗粒物</w:t>
            </w:r>
            <w:r>
              <w:rPr>
                <w:rFonts w:hint="eastAsia" w:ascii="Times New Roman" w:cs="Times New Roman"/>
                <w:color w:val="auto"/>
                <w:kern w:val="2"/>
                <w:sz w:val="21"/>
                <w:szCs w:val="21"/>
              </w:rPr>
              <w:t>、</w:t>
            </w:r>
            <w:r>
              <w:rPr>
                <w:rFonts w:ascii="Times New Roman" w:cs="Times New Roman"/>
                <w:color w:val="auto"/>
                <w:kern w:val="2"/>
                <w:sz w:val="21"/>
                <w:szCs w:val="21"/>
              </w:rPr>
              <w:t>臭气浓度）</w:t>
            </w:r>
          </w:p>
        </w:tc>
        <w:tc>
          <w:tcPr>
            <w:tcW w:w="1046"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有组织废气监测源√</w:t>
            </w:r>
          </w:p>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无组织废气监测源√</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336"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环境质量监测</w:t>
            </w:r>
          </w:p>
        </w:tc>
        <w:tc>
          <w:tcPr>
            <w:tcW w:w="1773" w:type="pct"/>
            <w:gridSpan w:val="4"/>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监测因子：（</w:t>
            </w:r>
            <w:r>
              <w:rPr>
                <w:rFonts w:ascii="Times New Roman"/>
                <w:color w:val="auto"/>
                <w:kern w:val="2"/>
                <w:sz w:val="21"/>
              </w:rPr>
              <w:t>非甲烷总烃</w:t>
            </w:r>
            <w:r>
              <w:rPr>
                <w:rFonts w:hint="eastAsia" w:ascii="Times New Roman"/>
                <w:color w:val="auto"/>
                <w:kern w:val="2"/>
                <w:sz w:val="21"/>
              </w:rPr>
              <w:t>、苯乙烯</w:t>
            </w:r>
            <w:r>
              <w:rPr>
                <w:rFonts w:ascii="Times New Roman" w:cs="Times New Roman"/>
                <w:color w:val="auto"/>
                <w:kern w:val="2"/>
                <w:sz w:val="21"/>
                <w:szCs w:val="21"/>
              </w:rPr>
              <w:t>）</w:t>
            </w:r>
          </w:p>
        </w:tc>
        <w:tc>
          <w:tcPr>
            <w:tcW w:w="1046"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监测点位数（</w:t>
            </w:r>
            <w:r>
              <w:rPr>
                <w:rFonts w:hint="eastAsia" w:ascii="Times New Roman" w:cs="Times New Roman"/>
                <w:color w:val="auto"/>
                <w:kern w:val="2"/>
                <w:sz w:val="21"/>
                <w:szCs w:val="21"/>
              </w:rPr>
              <w:t xml:space="preserve"> </w:t>
            </w:r>
            <w:r>
              <w:rPr>
                <w:rFonts w:ascii="Times New Roman" w:cs="Times New Roman"/>
                <w:color w:val="auto"/>
                <w:kern w:val="2"/>
                <w:sz w:val="21"/>
                <w:szCs w:val="21"/>
              </w:rPr>
              <w:t>）</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评价结论</w:t>
            </w: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环境影响</w:t>
            </w:r>
          </w:p>
        </w:tc>
        <w:tc>
          <w:tcPr>
            <w:tcW w:w="3859" w:type="pct"/>
            <w:gridSpan w:val="7"/>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可以接受√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80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污染源年排放量</w:t>
            </w:r>
          </w:p>
        </w:tc>
        <w:tc>
          <w:tcPr>
            <w:tcW w:w="968"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SO</w:t>
            </w:r>
            <w:r>
              <w:rPr>
                <w:rFonts w:ascii="Times New Roman" w:cs="Times New Roman"/>
                <w:color w:val="auto"/>
                <w:kern w:val="2"/>
                <w:sz w:val="21"/>
                <w:szCs w:val="21"/>
                <w:vertAlign w:val="subscript"/>
              </w:rPr>
              <w:t>2</w:t>
            </w:r>
            <w:r>
              <w:rPr>
                <w:rFonts w:ascii="Times New Roman" w:cs="Times New Roman"/>
                <w:color w:val="auto"/>
                <w:kern w:val="2"/>
                <w:sz w:val="21"/>
                <w:szCs w:val="21"/>
              </w:rPr>
              <w:t xml:space="preserve">:（ ）t/a </w:t>
            </w:r>
          </w:p>
        </w:tc>
        <w:tc>
          <w:tcPr>
            <w:tcW w:w="805" w:type="pct"/>
            <w:gridSpan w:val="3"/>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NO</w:t>
            </w:r>
            <w:r>
              <w:rPr>
                <w:rFonts w:ascii="Times New Roman" w:cs="Times New Roman"/>
                <w:color w:val="auto"/>
                <w:kern w:val="2"/>
                <w:sz w:val="21"/>
                <w:szCs w:val="21"/>
                <w:vertAlign w:val="subscript"/>
              </w:rPr>
              <w:t>x</w:t>
            </w:r>
            <w:r>
              <w:rPr>
                <w:rFonts w:ascii="Times New Roman" w:cs="Times New Roman"/>
                <w:color w:val="auto"/>
                <w:kern w:val="2"/>
                <w:sz w:val="21"/>
                <w:szCs w:val="21"/>
              </w:rPr>
              <w:t xml:space="preserve">:（ ）t/a </w:t>
            </w:r>
          </w:p>
        </w:tc>
        <w:tc>
          <w:tcPr>
            <w:tcW w:w="1046" w:type="pct"/>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颗粒物:（</w:t>
            </w:r>
            <w:r>
              <w:rPr>
                <w:rFonts w:hint="eastAsia" w:ascii="Times New Roman"/>
                <w:bCs/>
                <w:color w:val="auto"/>
                <w:kern w:val="2"/>
                <w:sz w:val="21"/>
              </w:rPr>
              <w:t>0.481</w:t>
            </w:r>
            <w:r>
              <w:rPr>
                <w:rFonts w:ascii="Times New Roman" w:cs="Times New Roman"/>
                <w:color w:val="auto"/>
                <w:kern w:val="2"/>
                <w:sz w:val="21"/>
                <w:szCs w:val="21"/>
              </w:rPr>
              <w:t xml:space="preserve">）t/a </w:t>
            </w:r>
          </w:p>
        </w:tc>
        <w:tc>
          <w:tcPr>
            <w:tcW w:w="1040" w:type="pct"/>
            <w:gridSpan w:val="2"/>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VOCs:（</w:t>
            </w:r>
            <w:r>
              <w:rPr>
                <w:rFonts w:hint="eastAsia" w:ascii="Times New Roman"/>
                <w:bCs/>
                <w:color w:val="auto"/>
                <w:kern w:val="2"/>
                <w:sz w:val="21"/>
              </w:rPr>
              <w:t>2.044</w:t>
            </w:r>
            <w:r>
              <w:rPr>
                <w:rFonts w:ascii="Times New Roman" w:cs="Times New Roman"/>
                <w:color w:val="auto"/>
                <w:kern w:val="2"/>
                <w:sz w:val="21"/>
                <w:szCs w:val="21"/>
              </w:rPr>
              <w:t xml:space="preserve">）t/a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注：“□”为勾选项，填“√”；“（）” 为内容填写项</w:t>
            </w:r>
          </w:p>
        </w:tc>
      </w:tr>
    </w:tbl>
    <w:p>
      <w:pPr>
        <w:pStyle w:val="4"/>
        <w:numPr>
          <w:ilvl w:val="0"/>
          <w:numId w:val="31"/>
        </w:numPr>
        <w:spacing w:beforeLines="0"/>
        <w:rPr>
          <w:rFonts w:ascii="Times New Roman" w:hAnsi="Times New Roman"/>
          <w:color w:val="auto"/>
          <w:sz w:val="24"/>
          <w:szCs w:val="24"/>
        </w:rPr>
      </w:pPr>
      <w:r>
        <w:rPr>
          <w:rFonts w:ascii="Times New Roman" w:hAnsi="Times New Roman"/>
          <w:color w:val="auto"/>
          <w:sz w:val="24"/>
          <w:szCs w:val="24"/>
        </w:rPr>
        <w:t>地表水环境影响分析</w:t>
      </w:r>
    </w:p>
    <w:p>
      <w:pPr>
        <w:ind w:firstLine="472" w:firstLineChars="196"/>
        <w:rPr>
          <w:rFonts w:ascii="Times New Roman" w:hAnsi="Times New Roman"/>
          <w:b/>
          <w:color w:val="auto"/>
        </w:rPr>
      </w:pPr>
      <w:r>
        <w:rPr>
          <w:rFonts w:ascii="Times New Roman" w:hAnsi="Times New Roman"/>
          <w:b/>
          <w:color w:val="auto"/>
        </w:rPr>
        <w:t>（1）评价因子的确定</w:t>
      </w:r>
    </w:p>
    <w:p>
      <w:pPr>
        <w:ind w:firstLine="480"/>
        <w:rPr>
          <w:rFonts w:ascii="Times New Roman" w:hAnsi="Times New Roman"/>
          <w:color w:val="auto"/>
        </w:rPr>
      </w:pPr>
      <w:r>
        <w:rPr>
          <w:rFonts w:hint="eastAsia" w:ascii="Times New Roman" w:hAnsi="Times New Roman"/>
          <w:color w:val="auto"/>
        </w:rPr>
        <w:t>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w:t>
      </w:r>
      <w:r>
        <w:rPr>
          <w:rFonts w:hint="eastAsia" w:ascii="Times New Roman" w:hAnsi="Times New Roman"/>
          <w:color w:val="auto"/>
        </w:rPr>
        <w:t>。</w:t>
      </w:r>
    </w:p>
    <w:p>
      <w:pPr>
        <w:ind w:firstLine="482"/>
        <w:rPr>
          <w:rFonts w:ascii="Times New Roman" w:hAnsi="Times New Roman"/>
          <w:b/>
          <w:color w:val="auto"/>
        </w:rPr>
      </w:pPr>
      <w:r>
        <w:rPr>
          <w:rFonts w:ascii="Times New Roman" w:hAnsi="Times New Roman"/>
          <w:b/>
          <w:color w:val="auto"/>
        </w:rPr>
        <w:t>（2）评价等级及评价范围的确定</w:t>
      </w:r>
    </w:p>
    <w:p>
      <w:pPr>
        <w:ind w:firstLine="480"/>
        <w:rPr>
          <w:rFonts w:ascii="Times New Roman" w:hAnsi="Times New Roman"/>
          <w:color w:val="auto"/>
        </w:rPr>
      </w:pPr>
      <w:r>
        <w:rPr>
          <w:rFonts w:ascii="Times New Roman" w:hAnsi="Times New Roman"/>
          <w:color w:val="auto"/>
        </w:rPr>
        <w:t>根据《环境影响评价技术导则 地表水环境》(HJ2.3-2018)中5.2.2“水污染影响型建设项目根据排放方式和废水排放量划分评价等级”，水污染影响型建设项目评价等级判定表见下表5</w:t>
      </w:r>
      <w:r>
        <w:rPr>
          <w:rFonts w:hint="eastAsia" w:ascii="Times New Roman" w:hAnsi="Times New Roman"/>
          <w:color w:val="auto"/>
        </w:rPr>
        <w:t>-22</w:t>
      </w:r>
      <w:r>
        <w:rPr>
          <w:rFonts w:ascii="Times New Roman" w:hAnsi="Times New Roman"/>
          <w:color w:val="auto"/>
        </w:rPr>
        <w:t xml:space="preserve">。 </w:t>
      </w:r>
    </w:p>
    <w:p>
      <w:pPr>
        <w:spacing w:line="240" w:lineRule="auto"/>
        <w:ind w:firstLine="0" w:firstLineChars="0"/>
        <w:jc w:val="center"/>
        <w:rPr>
          <w:rFonts w:ascii="Times New Roman" w:hAnsi="Times New Roman"/>
          <w:b/>
          <w:color w:val="auto"/>
          <w:sz w:val="21"/>
        </w:rPr>
      </w:pPr>
      <w:r>
        <w:rPr>
          <w:rFonts w:ascii="Times New Roman" w:hAnsi="Times New Roman"/>
          <w:b/>
          <w:color w:val="auto"/>
          <w:sz w:val="21"/>
        </w:rPr>
        <w:t>表5-2</w:t>
      </w:r>
      <w:r>
        <w:rPr>
          <w:rFonts w:hint="eastAsia" w:ascii="Times New Roman" w:hAnsi="Times New Roman"/>
          <w:b/>
          <w:color w:val="auto"/>
          <w:sz w:val="21"/>
        </w:rPr>
        <w:t>2</w:t>
      </w:r>
      <w:r>
        <w:rPr>
          <w:rFonts w:ascii="Times New Roman" w:hAnsi="Times New Roman"/>
          <w:b/>
          <w:color w:val="auto"/>
          <w:sz w:val="21"/>
        </w:rPr>
        <w:t xml:space="preserve"> 水污染影响型建设项目评价等级判定表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58"/>
        <w:gridCol w:w="5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评价等级</w:t>
            </w:r>
          </w:p>
        </w:tc>
        <w:tc>
          <w:tcPr>
            <w:tcW w:w="3973"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排放方式</w:t>
            </w:r>
          </w:p>
        </w:tc>
        <w:tc>
          <w:tcPr>
            <w:tcW w:w="294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废水排放量Q/（m</w:t>
            </w:r>
            <w:r>
              <w:rPr>
                <w:rFonts w:ascii="Times New Roman" w:hAnsi="Times New Roman"/>
                <w:color w:val="auto"/>
                <w:sz w:val="21"/>
                <w:vertAlign w:val="superscript"/>
              </w:rPr>
              <w:t>3</w:t>
            </w:r>
            <w:r>
              <w:rPr>
                <w:rFonts w:ascii="Times New Roman" w:hAnsi="Times New Roman"/>
                <w:color w:val="auto"/>
                <w:sz w:val="21"/>
              </w:rPr>
              <w:t>/d）</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一级</w:t>
            </w:r>
          </w:p>
        </w:tc>
        <w:tc>
          <w:tcPr>
            <w:tcW w:w="10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直接排放</w:t>
            </w:r>
          </w:p>
        </w:tc>
        <w:tc>
          <w:tcPr>
            <w:tcW w:w="294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二级</w:t>
            </w:r>
          </w:p>
        </w:tc>
        <w:tc>
          <w:tcPr>
            <w:tcW w:w="10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直接排放</w:t>
            </w:r>
          </w:p>
        </w:tc>
        <w:tc>
          <w:tcPr>
            <w:tcW w:w="294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三级A</w:t>
            </w:r>
          </w:p>
        </w:tc>
        <w:tc>
          <w:tcPr>
            <w:tcW w:w="10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直接排放</w:t>
            </w:r>
          </w:p>
        </w:tc>
        <w:tc>
          <w:tcPr>
            <w:tcW w:w="294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三级B</w:t>
            </w:r>
          </w:p>
        </w:tc>
        <w:tc>
          <w:tcPr>
            <w:tcW w:w="10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间接排放</w:t>
            </w:r>
          </w:p>
        </w:tc>
        <w:tc>
          <w:tcPr>
            <w:tcW w:w="294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000" w:type="pct"/>
            <w:gridSpan w:val="3"/>
            <w:vAlign w:val="center"/>
          </w:tcPr>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1：水污染物当量数等于该污染物的年排放量除以该污染物的污染当量值（见《环境影响评价技术导则 地面水环境》(HJ2.3-2018)附录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rPr>
              <w:t>注 3：厂区存在堆积物（露天堆放的原料、燃料、废渣等以及垃圾堆放场）、降尘污染的，应将初期雨污水纳入废水排</w:t>
            </w:r>
            <w:r>
              <w:rPr>
                <w:rFonts w:ascii="Times New Roman" w:hAnsi="Times New Roman"/>
                <w:b/>
                <w:color w:val="auto"/>
                <w:sz w:val="21"/>
                <w:lang w:bidi="zh-CN"/>
              </w:rPr>
              <w:t>放量，相应的主要污染物纳入水污染当量计算。</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4：建设项目直接排放第一类污染物的，其评价等级为一级；建设项目直接排放的污染物为受纳水体超标因子的，评价等级不低于二级。</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5：直接排放受纳水体影响范围涉及饮用水水源保护区、饮用水取水口、重点保护与珍稀水生生物的栖息地、重要水生生物的自然产卵场等保护目标时，评价等级不低于二级。</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6：建设项目向河流、湖库排放温排水引起受纳水体水温变化超过水环境质量标准要求，且评价范围有水温敏感目标时，评价等级为一级。</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7：建设项目利用海水作为调节温度介质，排水量≥500万m</w:t>
            </w:r>
            <w:r>
              <w:rPr>
                <w:rFonts w:ascii="Times New Roman" w:hAnsi="Times New Roman"/>
                <w:b/>
                <w:color w:val="auto"/>
                <w:sz w:val="21"/>
                <w:vertAlign w:val="superscript"/>
                <w:lang w:bidi="zh-CN"/>
              </w:rPr>
              <w:t>3</w:t>
            </w:r>
            <w:r>
              <w:rPr>
                <w:rFonts w:ascii="Times New Roman" w:hAnsi="Times New Roman"/>
                <w:b/>
                <w:color w:val="auto"/>
                <w:sz w:val="21"/>
                <w:lang w:bidi="zh-CN"/>
              </w:rPr>
              <w:t>/d，评价等级为一级；排水量＜500万m</w:t>
            </w:r>
            <w:r>
              <w:rPr>
                <w:rFonts w:ascii="Times New Roman" w:hAnsi="Times New Roman"/>
                <w:b/>
                <w:color w:val="auto"/>
                <w:sz w:val="21"/>
                <w:vertAlign w:val="superscript"/>
                <w:lang w:bidi="zh-CN"/>
              </w:rPr>
              <w:t>3</w:t>
            </w:r>
            <w:r>
              <w:rPr>
                <w:rFonts w:ascii="Times New Roman" w:hAnsi="Times New Roman"/>
                <w:b/>
                <w:color w:val="auto"/>
                <w:sz w:val="21"/>
                <w:lang w:bidi="zh-CN"/>
              </w:rPr>
              <w:t>/d，评价等级为二级。</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8：仅涉及清净下水排放的，如其排放水质满足受纳水体水环境质量标准要求的，评价等级为三级 A。</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9：依托现有排放口，且对外环境未新增排放污染物的直接排放建设项目，评价等级参照间接排放，定为三级 B。</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b/>
                <w:color w:val="auto"/>
                <w:sz w:val="21"/>
                <w:lang w:bidi="zh-CN"/>
              </w:rPr>
            </w:pPr>
            <w:r>
              <w:rPr>
                <w:rFonts w:ascii="Times New Roman" w:hAnsi="Times New Roman"/>
                <w:b/>
                <w:color w:val="auto"/>
                <w:sz w:val="21"/>
                <w:lang w:bidi="zh-CN"/>
              </w:rPr>
              <w:t>注 10：建设项目生产工艺中有废水产生，但作为回水利用，不排放到外环境的，按三级B 评价。</w:t>
            </w:r>
          </w:p>
        </w:tc>
      </w:tr>
    </w:tbl>
    <w:p>
      <w:pPr>
        <w:adjustRightInd w:val="0"/>
        <w:snapToGrid w:val="0"/>
        <w:ind w:firstLine="480"/>
        <w:rPr>
          <w:rFonts w:ascii="Times New Roman" w:hAnsi="Times New Roman"/>
          <w:color w:val="auto"/>
        </w:rPr>
      </w:pPr>
      <w:r>
        <w:rPr>
          <w:rFonts w:hint="eastAsia" w:ascii="Times New Roman" w:hAnsi="Times New Roman"/>
          <w:color w:val="auto"/>
        </w:rPr>
        <w:t>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w:t>
      </w:r>
      <w:r>
        <w:rPr>
          <w:rFonts w:hint="eastAsia" w:ascii="Times New Roman" w:hAnsi="Times New Roman"/>
          <w:color w:val="auto"/>
        </w:rPr>
        <w:t>。</w:t>
      </w:r>
    </w:p>
    <w:p>
      <w:pPr>
        <w:ind w:firstLine="480"/>
        <w:rPr>
          <w:rFonts w:ascii="Times New Roman" w:hAnsi="Times New Roman"/>
          <w:color w:val="auto"/>
        </w:rPr>
      </w:pPr>
      <w:r>
        <w:rPr>
          <w:rFonts w:ascii="Times New Roman" w:hAnsi="Times New Roman"/>
          <w:color w:val="auto"/>
        </w:rPr>
        <w:t>故本项目污水排放方式为间接排放，根据表5</w:t>
      </w:r>
      <w:r>
        <w:rPr>
          <w:rFonts w:hint="eastAsia" w:ascii="Times New Roman" w:hAnsi="Times New Roman"/>
          <w:color w:val="auto"/>
        </w:rPr>
        <w:t>-22</w:t>
      </w:r>
      <w:r>
        <w:rPr>
          <w:rFonts w:ascii="Times New Roman" w:hAnsi="Times New Roman"/>
          <w:color w:val="auto"/>
        </w:rPr>
        <w:t>可知，本项目评价等级为三级B。根据《环境影响评价技术导则 地面水环境》(HJ2.3-2018)中7.1.2“水污染影响型三级B评价可不进行水环境影响预测”，故本项目不进行水环境影响预测，根据导则 8.1.2，主要评价内容包括：水污染控制和水环境影响减缓措施有效性评价和依托污水处理设施的环境可行性评价。</w:t>
      </w:r>
    </w:p>
    <w:p>
      <w:pPr>
        <w:ind w:firstLine="472" w:firstLineChars="196"/>
        <w:rPr>
          <w:rFonts w:ascii="Times New Roman" w:hAnsi="Times New Roman"/>
          <w:b/>
          <w:color w:val="auto"/>
        </w:rPr>
      </w:pPr>
      <w:r>
        <w:rPr>
          <w:rFonts w:ascii="Times New Roman" w:hAnsi="Times New Roman"/>
          <w:b/>
          <w:color w:val="auto"/>
        </w:rPr>
        <w:t>（3）水污染控制和水环境影响减缓措施有效性评价</w:t>
      </w:r>
    </w:p>
    <w:p>
      <w:pPr>
        <w:adjustRightInd w:val="0"/>
        <w:snapToGrid w:val="0"/>
        <w:ind w:firstLine="480"/>
        <w:rPr>
          <w:rFonts w:ascii="Times New Roman" w:hAnsi="Times New Roman"/>
          <w:color w:val="auto"/>
        </w:rPr>
      </w:pPr>
      <w:r>
        <w:rPr>
          <w:rFonts w:hint="eastAsia" w:cs="宋体"/>
          <w:color w:val="auto"/>
        </w:rPr>
        <w:t>①</w:t>
      </w:r>
      <w:r>
        <w:rPr>
          <w:rFonts w:hint="eastAsia" w:ascii="Times New Roman" w:hAnsi="Times New Roman"/>
          <w:color w:val="auto"/>
        </w:rPr>
        <w:t>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w:t>
      </w:r>
      <w:r>
        <w:rPr>
          <w:rFonts w:hint="eastAsia" w:ascii="Times New Roman" w:hAnsi="Times New Roman"/>
          <w:color w:val="auto"/>
        </w:rPr>
        <w:t>。</w:t>
      </w:r>
      <w:r>
        <w:rPr>
          <w:rFonts w:ascii="Times New Roman" w:hAnsi="Times New Roman"/>
          <w:color w:val="auto"/>
        </w:rPr>
        <w:t>故本项目污染控制措施及废水排放口排放浓度限值满足国家和地方相关排放标准要求。</w:t>
      </w:r>
    </w:p>
    <w:p>
      <w:pPr>
        <w:ind w:firstLine="470" w:firstLineChars="196"/>
        <w:rPr>
          <w:rFonts w:ascii="Times New Roman" w:hAnsi="Times New Roman"/>
          <w:color w:val="auto"/>
        </w:rPr>
      </w:pPr>
      <w:r>
        <w:rPr>
          <w:rFonts w:hint="eastAsia" w:cs="宋体"/>
          <w:color w:val="auto"/>
        </w:rPr>
        <w:t>②</w:t>
      </w:r>
      <w:r>
        <w:rPr>
          <w:rFonts w:ascii="Times New Roman" w:hAnsi="Times New Roman"/>
          <w:color w:val="auto"/>
        </w:rPr>
        <w:t>本项目属于水污染影响型项目，不存在水动力影响、生态流量、水温影响。</w:t>
      </w:r>
    </w:p>
    <w:p>
      <w:pPr>
        <w:ind w:firstLine="470" w:firstLineChars="196"/>
        <w:rPr>
          <w:rFonts w:ascii="Times New Roman" w:hAnsi="Times New Roman"/>
          <w:color w:val="auto"/>
        </w:rPr>
      </w:pPr>
      <w:r>
        <w:rPr>
          <w:rFonts w:hint="eastAsia" w:cs="宋体"/>
          <w:color w:val="auto"/>
        </w:rPr>
        <w:t>③</w:t>
      </w:r>
      <w:r>
        <w:rPr>
          <w:rFonts w:ascii="Times New Roman" w:hAnsi="Times New Roman"/>
          <w:color w:val="auto"/>
        </w:rPr>
        <w:t>本项目污水经管道收集纳入污水管网，最终进入</w:t>
      </w:r>
      <w:r>
        <w:rPr>
          <w:rStyle w:val="782"/>
          <w:rFonts w:hint="default" w:ascii="Times New Roman" w:hAnsi="Times New Roman"/>
          <w:color w:val="auto"/>
        </w:rPr>
        <w:t>苍南县临港产业基地启动区污水处理厂</w:t>
      </w:r>
      <w:r>
        <w:rPr>
          <w:rFonts w:hint="eastAsia" w:ascii="Times New Roman" w:hAnsi="Times New Roman"/>
          <w:color w:val="auto"/>
        </w:rPr>
        <w:t>处理，</w:t>
      </w:r>
      <w:r>
        <w:rPr>
          <w:rFonts w:ascii="Times New Roman" w:hAnsi="Times New Roman"/>
          <w:color w:val="auto"/>
        </w:rPr>
        <w:t>不存在面源污染。</w:t>
      </w:r>
    </w:p>
    <w:p>
      <w:pPr>
        <w:ind w:firstLine="470" w:firstLineChars="196"/>
        <w:rPr>
          <w:rFonts w:ascii="Times New Roman" w:hAnsi="Times New Roman"/>
          <w:color w:val="auto"/>
        </w:rPr>
      </w:pPr>
      <w:r>
        <w:rPr>
          <w:rFonts w:hint="eastAsia" w:cs="宋体"/>
          <w:color w:val="auto"/>
        </w:rPr>
        <w:t>④</w:t>
      </w:r>
      <w:r>
        <w:rPr>
          <w:rFonts w:ascii="Times New Roman" w:hAnsi="Times New Roman"/>
          <w:color w:val="auto"/>
        </w:rPr>
        <w:t>本项目废水均处理后全部纳入市政污水管网，不直接排入附近水体，故没有直接受纳水体。</w:t>
      </w:r>
    </w:p>
    <w:p>
      <w:pPr>
        <w:adjustRightInd w:val="0"/>
        <w:snapToGrid w:val="0"/>
        <w:ind w:firstLine="472" w:firstLineChars="196"/>
        <w:rPr>
          <w:rFonts w:ascii="Times New Roman" w:hAnsi="Times New Roman"/>
          <w:b/>
          <w:color w:val="auto"/>
        </w:rPr>
      </w:pPr>
      <w:r>
        <w:rPr>
          <w:rFonts w:ascii="Times New Roman" w:hAnsi="Times New Roman"/>
          <w:b/>
          <w:color w:val="auto"/>
        </w:rPr>
        <w:t>（4）依托污水处理设施环境可行性分析</w:t>
      </w:r>
    </w:p>
    <w:p>
      <w:pPr>
        <w:adjustRightInd w:val="0"/>
        <w:snapToGrid w:val="0"/>
        <w:ind w:firstLine="470" w:firstLineChars="196"/>
        <w:rPr>
          <w:rFonts w:ascii="Times New Roman" w:hAnsi="Times New Roman"/>
          <w:color w:val="auto"/>
        </w:rPr>
      </w:pP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w:t>
      </w:r>
      <w:r>
        <w:rPr>
          <w:rFonts w:hint="eastAsia" w:ascii="Times New Roman" w:hAnsi="Times New Roman"/>
          <w:color w:val="auto"/>
        </w:rPr>
        <w:t>，本项目在污水处理厂纳管范围内，可纳管至污水处理厂处理。</w:t>
      </w:r>
    </w:p>
    <w:p>
      <w:pPr>
        <w:pStyle w:val="187"/>
        <w:spacing w:line="360" w:lineRule="auto"/>
        <w:ind w:firstLine="472" w:firstLineChars="196"/>
        <w:rPr>
          <w:rFonts w:ascii="Times New Roman" w:hAnsi="Times New Roman" w:cs="Times New Roman"/>
          <w:b/>
          <w:color w:val="auto"/>
        </w:rPr>
      </w:pPr>
      <w:r>
        <w:rPr>
          <w:rFonts w:ascii="Times New Roman" w:hAnsi="Times New Roman" w:cs="Times New Roman"/>
          <w:b/>
          <w:color w:val="auto"/>
        </w:rPr>
        <w:t>（5）污染源排放核算</w:t>
      </w:r>
    </w:p>
    <w:p>
      <w:pPr>
        <w:pStyle w:val="187"/>
        <w:spacing w:line="360" w:lineRule="auto"/>
        <w:ind w:firstLine="480"/>
        <w:rPr>
          <w:rFonts w:ascii="Times New Roman" w:hAnsi="Times New Roman" w:cs="Times New Roman"/>
          <w:color w:val="auto"/>
        </w:rPr>
      </w:pPr>
      <w:r>
        <w:rPr>
          <w:rFonts w:ascii="Times New Roman" w:hAnsi="Times New Roman" w:cs="Times New Roman"/>
          <w:color w:val="auto"/>
        </w:rPr>
        <w:t>项目废水污染物排放信息表详见</w:t>
      </w:r>
      <w:r>
        <w:rPr>
          <w:rFonts w:hint="eastAsia" w:ascii="Times New Roman" w:hAnsi="Times New Roman" w:cs="Times New Roman"/>
          <w:color w:val="auto"/>
        </w:rPr>
        <w:t>5</w:t>
      </w:r>
      <w:r>
        <w:rPr>
          <w:rFonts w:ascii="Times New Roman" w:hAnsi="Times New Roman" w:cs="Times New Roman"/>
          <w:color w:val="auto"/>
        </w:rPr>
        <w:t>-2</w:t>
      </w:r>
      <w:r>
        <w:rPr>
          <w:rFonts w:hint="eastAsia" w:ascii="Times New Roman" w:hAnsi="Times New Roman" w:cs="Times New Roman"/>
          <w:color w:val="auto"/>
        </w:rPr>
        <w:t>3</w:t>
      </w:r>
      <w:r>
        <w:rPr>
          <w:rFonts w:ascii="Times New Roman" w:hAnsi="Times New Roman" w:cs="Times New Roman"/>
          <w:color w:val="auto"/>
        </w:rPr>
        <w:t>~</w:t>
      </w:r>
      <w:r>
        <w:rPr>
          <w:rFonts w:hint="eastAsia" w:ascii="Times New Roman" w:hAnsi="Times New Roman" w:cs="Times New Roman"/>
          <w:color w:val="auto"/>
        </w:rPr>
        <w:t>5</w:t>
      </w:r>
      <w:r>
        <w:rPr>
          <w:rFonts w:ascii="Times New Roman" w:hAnsi="Times New Roman" w:cs="Times New Roman"/>
          <w:color w:val="auto"/>
        </w:rPr>
        <w:t>-</w:t>
      </w:r>
      <w:r>
        <w:rPr>
          <w:rFonts w:hint="eastAsia" w:ascii="Times New Roman" w:hAnsi="Times New Roman" w:cs="Times New Roman"/>
          <w:color w:val="auto"/>
        </w:rPr>
        <w:t>24</w:t>
      </w:r>
      <w:r>
        <w:rPr>
          <w:rFonts w:ascii="Times New Roman" w:hAnsi="Times New Roman" w:cs="Times New Roman"/>
          <w:color w:val="auto"/>
        </w:rPr>
        <w:t>。</w:t>
      </w:r>
    </w:p>
    <w:p>
      <w:pPr>
        <w:pStyle w:val="187"/>
        <w:spacing w:line="240" w:lineRule="auto"/>
        <w:ind w:firstLine="0" w:firstLineChars="0"/>
        <w:jc w:val="center"/>
        <w:rPr>
          <w:rFonts w:ascii="Times New Roman" w:hAnsi="Times New Roman" w:cs="Times New Roman"/>
          <w:color w:val="auto"/>
        </w:rPr>
      </w:pPr>
      <w:r>
        <w:rPr>
          <w:rFonts w:ascii="Times New Roman" w:hAnsi="Times New Roman" w:cs="Times New Roman"/>
          <w:b/>
          <w:color w:val="auto"/>
          <w:sz w:val="21"/>
          <w:szCs w:val="21"/>
        </w:rPr>
        <w:t>表</w:t>
      </w:r>
      <w:r>
        <w:rPr>
          <w:rFonts w:hint="eastAsia" w:ascii="Times New Roman" w:hAnsi="Times New Roman" w:cs="Times New Roman"/>
          <w:b/>
          <w:color w:val="auto"/>
          <w:sz w:val="21"/>
          <w:szCs w:val="21"/>
        </w:rPr>
        <w:t>5</w:t>
      </w:r>
      <w:r>
        <w:rPr>
          <w:rFonts w:ascii="Times New Roman" w:hAnsi="Times New Roman" w:cs="Times New Roman"/>
          <w:b/>
          <w:color w:val="auto"/>
          <w:sz w:val="21"/>
          <w:szCs w:val="21"/>
        </w:rPr>
        <w:t>-2</w:t>
      </w:r>
      <w:r>
        <w:rPr>
          <w:rFonts w:hint="eastAsia" w:ascii="Times New Roman" w:hAnsi="Times New Roman" w:cs="Times New Roman"/>
          <w:b/>
          <w:color w:val="auto"/>
          <w:sz w:val="21"/>
          <w:szCs w:val="21"/>
        </w:rPr>
        <w:t>5</w:t>
      </w:r>
      <w:r>
        <w:rPr>
          <w:rFonts w:ascii="Times New Roman" w:hAnsi="Times New Roman" w:cs="Times New Roman"/>
          <w:b/>
          <w:color w:val="auto"/>
          <w:sz w:val="21"/>
          <w:szCs w:val="21"/>
        </w:rPr>
        <w:t xml:space="preserve"> 废水类别、污染物及污染治理设施信息表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2196"/>
        <w:gridCol w:w="4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废水类别</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排放去向</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cs="Times New Roman"/>
                <w:color w:val="auto"/>
                <w:sz w:val="21"/>
                <w:szCs w:val="21"/>
              </w:rPr>
              <w:t>苍南县临港产业基地启动区污水处理厂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排放规律</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间断排放，排放流量稳定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vMerge w:val="restar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w:t>
            </w:r>
          </w:p>
        </w:tc>
        <w:tc>
          <w:tcPr>
            <w:tcW w:w="1215"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污染治理设施编号</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vMerge w:val="continue"/>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c>
          <w:tcPr>
            <w:tcW w:w="1215"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污染治理设施名称</w:t>
            </w:r>
          </w:p>
        </w:tc>
        <w:tc>
          <w:tcPr>
            <w:tcW w:w="272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生活污水处理系统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vMerge w:val="continue"/>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c>
          <w:tcPr>
            <w:tcW w:w="1215"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污染治理设施工艺</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排放口编号</w:t>
            </w:r>
          </w:p>
        </w:tc>
        <w:tc>
          <w:tcPr>
            <w:tcW w:w="272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排放口设置是否符合要求</w:t>
            </w:r>
          </w:p>
        </w:tc>
        <w:tc>
          <w:tcPr>
            <w:tcW w:w="272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√是</w:t>
            </w:r>
            <w:r>
              <w:rPr>
                <w:rFonts w:ascii="Times New Roman" w:hAnsi="Times New Roman"/>
                <w:color w:val="auto"/>
                <w:sz w:val="18"/>
                <w:szCs w:val="18"/>
              </w:rPr>
              <w:t>□</w:t>
            </w:r>
            <w:r>
              <w:rPr>
                <w:rFonts w:ascii="Times New Roman" w:hAnsi="Times New Roman"/>
                <w:color w:val="auto"/>
                <w:sz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排放口类型</w:t>
            </w:r>
          </w:p>
        </w:tc>
        <w:tc>
          <w:tcPr>
            <w:tcW w:w="272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√企业总排</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18"/>
                <w:szCs w:val="18"/>
              </w:rPr>
              <w:t>□</w:t>
            </w:r>
            <w:r>
              <w:rPr>
                <w:rFonts w:ascii="Times New Roman" w:hAnsi="Times New Roman"/>
                <w:color w:val="auto"/>
                <w:sz w:val="21"/>
              </w:rPr>
              <w:t>雨水排放</w:t>
            </w:r>
          </w:p>
          <w:p>
            <w:pPr>
              <w:pStyle w:val="749"/>
              <w:keepNext w:val="0"/>
              <w:keepLines w:val="0"/>
              <w:suppressLineNumbers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18"/>
                <w:szCs w:val="18"/>
              </w:rPr>
              <w:t>□</w:t>
            </w:r>
            <w:r>
              <w:rPr>
                <w:rFonts w:ascii="Times New Roman" w:cs="Times New Roman"/>
                <w:color w:val="auto"/>
                <w:kern w:val="2"/>
                <w:sz w:val="21"/>
                <w:szCs w:val="21"/>
              </w:rPr>
              <w:t>清净下水排放</w:t>
            </w:r>
          </w:p>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18"/>
                <w:szCs w:val="18"/>
              </w:rPr>
              <w:t>□</w:t>
            </w:r>
            <w:r>
              <w:rPr>
                <w:rFonts w:ascii="Times New Roman" w:hAnsi="Times New Roman" w:cs="Times New Roman"/>
                <w:color w:val="auto"/>
                <w:sz w:val="21"/>
                <w:szCs w:val="21"/>
              </w:rPr>
              <w:t>温排水排放</w:t>
            </w:r>
          </w:p>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18"/>
                <w:szCs w:val="18"/>
              </w:rPr>
              <w:t>□</w:t>
            </w:r>
            <w:r>
              <w:rPr>
                <w:rFonts w:ascii="Times New Roman" w:hAnsi="Times New Roman" w:cs="Times New Roman"/>
                <w:color w:val="auto"/>
                <w:sz w:val="21"/>
                <w:szCs w:val="21"/>
              </w:rPr>
              <w:t>车间或车间处理设施排放口</w:t>
            </w:r>
          </w:p>
        </w:tc>
      </w:tr>
    </w:tbl>
    <w:p>
      <w:pPr>
        <w:pStyle w:val="187"/>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表</w:t>
      </w:r>
      <w:r>
        <w:rPr>
          <w:rFonts w:hint="eastAsia" w:ascii="Times New Roman" w:hAnsi="Times New Roman" w:cs="Times New Roman"/>
          <w:b/>
          <w:color w:val="auto"/>
          <w:sz w:val="21"/>
          <w:szCs w:val="21"/>
        </w:rPr>
        <w:t>5</w:t>
      </w:r>
      <w:r>
        <w:rPr>
          <w:rFonts w:ascii="Times New Roman" w:hAnsi="Times New Roman" w:cs="Times New Roman"/>
          <w:b/>
          <w:color w:val="auto"/>
          <w:sz w:val="21"/>
          <w:szCs w:val="21"/>
        </w:rPr>
        <w:t>-</w:t>
      </w:r>
      <w:r>
        <w:rPr>
          <w:rFonts w:hint="eastAsia" w:ascii="Times New Roman" w:hAnsi="Times New Roman" w:cs="Times New Roman"/>
          <w:b/>
          <w:color w:val="auto"/>
          <w:sz w:val="21"/>
          <w:szCs w:val="21"/>
        </w:rPr>
        <w:t>26</w:t>
      </w:r>
      <w:r>
        <w:rPr>
          <w:rFonts w:ascii="Times New Roman" w:hAnsi="Times New Roman" w:cs="Times New Roman"/>
          <w:b/>
          <w:color w:val="auto"/>
          <w:sz w:val="21"/>
          <w:szCs w:val="21"/>
        </w:rPr>
        <w:t xml:space="preserve">  废水间接排放口基本情况表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3874"/>
        <w:gridCol w:w="1959"/>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排放口编号</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pct"/>
            <w:vMerge w:val="restar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排放口地理坐标</w:t>
            </w:r>
          </w:p>
        </w:tc>
        <w:tc>
          <w:tcPr>
            <w:tcW w:w="214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经度</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120.61922371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pct"/>
            <w:vMerge w:val="continue"/>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c>
          <w:tcPr>
            <w:tcW w:w="214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纬度</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27.50411153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废水排放量/（t/a）</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排放去向</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苍南县临港产业基地启动区污水处理厂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排放规律</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间断排放，排放流量不稳定，但有周期性规律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间歇排放时段</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00</w:t>
            </w:r>
            <w:r>
              <w:rPr>
                <w:rFonts w:ascii="Times New Roman" w:hAnsi="Times New Roman" w:cs="Times New Roman"/>
                <w:color w:val="auto"/>
                <w:sz w:val="21"/>
                <w:szCs w:val="21"/>
              </w:rPr>
              <w:t>:00~</w:t>
            </w:r>
            <w:r>
              <w:rPr>
                <w:rFonts w:hint="eastAsia" w:ascii="Times New Roman" w:hAnsi="Times New Roman" w:cs="Times New Roman"/>
                <w:color w:val="auto"/>
                <w:sz w:val="21"/>
                <w:szCs w:val="21"/>
              </w:rPr>
              <w:t>23</w:t>
            </w:r>
            <w:r>
              <w:rPr>
                <w:rFonts w:ascii="Times New Roman" w:hAnsi="Times New Roman" w:cs="Times New Roman"/>
                <w:color w:val="auto"/>
                <w:sz w:val="21"/>
                <w:szCs w:val="21"/>
              </w:rPr>
              <w:t>:</w:t>
            </w:r>
            <w:r>
              <w:rPr>
                <w:rFonts w:hint="eastAsia" w:ascii="Times New Roman" w:hAnsi="Times New Roman" w:cs="Times New Roman"/>
                <w:color w:val="auto"/>
                <w:sz w:val="21"/>
                <w:szCs w:val="21"/>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pct"/>
            <w:vMerge w:val="restar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受纳污水处理厂信息</w:t>
            </w:r>
          </w:p>
        </w:tc>
        <w:tc>
          <w:tcPr>
            <w:tcW w:w="214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1647" w:type="pct"/>
            <w:gridSpan w:val="2"/>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cs="Times New Roman"/>
                <w:color w:val="auto"/>
                <w:sz w:val="21"/>
                <w:szCs w:val="21"/>
              </w:rPr>
              <w:t>苍南县临港产业基地启动区污水处理厂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pct"/>
            <w:vMerge w:val="continue"/>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c>
          <w:tcPr>
            <w:tcW w:w="214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108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COD </w:t>
            </w:r>
          </w:p>
        </w:tc>
        <w:tc>
          <w:tcPr>
            <w:tcW w:w="56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0" w:type="pct"/>
            <w:vMerge w:val="continue"/>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p>
        </w:tc>
        <w:tc>
          <w:tcPr>
            <w:tcW w:w="214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国家或地方污染物排放标准浓度限值/（mg/L）</w:t>
            </w:r>
          </w:p>
        </w:tc>
        <w:tc>
          <w:tcPr>
            <w:tcW w:w="1084"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100</w:t>
            </w:r>
          </w:p>
        </w:tc>
        <w:tc>
          <w:tcPr>
            <w:tcW w:w="56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25</w:t>
            </w:r>
          </w:p>
        </w:tc>
      </w:tr>
    </w:tbl>
    <w:p>
      <w:pPr>
        <w:spacing w:line="240" w:lineRule="auto"/>
        <w:ind w:firstLine="422"/>
        <w:jc w:val="center"/>
        <w:rPr>
          <w:rFonts w:ascii="Times New Roman" w:hAnsi="Times New Roman"/>
          <w:b/>
          <w:color w:val="auto"/>
          <w:sz w:val="21"/>
        </w:rPr>
      </w:pPr>
      <w:r>
        <w:rPr>
          <w:rFonts w:ascii="Times New Roman" w:hAnsi="Times New Roman"/>
          <w:b/>
          <w:color w:val="auto"/>
          <w:sz w:val="21"/>
        </w:rPr>
        <w:t>表</w:t>
      </w:r>
      <w:r>
        <w:rPr>
          <w:rFonts w:hint="eastAsia" w:ascii="Times New Roman" w:hAnsi="Times New Roman"/>
          <w:b/>
          <w:color w:val="auto"/>
          <w:sz w:val="21"/>
        </w:rPr>
        <w:t>5</w:t>
      </w:r>
      <w:r>
        <w:rPr>
          <w:rFonts w:ascii="Times New Roman" w:hAnsi="Times New Roman"/>
          <w:b/>
          <w:color w:val="auto"/>
          <w:sz w:val="21"/>
        </w:rPr>
        <w:t>-</w:t>
      </w:r>
      <w:r>
        <w:rPr>
          <w:rFonts w:hint="eastAsia" w:ascii="Times New Roman" w:hAnsi="Times New Roman"/>
          <w:b/>
          <w:color w:val="auto"/>
          <w:sz w:val="21"/>
        </w:rPr>
        <w:t>27</w:t>
      </w:r>
      <w:r>
        <w:rPr>
          <w:rFonts w:ascii="Times New Roman" w:hAnsi="Times New Roman"/>
          <w:b/>
          <w:color w:val="auto"/>
          <w:sz w:val="21"/>
        </w:rPr>
        <w:t>废水污染物排放执行标准</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135"/>
        <w:gridCol w:w="1197"/>
        <w:gridCol w:w="4203"/>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628"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排放口编号</w:t>
            </w:r>
          </w:p>
        </w:tc>
        <w:tc>
          <w:tcPr>
            <w:tcW w:w="662"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污染物种类</w:t>
            </w:r>
          </w:p>
        </w:tc>
        <w:tc>
          <w:tcPr>
            <w:tcW w:w="3367" w:type="pct"/>
            <w:gridSpan w:val="2"/>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2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62"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325"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名称</w:t>
            </w:r>
          </w:p>
        </w:tc>
        <w:tc>
          <w:tcPr>
            <w:tcW w:w="104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628"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DW001</w:t>
            </w:r>
          </w:p>
        </w:tc>
        <w:tc>
          <w:tcPr>
            <w:tcW w:w="66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r>
              <w:rPr>
                <w:rFonts w:ascii="Times New Roman" w:hAnsi="Times New Roman"/>
                <w:color w:val="auto"/>
                <w:sz w:val="21"/>
                <w:vertAlign w:val="subscript"/>
              </w:rPr>
              <w:t>Cr</w:t>
            </w:r>
          </w:p>
        </w:tc>
        <w:tc>
          <w:tcPr>
            <w:tcW w:w="2325"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《污水综合排放标准》</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（GB8978-1996）三级标准</w:t>
            </w:r>
          </w:p>
        </w:tc>
        <w:tc>
          <w:tcPr>
            <w:tcW w:w="1042" w:type="pct"/>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w:t>
            </w:r>
          </w:p>
        </w:tc>
        <w:tc>
          <w:tcPr>
            <w:tcW w:w="628"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6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2325"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《工业企业废水氮、磷污染物间接排放限值》（DB33/887-2013）</w:t>
            </w:r>
          </w:p>
        </w:tc>
        <w:tc>
          <w:tcPr>
            <w:tcW w:w="1042"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35</w:t>
            </w:r>
          </w:p>
        </w:tc>
      </w:tr>
    </w:tbl>
    <w:p>
      <w:pPr>
        <w:spacing w:line="240" w:lineRule="auto"/>
        <w:ind w:firstLine="422"/>
        <w:jc w:val="center"/>
        <w:rPr>
          <w:rFonts w:ascii="Times New Roman" w:hAnsi="Times New Roman"/>
          <w:b/>
          <w:color w:val="auto"/>
          <w:sz w:val="21"/>
        </w:rPr>
      </w:pPr>
      <w:r>
        <w:rPr>
          <w:rFonts w:ascii="Times New Roman" w:hAnsi="Times New Roman"/>
          <w:b/>
          <w:color w:val="auto"/>
          <w:sz w:val="21"/>
        </w:rPr>
        <w:t>表</w:t>
      </w:r>
      <w:r>
        <w:rPr>
          <w:rFonts w:hint="eastAsia" w:ascii="Times New Roman" w:hAnsi="Times New Roman"/>
          <w:b/>
          <w:color w:val="auto"/>
          <w:sz w:val="21"/>
        </w:rPr>
        <w:t>5</w:t>
      </w:r>
      <w:r>
        <w:rPr>
          <w:rFonts w:ascii="Times New Roman" w:hAnsi="Times New Roman"/>
          <w:b/>
          <w:color w:val="auto"/>
          <w:sz w:val="21"/>
        </w:rPr>
        <w:t>-</w:t>
      </w:r>
      <w:r>
        <w:rPr>
          <w:rFonts w:hint="eastAsia" w:ascii="Times New Roman" w:hAnsi="Times New Roman"/>
          <w:b/>
          <w:color w:val="auto"/>
          <w:sz w:val="21"/>
        </w:rPr>
        <w:t>28</w:t>
      </w:r>
      <w:r>
        <w:rPr>
          <w:rFonts w:ascii="Times New Roman" w:hAnsi="Times New Roman"/>
          <w:b/>
          <w:color w:val="auto"/>
          <w:sz w:val="21"/>
        </w:rPr>
        <w:t xml:space="preserve"> 废水</w:t>
      </w:r>
      <w:r>
        <w:rPr>
          <w:rFonts w:hint="eastAsia" w:ascii="Times New Roman" w:hAnsi="Times New Roman"/>
          <w:b/>
          <w:color w:val="auto"/>
          <w:sz w:val="21"/>
        </w:rPr>
        <w:t>污染物排放信息表</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9"/>
        <w:gridCol w:w="1500"/>
        <w:gridCol w:w="1585"/>
        <w:gridCol w:w="1574"/>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785"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排放口编号</w:t>
            </w:r>
          </w:p>
        </w:tc>
        <w:tc>
          <w:tcPr>
            <w:tcW w:w="83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污染物种类</w:t>
            </w:r>
          </w:p>
        </w:tc>
        <w:tc>
          <w:tcPr>
            <w:tcW w:w="87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排放浓度/（mg/L）</w:t>
            </w:r>
          </w:p>
        </w:tc>
        <w:tc>
          <w:tcPr>
            <w:tcW w:w="87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日排放量/（t/d）</w:t>
            </w:r>
          </w:p>
        </w:tc>
        <w:tc>
          <w:tcPr>
            <w:tcW w:w="85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785"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DW001</w:t>
            </w:r>
          </w:p>
        </w:tc>
        <w:tc>
          <w:tcPr>
            <w:tcW w:w="83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r>
              <w:rPr>
                <w:rFonts w:ascii="Times New Roman" w:hAnsi="Times New Roman"/>
                <w:color w:val="auto"/>
                <w:sz w:val="21"/>
                <w:vertAlign w:val="subscript"/>
              </w:rPr>
              <w:t>Cr</w:t>
            </w:r>
          </w:p>
        </w:tc>
        <w:tc>
          <w:tcPr>
            <w:tcW w:w="87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350</w:t>
            </w:r>
          </w:p>
        </w:tc>
        <w:tc>
          <w:tcPr>
            <w:tcW w:w="871" w:type="pct"/>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0.0011</w:t>
            </w:r>
          </w:p>
        </w:tc>
        <w:tc>
          <w:tcPr>
            <w:tcW w:w="85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w:t>
            </w:r>
          </w:p>
        </w:tc>
        <w:tc>
          <w:tcPr>
            <w:tcW w:w="785"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3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877"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35</w:t>
            </w:r>
          </w:p>
        </w:tc>
        <w:tc>
          <w:tcPr>
            <w:tcW w:w="87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0.00008</w:t>
            </w:r>
          </w:p>
        </w:tc>
        <w:tc>
          <w:tcPr>
            <w:tcW w:w="85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9" w:type="pct"/>
            <w:gridSpan w:val="2"/>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全厂排放口合计</w:t>
            </w:r>
          </w:p>
        </w:tc>
        <w:tc>
          <w:tcPr>
            <w:tcW w:w="2578" w:type="pct"/>
            <w:gridSpan w:val="3"/>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r>
              <w:rPr>
                <w:rFonts w:ascii="Times New Roman" w:hAnsi="Times New Roman"/>
                <w:color w:val="auto"/>
                <w:sz w:val="21"/>
                <w:vertAlign w:val="subscript"/>
              </w:rPr>
              <w:t>Cr</w:t>
            </w:r>
          </w:p>
        </w:tc>
        <w:tc>
          <w:tcPr>
            <w:tcW w:w="85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9" w:type="pct"/>
            <w:gridSpan w:val="2"/>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578" w:type="pct"/>
            <w:gridSpan w:val="3"/>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853"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r>
    </w:tbl>
    <w:p>
      <w:pPr>
        <w:pStyle w:val="187"/>
        <w:spacing w:line="360" w:lineRule="auto"/>
        <w:ind w:firstLine="472" w:firstLineChars="196"/>
        <w:rPr>
          <w:rFonts w:ascii="Times New Roman" w:hAnsi="Times New Roman" w:cs="Times New Roman"/>
          <w:b/>
          <w:color w:val="auto"/>
        </w:rPr>
      </w:pPr>
      <w:r>
        <w:rPr>
          <w:rFonts w:ascii="Times New Roman" w:hAnsi="Times New Roman" w:cs="Times New Roman"/>
          <w:b/>
          <w:color w:val="auto"/>
        </w:rPr>
        <w:t>（6）环境监测计划及记录信息表</w:t>
      </w:r>
    </w:p>
    <w:p>
      <w:pPr>
        <w:pStyle w:val="187"/>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表5-29 环境监测计划及记录信息表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0"/>
        <w:gridCol w:w="191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排放口编号</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DW001</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污染物名称</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w:t>
            </w:r>
            <w:r>
              <w:rPr>
                <w:rFonts w:ascii="Times New Roman" w:hAnsi="Times New Roman" w:cs="Times New Roman"/>
                <w:color w:val="auto"/>
                <w:sz w:val="21"/>
                <w:szCs w:val="21"/>
                <w:vertAlign w:val="subscript"/>
              </w:rPr>
              <w:t>Cr</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监测设施</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□自动√手工</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□自动√手工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自动监测设施安装位置</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自动监测设施的安装、 运行、维护等相关管理要求</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自动监测是否联网</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自动监测仪器名称</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199" w:firstLineChars="95"/>
              <w:jc w:val="center"/>
              <w:rPr>
                <w:rFonts w:ascii="Times New Roman" w:hAnsi="Times New Roman" w:cs="Times New Roman"/>
                <w:color w:val="auto"/>
                <w:sz w:val="21"/>
                <w:szCs w:val="21"/>
              </w:rPr>
            </w:pPr>
            <w:r>
              <w:rPr>
                <w:rFonts w:ascii="Times New Roman" w:hAnsi="Times New Roman" w:cs="Times New Roman"/>
                <w:color w:val="auto"/>
                <w:sz w:val="21"/>
                <w:szCs w:val="21"/>
              </w:rPr>
              <w:t>手工监测采样方法及个数</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手动取样，3个</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手动取样，3个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手工监测频次</w:t>
            </w:r>
          </w:p>
        </w:tc>
        <w:tc>
          <w:tcPr>
            <w:tcW w:w="1058"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2次/a</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2次/a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849"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手工监测方法</w:t>
            </w:r>
          </w:p>
        </w:tc>
        <w:tc>
          <w:tcPr>
            <w:tcW w:w="1058" w:type="pct"/>
            <w:vAlign w:val="center"/>
          </w:tcPr>
          <w:p>
            <w:pPr>
              <w:pStyle w:val="187"/>
              <w:keepNext w:val="0"/>
              <w:keepLines w:val="0"/>
              <w:suppressLineNumbers w:val="0"/>
              <w:spacing w:before="0" w:beforeAutospacing="0" w:after="0" w:afterAutospacing="0" w:line="240" w:lineRule="auto"/>
              <w:ind w:left="0" w:right="0" w:firstLine="199" w:firstLineChars="95"/>
              <w:jc w:val="center"/>
              <w:rPr>
                <w:rFonts w:ascii="Times New Roman" w:hAnsi="Times New Roman" w:cs="Times New Roman"/>
                <w:color w:val="auto"/>
                <w:sz w:val="21"/>
                <w:szCs w:val="21"/>
              </w:rPr>
            </w:pPr>
            <w:r>
              <w:rPr>
                <w:rFonts w:ascii="Times New Roman" w:hAnsi="Times New Roman" w:cs="Times New Roman"/>
                <w:color w:val="auto"/>
                <w:sz w:val="21"/>
                <w:szCs w:val="21"/>
              </w:rPr>
              <w:t>重铬酸钾法</w:t>
            </w:r>
          </w:p>
        </w:tc>
        <w:tc>
          <w:tcPr>
            <w:tcW w:w="1093"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水杨酸分光光度法</w:t>
            </w:r>
          </w:p>
        </w:tc>
      </w:tr>
    </w:tbl>
    <w:p>
      <w:pPr>
        <w:ind w:firstLine="472" w:firstLineChars="196"/>
        <w:rPr>
          <w:rFonts w:ascii="Times New Roman" w:hAnsi="Times New Roman"/>
          <w:b/>
          <w:bCs/>
          <w:color w:val="auto"/>
        </w:rPr>
      </w:pPr>
      <w:r>
        <w:rPr>
          <w:rFonts w:hint="eastAsia" w:ascii="Times New Roman" w:hAnsi="Times New Roman"/>
          <w:b/>
          <w:bCs/>
          <w:color w:val="auto"/>
        </w:rPr>
        <w:t>（7</w:t>
      </w:r>
      <w:r>
        <w:rPr>
          <w:rFonts w:ascii="Times New Roman" w:hAnsi="Times New Roman"/>
          <w:b/>
          <w:bCs/>
          <w:color w:val="auto"/>
        </w:rPr>
        <w:t>）建设项目地表水环境影响评价自查表</w:t>
      </w:r>
    </w:p>
    <w:p>
      <w:pPr>
        <w:adjustRightInd w:val="0"/>
        <w:snapToGrid w:val="0"/>
        <w:spacing w:line="240" w:lineRule="auto"/>
        <w:ind w:firstLine="0" w:firstLineChars="0"/>
        <w:jc w:val="center"/>
        <w:rPr>
          <w:rFonts w:ascii="Times New Roman" w:hAnsi="Times New Roman"/>
          <w:b/>
          <w:color w:val="auto"/>
          <w:sz w:val="21"/>
        </w:rPr>
      </w:pPr>
    </w:p>
    <w:p>
      <w:pPr>
        <w:adjustRightInd w:val="0"/>
        <w:snapToGrid w:val="0"/>
        <w:spacing w:line="240" w:lineRule="auto"/>
        <w:ind w:firstLine="0" w:firstLineChars="0"/>
        <w:jc w:val="center"/>
        <w:rPr>
          <w:rFonts w:ascii="Times New Roman" w:hAnsi="Times New Roman"/>
          <w:color w:val="auto"/>
        </w:rPr>
      </w:pPr>
      <w:r>
        <w:rPr>
          <w:rFonts w:ascii="Times New Roman" w:hAnsi="Times New Roman"/>
          <w:b/>
          <w:color w:val="auto"/>
          <w:sz w:val="21"/>
        </w:rPr>
        <w:t>表5-</w:t>
      </w:r>
      <w:r>
        <w:rPr>
          <w:rFonts w:hint="eastAsia" w:ascii="Times New Roman" w:hAnsi="Times New Roman"/>
          <w:b/>
          <w:color w:val="auto"/>
          <w:sz w:val="21"/>
        </w:rPr>
        <w:t>30</w:t>
      </w:r>
      <w:r>
        <w:rPr>
          <w:rFonts w:ascii="Times New Roman" w:hAnsi="Times New Roman"/>
          <w:b/>
          <w:color w:val="auto"/>
          <w:sz w:val="21"/>
        </w:rPr>
        <w:t>建设项目地表水环境影响评价自查表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936"/>
        <w:gridCol w:w="1188"/>
        <w:gridCol w:w="779"/>
        <w:gridCol w:w="345"/>
        <w:gridCol w:w="1685"/>
        <w:gridCol w:w="139"/>
        <w:gridCol w:w="134"/>
        <w:gridCol w:w="1099"/>
        <w:gridCol w:w="164"/>
        <w:gridCol w:w="958"/>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工作内容</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影</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响</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识</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别</w:t>
            </w:r>
          </w:p>
        </w:tc>
        <w:tc>
          <w:tcPr>
            <w:tcW w:w="51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影响类型</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水污染影响型</w:t>
            </w:r>
            <w:r>
              <w:rPr>
                <w:rFonts w:ascii="Times New Roman" w:hAnsi="Times New Roman"/>
                <w:color w:val="auto"/>
                <w:sz w:val="18"/>
                <w:szCs w:val="18"/>
              </w:rPr>
              <w:t>√</w:t>
            </w:r>
            <w:r>
              <w:rPr>
                <w:rFonts w:ascii="Times New Roman" w:hAnsi="Times New Roman"/>
                <w:color w:val="auto"/>
                <w:sz w:val="21"/>
              </w:rPr>
              <w:t xml:space="preserve">；水文要素影响型 </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水环境保护目标</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饮用水水源保护区</w:t>
            </w:r>
            <w:r>
              <w:rPr>
                <w:rFonts w:ascii="Times New Roman" w:hAnsi="Times New Roman"/>
                <w:color w:val="auto"/>
                <w:sz w:val="18"/>
                <w:szCs w:val="18"/>
              </w:rPr>
              <w:t>□</w:t>
            </w:r>
            <w:r>
              <w:rPr>
                <w:rFonts w:ascii="Times New Roman" w:hAnsi="Times New Roman"/>
                <w:color w:val="auto"/>
                <w:sz w:val="21"/>
              </w:rPr>
              <w:t>；饮用水取水口</w:t>
            </w:r>
            <w:r>
              <w:rPr>
                <w:rFonts w:ascii="Times New Roman" w:hAnsi="Times New Roman"/>
                <w:color w:val="auto"/>
                <w:sz w:val="18"/>
                <w:szCs w:val="18"/>
              </w:rPr>
              <w:t>□</w:t>
            </w:r>
            <w:r>
              <w:rPr>
                <w:rFonts w:ascii="Times New Roman" w:hAnsi="Times New Roman"/>
                <w:color w:val="auto"/>
                <w:sz w:val="21"/>
              </w:rPr>
              <w:t>；涉水的自然保护区</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重要湿地</w:t>
            </w:r>
            <w:r>
              <w:rPr>
                <w:rFonts w:ascii="Times New Roman" w:hAnsi="Times New Roman"/>
                <w:color w:val="auto"/>
                <w:sz w:val="18"/>
                <w:szCs w:val="18"/>
              </w:rPr>
              <w:t>□</w:t>
            </w:r>
            <w:r>
              <w:rPr>
                <w:rFonts w:ascii="Times New Roman" w:hAnsi="Times New Roman"/>
                <w:color w:val="auto"/>
                <w:sz w:val="21"/>
              </w:rPr>
              <w:t xml:space="preserve">；重点保护与珍稀水生生物的栖息地 </w:t>
            </w:r>
            <w:r>
              <w:rPr>
                <w:rFonts w:ascii="Times New Roman" w:hAnsi="Times New Roman"/>
                <w:color w:val="auto"/>
                <w:sz w:val="18"/>
                <w:szCs w:val="18"/>
              </w:rPr>
              <w:t>□</w:t>
            </w:r>
            <w:r>
              <w:rPr>
                <w:rFonts w:ascii="Times New Roman" w:hAnsi="Times New Roman"/>
                <w:color w:val="auto"/>
                <w:sz w:val="21"/>
              </w:rPr>
              <w:t>；重要水生生物的自然产卵场及索饵场、越冬场和洄游通道、天然渔场等渔业水体</w:t>
            </w:r>
            <w:r>
              <w:rPr>
                <w:rFonts w:ascii="Times New Roman" w:hAnsi="Times New Roman"/>
                <w:color w:val="auto"/>
                <w:sz w:val="18"/>
                <w:szCs w:val="18"/>
              </w:rPr>
              <w:t>□</w:t>
            </w:r>
            <w:r>
              <w:rPr>
                <w:rFonts w:ascii="Times New Roman" w:hAnsi="Times New Roman"/>
                <w:color w:val="auto"/>
                <w:sz w:val="21"/>
              </w:rPr>
              <w:t>；涉水的风景名胜区</w:t>
            </w:r>
            <w:r>
              <w:rPr>
                <w:rFonts w:ascii="Times New Roman" w:hAnsi="Times New Roman"/>
                <w:color w:val="auto"/>
                <w:sz w:val="18"/>
                <w:szCs w:val="18"/>
              </w:rPr>
              <w:t>□</w:t>
            </w:r>
            <w:r>
              <w:rPr>
                <w:rFonts w:ascii="Times New Roman" w:hAnsi="Times New Roman"/>
                <w:color w:val="auto"/>
                <w:sz w:val="21"/>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影响途径</w:t>
            </w:r>
          </w:p>
        </w:tc>
        <w:tc>
          <w:tcPr>
            <w:tcW w:w="2288" w:type="pct"/>
            <w:gridSpan w:val="5"/>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水污染影响型</w:t>
            </w:r>
          </w:p>
        </w:tc>
        <w:tc>
          <w:tcPr>
            <w:tcW w:w="1944" w:type="pct"/>
            <w:gridSpan w:val="5"/>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直接排放</w:t>
            </w:r>
            <w:r>
              <w:rPr>
                <w:rFonts w:ascii="Times New Roman" w:hAnsi="Times New Roman"/>
                <w:color w:val="auto"/>
                <w:sz w:val="18"/>
                <w:szCs w:val="18"/>
              </w:rPr>
              <w:t>□</w:t>
            </w:r>
            <w:r>
              <w:rPr>
                <w:rFonts w:ascii="Times New Roman" w:hAnsi="Times New Roman"/>
                <w:color w:val="auto"/>
                <w:sz w:val="21"/>
              </w:rPr>
              <w:t>；间接排放 √；其他</w:t>
            </w:r>
            <w:r>
              <w:rPr>
                <w:rFonts w:ascii="Times New Roman" w:hAnsi="Times New Roman"/>
                <w:color w:val="auto"/>
                <w:sz w:val="18"/>
                <w:szCs w:val="18"/>
              </w:rPr>
              <w:t>□</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 xml:space="preserve">水温 </w:t>
            </w:r>
            <w:r>
              <w:rPr>
                <w:rFonts w:ascii="Times New Roman" w:hAnsi="Times New Roman"/>
                <w:color w:val="auto"/>
                <w:sz w:val="18"/>
                <w:szCs w:val="18"/>
              </w:rPr>
              <w:t>□</w:t>
            </w:r>
            <w:r>
              <w:rPr>
                <w:rFonts w:ascii="Times New Roman" w:hAnsi="Times New Roman"/>
                <w:color w:val="auto"/>
                <w:sz w:val="21"/>
              </w:rPr>
              <w:t>；径流</w:t>
            </w:r>
            <w:r>
              <w:rPr>
                <w:rFonts w:ascii="Times New Roman" w:hAnsi="Times New Roman"/>
                <w:color w:val="auto"/>
                <w:sz w:val="18"/>
                <w:szCs w:val="18"/>
              </w:rPr>
              <w:t>□</w:t>
            </w:r>
            <w:r>
              <w:rPr>
                <w:rFonts w:ascii="Times New Roman" w:hAnsi="Times New Roman"/>
                <w:color w:val="auto"/>
                <w:sz w:val="21"/>
              </w:rPr>
              <w:t xml:space="preserve">；水域面积 </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影响因子</w:t>
            </w: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 xml:space="preserve">持久性污染物 </w:t>
            </w:r>
            <w:r>
              <w:rPr>
                <w:rFonts w:ascii="Times New Roman" w:hAnsi="Times New Roman"/>
                <w:color w:val="auto"/>
                <w:sz w:val="18"/>
                <w:szCs w:val="18"/>
              </w:rPr>
              <w:t>□</w:t>
            </w:r>
            <w:r>
              <w:rPr>
                <w:rFonts w:ascii="Times New Roman" w:hAnsi="Times New Roman"/>
                <w:color w:val="auto"/>
                <w:sz w:val="21"/>
              </w:rPr>
              <w:t>；有毒有害污染物</w:t>
            </w:r>
            <w:r>
              <w:rPr>
                <w:rFonts w:ascii="Times New Roman" w:hAnsi="Times New Roman"/>
                <w:color w:val="auto"/>
                <w:sz w:val="18"/>
                <w:szCs w:val="18"/>
              </w:rPr>
              <w:t>□</w:t>
            </w:r>
            <w:r>
              <w:rPr>
                <w:rFonts w:ascii="Times New Roman" w:hAnsi="Times New Roman"/>
                <w:color w:val="auto"/>
                <w:sz w:val="21"/>
              </w:rPr>
              <w:t xml:space="preserve">；非持久性污染物√；pH值 </w:t>
            </w:r>
            <w:r>
              <w:rPr>
                <w:rFonts w:ascii="Times New Roman" w:hAnsi="Times New Roman"/>
                <w:color w:val="auto"/>
                <w:sz w:val="18"/>
                <w:szCs w:val="18"/>
              </w:rPr>
              <w:t>□</w:t>
            </w:r>
            <w:r>
              <w:rPr>
                <w:rFonts w:ascii="Times New Roman" w:hAnsi="Times New Roman"/>
                <w:color w:val="auto"/>
                <w:sz w:val="21"/>
              </w:rPr>
              <w:t xml:space="preserve">；热污染 </w:t>
            </w:r>
            <w:r>
              <w:rPr>
                <w:rFonts w:ascii="Times New Roman" w:hAnsi="Times New Roman"/>
                <w:color w:val="auto"/>
                <w:sz w:val="18"/>
                <w:szCs w:val="18"/>
              </w:rPr>
              <w:t>□</w:t>
            </w:r>
            <w:r>
              <w:rPr>
                <w:rFonts w:ascii="Times New Roman" w:hAnsi="Times New Roman"/>
                <w:color w:val="auto"/>
                <w:sz w:val="21"/>
              </w:rPr>
              <w:t>；富营养化</w:t>
            </w:r>
            <w:r>
              <w:rPr>
                <w:rFonts w:ascii="Times New Roman" w:hAnsi="Times New Roman"/>
                <w:color w:val="auto"/>
                <w:sz w:val="18"/>
                <w:szCs w:val="18"/>
              </w:rPr>
              <w:t>□</w:t>
            </w:r>
            <w:r>
              <w:rPr>
                <w:rFonts w:ascii="Times New Roman" w:hAnsi="Times New Roman"/>
                <w:color w:val="auto"/>
                <w:sz w:val="21"/>
              </w:rPr>
              <w:t xml:space="preserve">；其他 </w:t>
            </w:r>
            <w:r>
              <w:rPr>
                <w:rFonts w:ascii="Times New Roman" w:hAnsi="Times New Roman"/>
                <w:color w:val="auto"/>
                <w:sz w:val="18"/>
                <w:szCs w:val="18"/>
              </w:rPr>
              <w:t>□</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水温</w:t>
            </w:r>
            <w:r>
              <w:rPr>
                <w:rFonts w:ascii="Times New Roman" w:hAnsi="Times New Roman"/>
                <w:color w:val="auto"/>
                <w:sz w:val="18"/>
                <w:szCs w:val="18"/>
              </w:rPr>
              <w:t>□</w:t>
            </w:r>
            <w:r>
              <w:rPr>
                <w:rFonts w:ascii="Times New Roman" w:hAnsi="Times New Roman"/>
                <w:color w:val="auto"/>
                <w:sz w:val="21"/>
              </w:rPr>
              <w:t>；水位（水深）</w:t>
            </w:r>
            <w:r>
              <w:rPr>
                <w:rFonts w:ascii="Times New Roman" w:hAnsi="Times New Roman"/>
                <w:color w:val="auto"/>
                <w:sz w:val="18"/>
                <w:szCs w:val="18"/>
              </w:rPr>
              <w:t>□</w:t>
            </w:r>
            <w:r>
              <w:rPr>
                <w:rFonts w:ascii="Times New Roman" w:hAnsi="Times New Roman"/>
                <w:color w:val="auto"/>
                <w:sz w:val="21"/>
              </w:rPr>
              <w:t>；流速</w:t>
            </w:r>
            <w:r>
              <w:rPr>
                <w:rFonts w:ascii="Times New Roman" w:hAnsi="Times New Roman"/>
                <w:color w:val="auto"/>
                <w:sz w:val="18"/>
                <w:szCs w:val="18"/>
              </w:rPr>
              <w:t>□</w:t>
            </w:r>
            <w:r>
              <w:rPr>
                <w:rFonts w:ascii="Times New Roman" w:hAnsi="Times New Roman"/>
                <w:color w:val="auto"/>
                <w:sz w:val="21"/>
              </w:rPr>
              <w:t>；流量</w:t>
            </w:r>
            <w:r>
              <w:rPr>
                <w:rFonts w:ascii="Times New Roman" w:hAnsi="Times New Roman"/>
                <w:color w:val="auto"/>
                <w:sz w:val="18"/>
                <w:szCs w:val="18"/>
              </w:rPr>
              <w:t>□</w:t>
            </w:r>
            <w:r>
              <w:rPr>
                <w:rFonts w:ascii="Times New Roman" w:hAnsi="Times New Roman"/>
                <w:color w:val="auto"/>
                <w:sz w:val="21"/>
              </w:rPr>
              <w:t>；其他</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gridSpan w:val="2"/>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评价等级</w:t>
            </w: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水污染影响型</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一级</w:t>
            </w:r>
            <w:r>
              <w:rPr>
                <w:rFonts w:ascii="Times New Roman" w:hAnsi="Times New Roman"/>
                <w:color w:val="auto"/>
                <w:sz w:val="18"/>
                <w:szCs w:val="18"/>
              </w:rPr>
              <w:t>□</w:t>
            </w:r>
            <w:r>
              <w:rPr>
                <w:rFonts w:ascii="Times New Roman" w:hAnsi="Times New Roman"/>
                <w:color w:val="auto"/>
                <w:sz w:val="21"/>
              </w:rPr>
              <w:t>；二级</w:t>
            </w:r>
            <w:r>
              <w:rPr>
                <w:rFonts w:ascii="Times New Roman" w:hAnsi="Times New Roman"/>
                <w:color w:val="auto"/>
                <w:sz w:val="18"/>
                <w:szCs w:val="18"/>
              </w:rPr>
              <w:t>□</w:t>
            </w:r>
            <w:r>
              <w:rPr>
                <w:rFonts w:ascii="Times New Roman" w:hAnsi="Times New Roman"/>
                <w:color w:val="auto"/>
                <w:sz w:val="21"/>
              </w:rPr>
              <w:t xml:space="preserve">；三级A  </w:t>
            </w:r>
            <w:r>
              <w:rPr>
                <w:rFonts w:ascii="Times New Roman" w:hAnsi="Times New Roman"/>
                <w:color w:val="auto"/>
                <w:sz w:val="18"/>
                <w:szCs w:val="18"/>
              </w:rPr>
              <w:t>□</w:t>
            </w:r>
            <w:r>
              <w:rPr>
                <w:rFonts w:ascii="Times New Roman" w:hAnsi="Times New Roman"/>
                <w:color w:val="auto"/>
                <w:sz w:val="21"/>
              </w:rPr>
              <w:t>；三级B√</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一级</w:t>
            </w:r>
            <w:r>
              <w:rPr>
                <w:rFonts w:ascii="Times New Roman" w:hAnsi="Times New Roman"/>
                <w:color w:val="auto"/>
                <w:sz w:val="18"/>
                <w:szCs w:val="18"/>
              </w:rPr>
              <w:t>□</w:t>
            </w:r>
            <w:r>
              <w:rPr>
                <w:rFonts w:ascii="Times New Roman" w:hAnsi="Times New Roman"/>
                <w:color w:val="auto"/>
                <w:sz w:val="21"/>
              </w:rPr>
              <w:t>；二级</w:t>
            </w:r>
            <w:r>
              <w:rPr>
                <w:rFonts w:ascii="Times New Roman" w:hAnsi="Times New Roman"/>
                <w:color w:val="auto"/>
                <w:sz w:val="18"/>
                <w:szCs w:val="18"/>
              </w:rPr>
              <w:t>□</w:t>
            </w:r>
            <w:r>
              <w:rPr>
                <w:rFonts w:ascii="Times New Roman" w:hAnsi="Times New Roman"/>
                <w:color w:val="auto"/>
                <w:sz w:val="21"/>
              </w:rPr>
              <w:t>；三级</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现状调查</w:t>
            </w:r>
          </w:p>
        </w:tc>
        <w:tc>
          <w:tcPr>
            <w:tcW w:w="518"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区域污染源</w:t>
            </w:r>
          </w:p>
        </w:tc>
        <w:tc>
          <w:tcPr>
            <w:tcW w:w="2288" w:type="pct"/>
            <w:gridSpan w:val="5"/>
            <w:tcBorders>
              <w:bottom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调查项目</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08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已建</w:t>
            </w:r>
            <w:r>
              <w:rPr>
                <w:rFonts w:ascii="Times New Roman" w:hAnsi="Times New Roman"/>
                <w:color w:val="auto"/>
                <w:sz w:val="18"/>
                <w:szCs w:val="18"/>
              </w:rPr>
              <w:t>□</w:t>
            </w:r>
            <w:r>
              <w:rPr>
                <w:rFonts w:ascii="Times New Roman" w:hAnsi="Times New Roman"/>
                <w:color w:val="auto"/>
                <w:sz w:val="21"/>
              </w:rPr>
              <w:t>；在建</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拟建</w:t>
            </w:r>
            <w:r>
              <w:rPr>
                <w:rFonts w:ascii="Times New Roman" w:hAnsi="Times New Roman"/>
                <w:color w:val="auto"/>
                <w:sz w:val="18"/>
                <w:szCs w:val="18"/>
              </w:rPr>
              <w:t>□</w:t>
            </w:r>
            <w:r>
              <w:rPr>
                <w:rFonts w:ascii="Times New Roman" w:hAnsi="Times New Roman"/>
                <w:color w:val="auto"/>
                <w:sz w:val="21"/>
              </w:rPr>
              <w:t>；其他</w:t>
            </w:r>
            <w:r>
              <w:rPr>
                <w:rFonts w:ascii="Times New Roman" w:hAnsi="Times New Roman"/>
                <w:color w:val="auto"/>
                <w:sz w:val="18"/>
                <w:szCs w:val="18"/>
              </w:rPr>
              <w:t>□</w:t>
            </w:r>
          </w:p>
        </w:tc>
        <w:tc>
          <w:tcPr>
            <w:tcW w:w="12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拟替代的污染源</w:t>
            </w:r>
            <w:r>
              <w:rPr>
                <w:rFonts w:ascii="Times New Roman" w:hAnsi="Times New Roman"/>
                <w:color w:val="auto"/>
                <w:sz w:val="18"/>
                <w:szCs w:val="18"/>
              </w:rPr>
              <w:t>□</w:t>
            </w:r>
          </w:p>
        </w:tc>
        <w:tc>
          <w:tcPr>
            <w:tcW w:w="1944" w:type="pct"/>
            <w:gridSpan w:val="5"/>
            <w:tcBorders>
              <w:lef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排污许可证</w:t>
            </w:r>
            <w:r>
              <w:rPr>
                <w:rFonts w:ascii="Times New Roman" w:hAnsi="Times New Roman"/>
                <w:color w:val="auto"/>
                <w:sz w:val="18"/>
                <w:szCs w:val="18"/>
              </w:rPr>
              <w:t>□</w:t>
            </w:r>
            <w:r>
              <w:rPr>
                <w:rFonts w:ascii="Times New Roman" w:hAnsi="Times New Roman"/>
                <w:color w:val="auto"/>
                <w:sz w:val="21"/>
              </w:rPr>
              <w:t>；环评</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环保验收</w:t>
            </w:r>
            <w:r>
              <w:rPr>
                <w:rFonts w:ascii="Times New Roman" w:hAnsi="Times New Roman"/>
                <w:color w:val="auto"/>
                <w:sz w:val="18"/>
                <w:szCs w:val="18"/>
              </w:rPr>
              <w:t>□</w:t>
            </w:r>
            <w:r>
              <w:rPr>
                <w:rFonts w:ascii="Times New Roman" w:hAnsi="Times New Roman"/>
                <w:color w:val="auto"/>
                <w:sz w:val="21"/>
              </w:rPr>
              <w:t>；既有实测</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现场监测</w:t>
            </w:r>
            <w:r>
              <w:rPr>
                <w:rFonts w:ascii="Times New Roman" w:hAnsi="Times New Roman"/>
                <w:color w:val="auto"/>
                <w:sz w:val="18"/>
                <w:szCs w:val="18"/>
              </w:rPr>
              <w:t>□</w:t>
            </w:r>
            <w:r>
              <w:rPr>
                <w:rFonts w:ascii="Times New Roman" w:hAnsi="Times New Roman"/>
                <w:color w:val="auto"/>
                <w:sz w:val="21"/>
              </w:rPr>
              <w:t>；入河排放口数据</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其他</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受影响水体水环境质量</w:t>
            </w:r>
          </w:p>
        </w:tc>
        <w:tc>
          <w:tcPr>
            <w:tcW w:w="2288" w:type="pct"/>
            <w:gridSpan w:val="5"/>
            <w:tcBorders>
              <w:top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调查时期</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丰水期</w:t>
            </w:r>
            <w:r>
              <w:rPr>
                <w:rFonts w:ascii="Times New Roman" w:hAnsi="Times New Roman"/>
                <w:color w:val="auto"/>
                <w:sz w:val="18"/>
                <w:szCs w:val="18"/>
              </w:rPr>
              <w:t>□</w:t>
            </w:r>
            <w:r>
              <w:rPr>
                <w:rFonts w:ascii="Times New Roman" w:hAnsi="Times New Roman"/>
                <w:color w:val="auto"/>
                <w:sz w:val="21"/>
              </w:rPr>
              <w:t>；平水期</w:t>
            </w:r>
            <w:r>
              <w:rPr>
                <w:rFonts w:ascii="Times New Roman" w:hAnsi="Times New Roman"/>
                <w:color w:val="auto"/>
                <w:sz w:val="18"/>
                <w:szCs w:val="18"/>
              </w:rPr>
              <w:t>□</w:t>
            </w:r>
            <w:r>
              <w:rPr>
                <w:rFonts w:ascii="Times New Roman" w:hAnsi="Times New Roman"/>
                <w:color w:val="auto"/>
                <w:sz w:val="21"/>
              </w:rPr>
              <w:t>；枯水期</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冰封期</w:t>
            </w:r>
            <w:r>
              <w:rPr>
                <w:rFonts w:ascii="Times New Roman" w:hAnsi="Times New Roman"/>
                <w:color w:val="auto"/>
                <w:sz w:val="18"/>
                <w:szCs w:val="18"/>
              </w:rPr>
              <w:t>□</w:t>
            </w:r>
            <w:r>
              <w:rPr>
                <w:rFonts w:ascii="Times New Roman" w:hAnsi="Times New Roman"/>
                <w:color w:val="auto"/>
                <w:sz w:val="21"/>
              </w:rPr>
              <w:t>春季</w:t>
            </w:r>
            <w:r>
              <w:rPr>
                <w:rFonts w:ascii="Times New Roman" w:hAnsi="Times New Roman"/>
                <w:color w:val="auto"/>
                <w:sz w:val="18"/>
                <w:szCs w:val="18"/>
              </w:rPr>
              <w:t>□</w:t>
            </w:r>
            <w:r>
              <w:rPr>
                <w:rFonts w:ascii="Times New Roman" w:hAnsi="Times New Roman"/>
                <w:color w:val="auto"/>
                <w:sz w:val="21"/>
              </w:rPr>
              <w:t>；夏季</w:t>
            </w:r>
            <w:r>
              <w:rPr>
                <w:rFonts w:ascii="Times New Roman" w:hAnsi="Times New Roman"/>
                <w:color w:val="auto"/>
                <w:sz w:val="18"/>
                <w:szCs w:val="18"/>
              </w:rPr>
              <w:t>□</w:t>
            </w:r>
            <w:r>
              <w:rPr>
                <w:rFonts w:ascii="Times New Roman" w:hAnsi="Times New Roman"/>
                <w:color w:val="auto"/>
                <w:sz w:val="21"/>
              </w:rPr>
              <w:t>；秋季</w:t>
            </w:r>
            <w:r>
              <w:rPr>
                <w:rFonts w:ascii="Times New Roman" w:hAnsi="Times New Roman"/>
                <w:color w:val="auto"/>
                <w:sz w:val="18"/>
                <w:szCs w:val="18"/>
              </w:rPr>
              <w:t>□</w:t>
            </w:r>
            <w:r>
              <w:rPr>
                <w:rFonts w:ascii="Times New Roman" w:hAnsi="Times New Roman"/>
                <w:color w:val="auto"/>
                <w:sz w:val="21"/>
              </w:rPr>
              <w:t>；冬季</w:t>
            </w:r>
            <w:r>
              <w:rPr>
                <w:rFonts w:ascii="Times New Roman" w:hAnsi="Times New Roman"/>
                <w:color w:val="auto"/>
                <w:sz w:val="18"/>
                <w:szCs w:val="18"/>
              </w:rPr>
              <w:t>□</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生态环境保护主管部门</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补充监测</w:t>
            </w:r>
            <w:r>
              <w:rPr>
                <w:rFonts w:ascii="Times New Roman" w:hAnsi="Times New Roman"/>
                <w:color w:val="auto"/>
                <w:sz w:val="18"/>
                <w:szCs w:val="18"/>
              </w:rPr>
              <w:t>√</w:t>
            </w:r>
            <w:r>
              <w:rPr>
                <w:rFonts w:ascii="Times New Roman" w:hAnsi="Times New Roman"/>
                <w:color w:val="auto"/>
                <w:sz w:val="21"/>
              </w:rPr>
              <w:t>；其他</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区域水资源开发利用状况</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未开发</w:t>
            </w:r>
            <w:r>
              <w:rPr>
                <w:rFonts w:ascii="Times New Roman" w:hAnsi="Times New Roman"/>
                <w:color w:val="auto"/>
                <w:sz w:val="18"/>
                <w:szCs w:val="18"/>
              </w:rPr>
              <w:t>□</w:t>
            </w:r>
            <w:r>
              <w:rPr>
                <w:rFonts w:ascii="Times New Roman" w:hAnsi="Times New Roman"/>
                <w:color w:val="auto"/>
                <w:sz w:val="21"/>
              </w:rPr>
              <w:t>；开发量40%以下</w:t>
            </w:r>
            <w:r>
              <w:rPr>
                <w:rFonts w:ascii="Times New Roman" w:hAnsi="Times New Roman"/>
                <w:color w:val="auto"/>
                <w:sz w:val="18"/>
                <w:szCs w:val="18"/>
              </w:rPr>
              <w:t>□</w:t>
            </w:r>
            <w:r>
              <w:rPr>
                <w:rFonts w:ascii="Times New Roman" w:hAnsi="Times New Roman"/>
                <w:color w:val="auto"/>
                <w:sz w:val="21"/>
              </w:rPr>
              <w:t>；开发量40%以上</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水文情势调查</w:t>
            </w: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调查时期</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丰水期</w:t>
            </w:r>
            <w:r>
              <w:rPr>
                <w:rFonts w:ascii="Times New Roman" w:hAnsi="Times New Roman"/>
                <w:color w:val="auto"/>
                <w:sz w:val="18"/>
                <w:szCs w:val="18"/>
              </w:rPr>
              <w:t>□</w:t>
            </w:r>
            <w:r>
              <w:rPr>
                <w:rFonts w:ascii="Times New Roman" w:hAnsi="Times New Roman"/>
                <w:color w:val="auto"/>
                <w:sz w:val="21"/>
              </w:rPr>
              <w:t>；平水期</w:t>
            </w:r>
            <w:r>
              <w:rPr>
                <w:rFonts w:ascii="Times New Roman" w:hAnsi="Times New Roman"/>
                <w:color w:val="auto"/>
                <w:sz w:val="18"/>
                <w:szCs w:val="18"/>
              </w:rPr>
              <w:t>□</w:t>
            </w:r>
            <w:r>
              <w:rPr>
                <w:rFonts w:ascii="Times New Roman" w:hAnsi="Times New Roman"/>
                <w:color w:val="auto"/>
                <w:sz w:val="21"/>
              </w:rPr>
              <w:t>；枯水期</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冰封期</w:t>
            </w:r>
            <w:r>
              <w:rPr>
                <w:rFonts w:ascii="Times New Roman" w:hAnsi="Times New Roman"/>
                <w:color w:val="auto"/>
                <w:sz w:val="18"/>
                <w:szCs w:val="18"/>
              </w:rPr>
              <w:t>□</w:t>
            </w:r>
            <w:r>
              <w:rPr>
                <w:rFonts w:ascii="Times New Roman" w:hAnsi="Times New Roman"/>
                <w:color w:val="auto"/>
                <w:sz w:val="21"/>
              </w:rPr>
              <w:t>春季</w:t>
            </w:r>
            <w:r>
              <w:rPr>
                <w:rFonts w:ascii="Times New Roman" w:hAnsi="Times New Roman"/>
                <w:color w:val="auto"/>
                <w:sz w:val="18"/>
                <w:szCs w:val="18"/>
              </w:rPr>
              <w:t>□</w:t>
            </w:r>
            <w:r>
              <w:rPr>
                <w:rFonts w:ascii="Times New Roman" w:hAnsi="Times New Roman"/>
                <w:color w:val="auto"/>
                <w:sz w:val="21"/>
              </w:rPr>
              <w:t>；夏季</w:t>
            </w:r>
            <w:r>
              <w:rPr>
                <w:rFonts w:ascii="Times New Roman" w:hAnsi="Times New Roman"/>
                <w:color w:val="auto"/>
                <w:sz w:val="18"/>
                <w:szCs w:val="18"/>
              </w:rPr>
              <w:t>□</w:t>
            </w:r>
            <w:r>
              <w:rPr>
                <w:rFonts w:ascii="Times New Roman" w:hAnsi="Times New Roman"/>
                <w:color w:val="auto"/>
                <w:sz w:val="21"/>
              </w:rPr>
              <w:t>；秋季</w:t>
            </w:r>
            <w:r>
              <w:rPr>
                <w:rFonts w:ascii="Times New Roman" w:hAnsi="Times New Roman"/>
                <w:color w:val="auto"/>
                <w:sz w:val="18"/>
                <w:szCs w:val="18"/>
              </w:rPr>
              <w:t>□</w:t>
            </w:r>
            <w:r>
              <w:rPr>
                <w:rFonts w:ascii="Times New Roman" w:hAnsi="Times New Roman"/>
                <w:color w:val="auto"/>
                <w:sz w:val="21"/>
              </w:rPr>
              <w:t>；冬季</w:t>
            </w:r>
            <w:r>
              <w:rPr>
                <w:rFonts w:ascii="Times New Roman" w:hAnsi="Times New Roman"/>
                <w:color w:val="auto"/>
                <w:sz w:val="18"/>
                <w:szCs w:val="18"/>
              </w:rPr>
              <w:t>□</w:t>
            </w:r>
          </w:p>
        </w:tc>
        <w:tc>
          <w:tcPr>
            <w:tcW w:w="1944"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水行政主管部门</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补充监测</w:t>
            </w:r>
            <w:r>
              <w:rPr>
                <w:rFonts w:ascii="Times New Roman" w:hAnsi="Times New Roman"/>
                <w:color w:val="auto"/>
                <w:sz w:val="18"/>
                <w:szCs w:val="18"/>
              </w:rPr>
              <w:t>□</w:t>
            </w:r>
            <w:r>
              <w:rPr>
                <w:rFonts w:ascii="Times New Roman" w:hAnsi="Times New Roman"/>
                <w:color w:val="auto"/>
                <w:sz w:val="21"/>
              </w:rPr>
              <w:t>；其他</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补充监测</w:t>
            </w: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监测时期</w:t>
            </w:r>
          </w:p>
        </w:tc>
        <w:tc>
          <w:tcPr>
            <w:tcW w:w="773"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监测因子</w:t>
            </w:r>
          </w:p>
        </w:tc>
        <w:tc>
          <w:tcPr>
            <w:tcW w:w="1171" w:type="pct"/>
            <w:gridSpan w:val="2"/>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288"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丰水期</w:t>
            </w:r>
            <w:r>
              <w:rPr>
                <w:rFonts w:ascii="Times New Roman" w:hAnsi="Times New Roman"/>
                <w:color w:val="auto"/>
                <w:sz w:val="18"/>
                <w:szCs w:val="18"/>
              </w:rPr>
              <w:t>□</w:t>
            </w:r>
            <w:r>
              <w:rPr>
                <w:rFonts w:ascii="Times New Roman" w:hAnsi="Times New Roman"/>
                <w:color w:val="auto"/>
                <w:sz w:val="21"/>
              </w:rPr>
              <w:t>；平水期</w:t>
            </w:r>
            <w:r>
              <w:rPr>
                <w:rFonts w:ascii="Times New Roman" w:hAnsi="Times New Roman"/>
                <w:color w:val="auto"/>
                <w:sz w:val="18"/>
                <w:szCs w:val="18"/>
              </w:rPr>
              <w:t>□</w:t>
            </w:r>
            <w:r>
              <w:rPr>
                <w:rFonts w:ascii="Times New Roman" w:hAnsi="Times New Roman"/>
                <w:color w:val="auto"/>
                <w:sz w:val="21"/>
              </w:rPr>
              <w:t>；枯水期</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冰封期</w:t>
            </w:r>
            <w:r>
              <w:rPr>
                <w:rFonts w:ascii="Times New Roman" w:hAnsi="Times New Roman"/>
                <w:color w:val="auto"/>
                <w:sz w:val="18"/>
                <w:szCs w:val="18"/>
              </w:rPr>
              <w:t>□</w:t>
            </w:r>
            <w:r>
              <w:rPr>
                <w:rFonts w:ascii="Times New Roman" w:hAnsi="Times New Roman"/>
                <w:color w:val="auto"/>
                <w:sz w:val="21"/>
              </w:rPr>
              <w:t>春季</w:t>
            </w:r>
            <w:r>
              <w:rPr>
                <w:rFonts w:ascii="Times New Roman" w:hAnsi="Times New Roman"/>
                <w:color w:val="auto"/>
                <w:sz w:val="18"/>
                <w:szCs w:val="18"/>
              </w:rPr>
              <w:t>□</w:t>
            </w:r>
            <w:r>
              <w:rPr>
                <w:rFonts w:ascii="Times New Roman" w:hAnsi="Times New Roman"/>
                <w:color w:val="auto"/>
                <w:sz w:val="21"/>
              </w:rPr>
              <w:t>；夏季</w:t>
            </w:r>
            <w:r>
              <w:rPr>
                <w:rFonts w:ascii="Times New Roman" w:hAnsi="Times New Roman"/>
                <w:color w:val="auto"/>
                <w:sz w:val="18"/>
                <w:szCs w:val="18"/>
              </w:rPr>
              <w:t>□</w:t>
            </w:r>
            <w:r>
              <w:rPr>
                <w:rFonts w:ascii="Times New Roman" w:hAnsi="Times New Roman"/>
                <w:color w:val="auto"/>
                <w:sz w:val="21"/>
              </w:rPr>
              <w:t>；秋季</w:t>
            </w:r>
            <w:r>
              <w:rPr>
                <w:rFonts w:ascii="Times New Roman" w:hAnsi="Times New Roman"/>
                <w:color w:val="auto"/>
                <w:sz w:val="18"/>
                <w:szCs w:val="18"/>
              </w:rPr>
              <w:t>□</w:t>
            </w:r>
            <w:r>
              <w:rPr>
                <w:rFonts w:ascii="Times New Roman" w:hAnsi="Times New Roman"/>
                <w:color w:val="auto"/>
                <w:sz w:val="21"/>
              </w:rPr>
              <w:t>；冬季</w:t>
            </w:r>
            <w:r>
              <w:rPr>
                <w:rFonts w:ascii="Times New Roman" w:hAnsi="Times New Roman"/>
                <w:color w:val="auto"/>
                <w:sz w:val="18"/>
                <w:szCs w:val="18"/>
              </w:rPr>
              <w:t>□</w:t>
            </w:r>
          </w:p>
        </w:tc>
        <w:tc>
          <w:tcPr>
            <w:tcW w:w="773" w:type="pct"/>
            <w:gridSpan w:val="3"/>
            <w:vAlign w:val="center"/>
          </w:tcPr>
          <w:p>
            <w:pPr>
              <w:keepNext w:val="0"/>
              <w:keepLines w:val="0"/>
              <w:suppressLineNumbers w:val="0"/>
              <w:spacing w:before="0" w:beforeAutospacing="0" w:after="0" w:afterAutospacing="0" w:line="240" w:lineRule="auto"/>
              <w:ind w:left="0" w:right="0" w:firstLine="0" w:firstLineChars="0"/>
              <w:jc w:val="left"/>
              <w:rPr>
                <w:rFonts w:ascii="Times New Roman" w:hAnsi="Times New Roman"/>
                <w:color w:val="auto"/>
                <w:sz w:val="21"/>
              </w:rPr>
            </w:pPr>
          </w:p>
        </w:tc>
        <w:tc>
          <w:tcPr>
            <w:tcW w:w="1171" w:type="pct"/>
            <w:gridSpan w:val="2"/>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现状评价</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评价范围</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河流：长度（  ）km；湖库、河口及近岸海域：面积（ ）km</w:t>
            </w:r>
            <w:r>
              <w:rPr>
                <w:rFonts w:ascii="Times New Roman" w:hAnsi="Times New Roman"/>
                <w:color w:val="auto"/>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评价因子</w:t>
            </w:r>
          </w:p>
        </w:tc>
        <w:tc>
          <w:tcPr>
            <w:tcW w:w="4232" w:type="pct"/>
            <w:gridSpan w:val="10"/>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pH值、溶解氧、高锰酸盐指数、化学需氧量、氨氮、石油类、总磷、BOD</w:t>
            </w:r>
            <w:r>
              <w:rPr>
                <w:rFonts w:ascii="Times New Roman" w:hAnsi="Times New Roman"/>
                <w:color w:val="auto"/>
                <w:sz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评价标准</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河流、湖库、河口：</w:t>
            </w:r>
            <w:r>
              <w:rPr>
                <w:rFonts w:hint="eastAsia" w:cs="宋体"/>
                <w:color w:val="auto"/>
                <w:sz w:val="21"/>
              </w:rPr>
              <w:t>Ⅰ</w:t>
            </w:r>
            <w:r>
              <w:rPr>
                <w:rFonts w:ascii="Times New Roman" w:hAnsi="Times New Roman"/>
                <w:color w:val="auto"/>
                <w:sz w:val="21"/>
              </w:rPr>
              <w:t>类</w:t>
            </w:r>
            <w:r>
              <w:rPr>
                <w:rFonts w:ascii="Times New Roman" w:hAnsi="Times New Roman"/>
                <w:color w:val="auto"/>
                <w:sz w:val="18"/>
                <w:szCs w:val="18"/>
              </w:rPr>
              <w:t>□</w:t>
            </w:r>
            <w:r>
              <w:rPr>
                <w:rFonts w:ascii="Times New Roman" w:hAnsi="Times New Roman"/>
                <w:color w:val="auto"/>
                <w:sz w:val="21"/>
              </w:rPr>
              <w:t>；</w:t>
            </w:r>
            <w:r>
              <w:rPr>
                <w:rFonts w:hint="eastAsia" w:cs="宋体"/>
                <w:color w:val="auto"/>
                <w:sz w:val="21"/>
              </w:rPr>
              <w:t>Ⅱ</w:t>
            </w:r>
            <w:r>
              <w:rPr>
                <w:rFonts w:ascii="Times New Roman" w:hAnsi="Times New Roman"/>
                <w:color w:val="auto"/>
                <w:sz w:val="21"/>
              </w:rPr>
              <w:t>类</w:t>
            </w:r>
            <w:r>
              <w:rPr>
                <w:rFonts w:ascii="Times New Roman" w:hAnsi="Times New Roman"/>
                <w:color w:val="auto"/>
                <w:sz w:val="18"/>
                <w:szCs w:val="18"/>
              </w:rPr>
              <w:t>□</w:t>
            </w:r>
            <w:r>
              <w:rPr>
                <w:rFonts w:ascii="Times New Roman" w:hAnsi="Times New Roman"/>
                <w:color w:val="auto"/>
                <w:sz w:val="21"/>
              </w:rPr>
              <w:t>；</w:t>
            </w:r>
            <w:r>
              <w:rPr>
                <w:rFonts w:hint="eastAsia" w:cs="宋体"/>
                <w:color w:val="auto"/>
                <w:sz w:val="21"/>
              </w:rPr>
              <w:t>Ⅲ</w:t>
            </w:r>
            <w:r>
              <w:rPr>
                <w:rFonts w:ascii="Times New Roman" w:hAnsi="Times New Roman"/>
                <w:color w:val="auto"/>
                <w:sz w:val="21"/>
              </w:rPr>
              <w:t>类</w:t>
            </w:r>
            <w:r>
              <w:rPr>
                <w:rFonts w:ascii="Times New Roman" w:hAnsi="Times New Roman"/>
                <w:color w:val="auto"/>
                <w:sz w:val="18"/>
                <w:szCs w:val="18"/>
              </w:rPr>
              <w:t>□</w:t>
            </w:r>
            <w:r>
              <w:rPr>
                <w:rFonts w:ascii="Times New Roman" w:hAnsi="Times New Roman"/>
                <w:color w:val="auto"/>
                <w:sz w:val="21"/>
              </w:rPr>
              <w:t>；</w:t>
            </w:r>
            <w:r>
              <w:rPr>
                <w:rFonts w:hint="eastAsia" w:cs="宋体"/>
                <w:color w:val="auto"/>
                <w:sz w:val="21"/>
              </w:rPr>
              <w:t>Ⅳ</w:t>
            </w:r>
            <w:r>
              <w:rPr>
                <w:rFonts w:ascii="Times New Roman" w:hAnsi="Times New Roman"/>
                <w:color w:val="auto"/>
                <w:sz w:val="21"/>
              </w:rPr>
              <w:t>类</w:t>
            </w:r>
            <w:r>
              <w:rPr>
                <w:rFonts w:ascii="Times New Roman" w:hAnsi="Times New Roman"/>
                <w:color w:val="auto"/>
                <w:sz w:val="18"/>
                <w:szCs w:val="18"/>
              </w:rPr>
              <w:t>√</w:t>
            </w:r>
            <w:r>
              <w:rPr>
                <w:rFonts w:ascii="Times New Roman" w:hAnsi="Times New Roman"/>
                <w:color w:val="auto"/>
                <w:sz w:val="21"/>
              </w:rPr>
              <w:t>；</w:t>
            </w:r>
            <w:r>
              <w:rPr>
                <w:rFonts w:hint="eastAsia" w:cs="宋体"/>
                <w:color w:val="auto"/>
                <w:sz w:val="21"/>
              </w:rPr>
              <w:t>Ⅴ</w:t>
            </w:r>
            <w:r>
              <w:rPr>
                <w:rFonts w:ascii="Times New Roman" w:hAnsi="Times New Roman"/>
                <w:color w:val="auto"/>
                <w:sz w:val="21"/>
              </w:rPr>
              <w:t>类</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近岸海域：第一类</w:t>
            </w:r>
            <w:r>
              <w:rPr>
                <w:rFonts w:ascii="Times New Roman" w:hAnsi="Times New Roman"/>
                <w:color w:val="auto"/>
                <w:sz w:val="18"/>
                <w:szCs w:val="18"/>
              </w:rPr>
              <w:t>□</w:t>
            </w:r>
            <w:r>
              <w:rPr>
                <w:rFonts w:ascii="Times New Roman" w:hAnsi="Times New Roman"/>
                <w:color w:val="auto"/>
                <w:sz w:val="21"/>
              </w:rPr>
              <w:t>；第二类</w:t>
            </w:r>
            <w:r>
              <w:rPr>
                <w:rFonts w:ascii="Times New Roman" w:hAnsi="Times New Roman"/>
                <w:color w:val="auto"/>
                <w:sz w:val="18"/>
                <w:szCs w:val="18"/>
              </w:rPr>
              <w:t>□</w:t>
            </w:r>
            <w:r>
              <w:rPr>
                <w:rFonts w:ascii="Times New Roman" w:hAnsi="Times New Roman"/>
                <w:color w:val="auto"/>
                <w:sz w:val="21"/>
              </w:rPr>
              <w:t>；第三类</w:t>
            </w:r>
            <w:r>
              <w:rPr>
                <w:rFonts w:ascii="Times New Roman" w:hAnsi="Times New Roman"/>
                <w:color w:val="auto"/>
                <w:sz w:val="18"/>
                <w:szCs w:val="18"/>
              </w:rPr>
              <w:t>□</w:t>
            </w:r>
            <w:r>
              <w:rPr>
                <w:rFonts w:ascii="Times New Roman" w:hAnsi="Times New Roman"/>
                <w:color w:val="auto"/>
                <w:sz w:val="21"/>
              </w:rPr>
              <w:t>；第四类</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评价时期</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丰水期</w:t>
            </w:r>
            <w:r>
              <w:rPr>
                <w:rFonts w:ascii="Times New Roman" w:hAnsi="Times New Roman"/>
                <w:color w:val="auto"/>
                <w:sz w:val="18"/>
                <w:szCs w:val="18"/>
              </w:rPr>
              <w:t>□</w:t>
            </w:r>
            <w:r>
              <w:rPr>
                <w:rFonts w:ascii="Times New Roman" w:hAnsi="Times New Roman"/>
                <w:color w:val="auto"/>
                <w:sz w:val="21"/>
              </w:rPr>
              <w:t>；平水期</w:t>
            </w:r>
            <w:r>
              <w:rPr>
                <w:rFonts w:ascii="Times New Roman" w:hAnsi="Times New Roman"/>
                <w:color w:val="auto"/>
                <w:sz w:val="18"/>
                <w:szCs w:val="18"/>
              </w:rPr>
              <w:t>□</w:t>
            </w:r>
            <w:r>
              <w:rPr>
                <w:rFonts w:ascii="Times New Roman" w:hAnsi="Times New Roman"/>
                <w:color w:val="auto"/>
                <w:sz w:val="21"/>
              </w:rPr>
              <w:t>；枯水期</w:t>
            </w:r>
            <w:r>
              <w:rPr>
                <w:rFonts w:ascii="Times New Roman" w:hAnsi="Times New Roman"/>
                <w:color w:val="auto"/>
                <w:sz w:val="18"/>
                <w:szCs w:val="18"/>
              </w:rPr>
              <w:t>□</w:t>
            </w:r>
            <w:r>
              <w:rPr>
                <w:rFonts w:ascii="Times New Roman" w:hAnsi="Times New Roman"/>
                <w:color w:val="auto"/>
                <w:sz w:val="21"/>
              </w:rPr>
              <w:t>；冰封期</w:t>
            </w:r>
            <w:r>
              <w:rPr>
                <w:rFonts w:ascii="Times New Roman" w:hAnsi="Times New Roman"/>
                <w:color w:val="auto"/>
                <w:sz w:val="18"/>
                <w:szCs w:val="18"/>
              </w:rPr>
              <w:t>□</w:t>
            </w:r>
            <w:r>
              <w:rPr>
                <w:rFonts w:ascii="Times New Roman" w:hAnsi="Times New Roman"/>
                <w:color w:val="auto"/>
                <w:sz w:val="21"/>
              </w:rPr>
              <w:t>春季</w:t>
            </w:r>
            <w:r>
              <w:rPr>
                <w:rFonts w:ascii="Times New Roman" w:hAnsi="Times New Roman"/>
                <w:color w:val="auto"/>
                <w:sz w:val="18"/>
                <w:szCs w:val="18"/>
              </w:rPr>
              <w:t>□</w:t>
            </w:r>
            <w:r>
              <w:rPr>
                <w:rFonts w:ascii="Times New Roman" w:hAnsi="Times New Roman"/>
                <w:color w:val="auto"/>
                <w:sz w:val="21"/>
              </w:rPr>
              <w:t>；夏季</w:t>
            </w:r>
            <w:r>
              <w:rPr>
                <w:rFonts w:ascii="Times New Roman" w:hAnsi="Times New Roman"/>
                <w:color w:val="auto"/>
                <w:sz w:val="18"/>
                <w:szCs w:val="18"/>
              </w:rPr>
              <w:t>√</w:t>
            </w:r>
            <w:r>
              <w:rPr>
                <w:rFonts w:ascii="Times New Roman" w:hAnsi="Times New Roman"/>
                <w:color w:val="auto"/>
                <w:sz w:val="21"/>
              </w:rPr>
              <w:t>；秋季</w:t>
            </w:r>
            <w:r>
              <w:rPr>
                <w:rFonts w:ascii="Times New Roman" w:hAnsi="Times New Roman"/>
                <w:color w:val="auto"/>
                <w:sz w:val="18"/>
                <w:szCs w:val="18"/>
              </w:rPr>
              <w:t>□</w:t>
            </w:r>
            <w:r>
              <w:rPr>
                <w:rFonts w:ascii="Times New Roman" w:hAnsi="Times New Roman"/>
                <w:color w:val="auto"/>
                <w:sz w:val="21"/>
              </w:rPr>
              <w:t>；冬季</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评价结论</w:t>
            </w:r>
          </w:p>
        </w:tc>
        <w:tc>
          <w:tcPr>
            <w:tcW w:w="3061" w:type="pct"/>
            <w:gridSpan w:val="8"/>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水环境功能区或水功能区、近岸海域环境功能区水质达标状况</w:t>
            </w:r>
            <w:r>
              <w:rPr>
                <w:rFonts w:ascii="Times New Roman" w:hAnsi="Times New Roman"/>
                <w:color w:val="auto"/>
                <w:sz w:val="18"/>
                <w:szCs w:val="18"/>
              </w:rPr>
              <w:t>□</w:t>
            </w:r>
            <w:r>
              <w:rPr>
                <w:rFonts w:ascii="Times New Roman" w:hAnsi="Times New Roman"/>
                <w:color w:val="auto"/>
                <w:sz w:val="21"/>
              </w:rPr>
              <w:t>：达标</w:t>
            </w:r>
            <w:r>
              <w:rPr>
                <w:rFonts w:ascii="Times New Roman" w:hAnsi="Times New Roman"/>
                <w:color w:val="auto"/>
                <w:sz w:val="18"/>
                <w:szCs w:val="18"/>
              </w:rPr>
              <w:t>□</w:t>
            </w:r>
            <w:r>
              <w:rPr>
                <w:rFonts w:ascii="Times New Roman" w:hAnsi="Times New Roman"/>
                <w:color w:val="auto"/>
                <w:sz w:val="21"/>
              </w:rPr>
              <w:t>；不达标</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水环境控制单元或断面水质达标状况</w:t>
            </w:r>
            <w:r>
              <w:rPr>
                <w:rFonts w:ascii="Times New Roman" w:hAnsi="Times New Roman"/>
                <w:color w:val="auto"/>
                <w:sz w:val="18"/>
                <w:szCs w:val="18"/>
              </w:rPr>
              <w:t>□</w:t>
            </w:r>
            <w:r>
              <w:rPr>
                <w:rFonts w:ascii="Times New Roman" w:hAnsi="Times New Roman"/>
                <w:color w:val="auto"/>
                <w:sz w:val="21"/>
              </w:rPr>
              <w:t>：达标</w:t>
            </w:r>
            <w:r>
              <w:rPr>
                <w:rFonts w:ascii="Times New Roman" w:hAnsi="Times New Roman"/>
                <w:color w:val="auto"/>
                <w:sz w:val="18"/>
                <w:szCs w:val="18"/>
              </w:rPr>
              <w:t>□</w:t>
            </w:r>
            <w:r>
              <w:rPr>
                <w:rFonts w:ascii="Times New Roman" w:hAnsi="Times New Roman"/>
                <w:color w:val="auto"/>
                <w:sz w:val="21"/>
              </w:rPr>
              <w:t xml:space="preserve">；不达标 </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水环境保护目标质量状况</w:t>
            </w:r>
            <w:r>
              <w:rPr>
                <w:rFonts w:ascii="Times New Roman" w:hAnsi="Times New Roman"/>
                <w:color w:val="auto"/>
                <w:sz w:val="18"/>
                <w:szCs w:val="18"/>
              </w:rPr>
              <w:t>□</w:t>
            </w:r>
            <w:r>
              <w:rPr>
                <w:rFonts w:ascii="Times New Roman" w:hAnsi="Times New Roman"/>
                <w:color w:val="auto"/>
                <w:sz w:val="21"/>
              </w:rPr>
              <w:t>：达标</w:t>
            </w:r>
            <w:r>
              <w:rPr>
                <w:rFonts w:ascii="Times New Roman" w:hAnsi="Times New Roman"/>
                <w:color w:val="auto"/>
                <w:sz w:val="18"/>
                <w:szCs w:val="18"/>
              </w:rPr>
              <w:t>□</w:t>
            </w:r>
            <w:r>
              <w:rPr>
                <w:rFonts w:ascii="Times New Roman" w:hAnsi="Times New Roman"/>
                <w:color w:val="auto"/>
                <w:sz w:val="21"/>
              </w:rPr>
              <w:t>；不达标</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对照断面、控制断面等代表性断面的水质状况</w:t>
            </w:r>
            <w:r>
              <w:rPr>
                <w:rFonts w:ascii="Times New Roman" w:hAnsi="Times New Roman"/>
                <w:color w:val="auto"/>
                <w:sz w:val="18"/>
                <w:szCs w:val="18"/>
              </w:rPr>
              <w:t>□</w:t>
            </w:r>
            <w:r>
              <w:rPr>
                <w:rFonts w:ascii="Times New Roman" w:hAnsi="Times New Roman"/>
                <w:color w:val="auto"/>
                <w:sz w:val="21"/>
              </w:rPr>
              <w:t>：达标</w:t>
            </w:r>
            <w:r>
              <w:rPr>
                <w:rFonts w:ascii="Times New Roman" w:hAnsi="Times New Roman"/>
                <w:color w:val="auto"/>
                <w:sz w:val="18"/>
                <w:szCs w:val="18"/>
              </w:rPr>
              <w:t>□</w:t>
            </w:r>
            <w:r>
              <w:rPr>
                <w:rFonts w:ascii="Times New Roman" w:hAnsi="Times New Roman"/>
                <w:color w:val="auto"/>
                <w:sz w:val="21"/>
              </w:rPr>
              <w:t>；不达标</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底泥污染评价</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水资源与开发利用程度及其水文情势评价</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水环境质量回顾评价</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流域（区域）水资源（包括水能资源）与开发利用总体状况、生态流量管理要求与现状满足程度、建设项目占用水域空间的水流状况与河湖演变状况</w:t>
            </w:r>
            <w:r>
              <w:rPr>
                <w:rFonts w:ascii="Times New Roman" w:hAnsi="Times New Roman"/>
                <w:color w:val="auto"/>
                <w:sz w:val="18"/>
                <w:szCs w:val="18"/>
              </w:rPr>
              <w:t>□</w:t>
            </w:r>
          </w:p>
        </w:tc>
        <w:tc>
          <w:tcPr>
            <w:tcW w:w="1171" w:type="pct"/>
            <w:gridSpan w:val="2"/>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达标区</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不达标区</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影响预测</w:t>
            </w: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预测范围</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河流：长度（ ）km；湖库、河口及近岸海域：面积（ ）km</w:t>
            </w:r>
            <w:r>
              <w:rPr>
                <w:rFonts w:ascii="Times New Roman" w:hAnsi="Times New Roman"/>
                <w:color w:val="auto"/>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预测因子</w:t>
            </w:r>
          </w:p>
        </w:tc>
        <w:tc>
          <w:tcPr>
            <w:tcW w:w="4232" w:type="pct"/>
            <w:gridSpan w:val="10"/>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预测时期</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丰水期</w:t>
            </w:r>
            <w:r>
              <w:rPr>
                <w:rFonts w:ascii="Times New Roman" w:hAnsi="Times New Roman"/>
                <w:color w:val="auto"/>
                <w:sz w:val="18"/>
                <w:szCs w:val="18"/>
              </w:rPr>
              <w:t>□</w:t>
            </w:r>
            <w:r>
              <w:rPr>
                <w:rFonts w:ascii="Times New Roman" w:hAnsi="Times New Roman"/>
                <w:color w:val="auto"/>
                <w:sz w:val="21"/>
              </w:rPr>
              <w:t xml:space="preserve">；平水期 </w:t>
            </w:r>
            <w:r>
              <w:rPr>
                <w:rFonts w:ascii="Times New Roman" w:hAnsi="Times New Roman"/>
                <w:color w:val="auto"/>
                <w:sz w:val="18"/>
                <w:szCs w:val="18"/>
              </w:rPr>
              <w:t>□</w:t>
            </w:r>
            <w:r>
              <w:rPr>
                <w:rFonts w:ascii="Times New Roman" w:hAnsi="Times New Roman"/>
                <w:color w:val="auto"/>
                <w:sz w:val="21"/>
              </w:rPr>
              <w:t xml:space="preserve">；枯水期 </w:t>
            </w:r>
            <w:r>
              <w:rPr>
                <w:rFonts w:ascii="Times New Roman" w:hAnsi="Times New Roman"/>
                <w:color w:val="auto"/>
                <w:sz w:val="18"/>
                <w:szCs w:val="18"/>
              </w:rPr>
              <w:t>□</w:t>
            </w:r>
            <w:r>
              <w:rPr>
                <w:rFonts w:ascii="Times New Roman" w:hAnsi="Times New Roman"/>
                <w:color w:val="auto"/>
                <w:sz w:val="21"/>
              </w:rPr>
              <w:t>；冰封期</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春季</w:t>
            </w:r>
            <w:r>
              <w:rPr>
                <w:rFonts w:ascii="Times New Roman" w:hAnsi="Times New Roman"/>
                <w:color w:val="auto"/>
                <w:sz w:val="18"/>
                <w:szCs w:val="18"/>
              </w:rPr>
              <w:t>□</w:t>
            </w:r>
            <w:r>
              <w:rPr>
                <w:rFonts w:ascii="Times New Roman" w:hAnsi="Times New Roman"/>
                <w:color w:val="auto"/>
                <w:sz w:val="21"/>
              </w:rPr>
              <w:t>；夏季</w:t>
            </w:r>
            <w:r>
              <w:rPr>
                <w:rFonts w:ascii="Times New Roman" w:hAnsi="Times New Roman"/>
                <w:color w:val="auto"/>
                <w:sz w:val="18"/>
                <w:szCs w:val="18"/>
              </w:rPr>
              <w:t>□</w:t>
            </w:r>
            <w:r>
              <w:rPr>
                <w:rFonts w:ascii="Times New Roman" w:hAnsi="Times New Roman"/>
                <w:color w:val="auto"/>
                <w:sz w:val="21"/>
              </w:rPr>
              <w:t xml:space="preserve">；秋季 </w:t>
            </w:r>
            <w:r>
              <w:rPr>
                <w:rFonts w:ascii="Times New Roman" w:hAnsi="Times New Roman"/>
                <w:color w:val="auto"/>
                <w:sz w:val="18"/>
                <w:szCs w:val="18"/>
              </w:rPr>
              <w:t>□</w:t>
            </w:r>
            <w:r>
              <w:rPr>
                <w:rFonts w:ascii="Times New Roman" w:hAnsi="Times New Roman"/>
                <w:color w:val="auto"/>
                <w:sz w:val="21"/>
              </w:rPr>
              <w:t xml:space="preserve">；冬季 </w:t>
            </w:r>
            <w:r>
              <w:rPr>
                <w:rFonts w:ascii="Times New Roman" w:hAnsi="Times New Roman"/>
                <w:color w:val="auto"/>
                <w:sz w:val="18"/>
                <w:szCs w:val="18"/>
              </w:rPr>
              <w:t>□</w:t>
            </w:r>
            <w:r>
              <w:rPr>
                <w:rFonts w:ascii="Times New Roman" w:hAnsi="Times New Roman"/>
                <w:color w:val="auto"/>
                <w:sz w:val="21"/>
              </w:rPr>
              <w:t>设计水文条件</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预测情景</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 xml:space="preserve">建设期 </w:t>
            </w:r>
            <w:r>
              <w:rPr>
                <w:rFonts w:ascii="Times New Roman" w:hAnsi="Times New Roman"/>
                <w:color w:val="auto"/>
                <w:sz w:val="18"/>
                <w:szCs w:val="18"/>
              </w:rPr>
              <w:t>□</w:t>
            </w:r>
            <w:r>
              <w:rPr>
                <w:rFonts w:ascii="Times New Roman" w:hAnsi="Times New Roman"/>
                <w:color w:val="auto"/>
                <w:sz w:val="21"/>
              </w:rPr>
              <w:t xml:space="preserve">；生产运行期 </w:t>
            </w:r>
            <w:r>
              <w:rPr>
                <w:rFonts w:ascii="Times New Roman" w:hAnsi="Times New Roman"/>
                <w:color w:val="auto"/>
                <w:sz w:val="18"/>
                <w:szCs w:val="18"/>
              </w:rPr>
              <w:t>□</w:t>
            </w:r>
            <w:r>
              <w:rPr>
                <w:rFonts w:ascii="Times New Roman" w:hAnsi="Times New Roman"/>
                <w:color w:val="auto"/>
                <w:sz w:val="21"/>
              </w:rPr>
              <w:t>；服务期满后</w:t>
            </w:r>
            <w:r>
              <w:rPr>
                <w:rFonts w:ascii="Times New Roman" w:hAnsi="Times New Roman"/>
                <w:color w:val="auto"/>
                <w:sz w:val="18"/>
                <w:szCs w:val="18"/>
              </w:rPr>
              <w:t>□</w:t>
            </w:r>
            <w:r>
              <w:rPr>
                <w:rFonts w:ascii="Times New Roman" w:hAnsi="Times New Roman"/>
                <w:color w:val="auto"/>
                <w:sz w:val="21"/>
              </w:rPr>
              <w:t xml:space="preserve">正常工况 </w:t>
            </w:r>
            <w:r>
              <w:rPr>
                <w:rFonts w:ascii="Times New Roman" w:hAnsi="Times New Roman"/>
                <w:color w:val="auto"/>
                <w:sz w:val="18"/>
                <w:szCs w:val="18"/>
              </w:rPr>
              <w:t>□</w:t>
            </w:r>
            <w:r>
              <w:rPr>
                <w:rFonts w:ascii="Times New Roman" w:hAnsi="Times New Roman"/>
                <w:color w:val="auto"/>
                <w:sz w:val="21"/>
              </w:rPr>
              <w:t>；非正常工况</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 xml:space="preserve">污染控制和减缓措施方案 </w:t>
            </w:r>
            <w:r>
              <w:rPr>
                <w:rFonts w:ascii="Times New Roman" w:hAnsi="Times New Roman"/>
                <w:color w:val="auto"/>
                <w:sz w:val="18"/>
                <w:szCs w:val="18"/>
              </w:rPr>
              <w:t>□</w:t>
            </w:r>
            <w:r>
              <w:rPr>
                <w:rFonts w:ascii="Times New Roman" w:hAnsi="Times New Roman"/>
                <w:color w:val="auto"/>
                <w:sz w:val="21"/>
              </w:rPr>
              <w:t>；区（流）域环境质量改善目标要求情景</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预测方法</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数值解</w:t>
            </w:r>
            <w:r>
              <w:rPr>
                <w:rFonts w:ascii="Times New Roman" w:hAnsi="Times New Roman"/>
                <w:color w:val="auto"/>
                <w:sz w:val="18"/>
                <w:szCs w:val="18"/>
              </w:rPr>
              <w:t>□</w:t>
            </w:r>
            <w:r>
              <w:rPr>
                <w:rFonts w:ascii="Times New Roman" w:hAnsi="Times New Roman"/>
                <w:color w:val="auto"/>
                <w:sz w:val="21"/>
              </w:rPr>
              <w:t>：解析解</w:t>
            </w:r>
            <w:r>
              <w:rPr>
                <w:rFonts w:ascii="Times New Roman" w:hAnsi="Times New Roman"/>
                <w:color w:val="auto"/>
                <w:sz w:val="18"/>
                <w:szCs w:val="18"/>
              </w:rPr>
              <w:t>□</w:t>
            </w:r>
            <w:r>
              <w:rPr>
                <w:rFonts w:ascii="Times New Roman" w:hAnsi="Times New Roman"/>
                <w:color w:val="auto"/>
                <w:sz w:val="21"/>
              </w:rPr>
              <w:t>；其他</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导则推荐模式</w:t>
            </w:r>
            <w:r>
              <w:rPr>
                <w:rFonts w:ascii="Times New Roman" w:hAnsi="Times New Roman"/>
                <w:color w:val="auto"/>
                <w:sz w:val="18"/>
                <w:szCs w:val="18"/>
              </w:rPr>
              <w:t>□</w:t>
            </w:r>
            <w:r>
              <w:rPr>
                <w:rFonts w:ascii="Times New Roman" w:hAnsi="Times New Roman"/>
                <w:color w:val="auto"/>
                <w:sz w:val="21"/>
              </w:rPr>
              <w:t>：其他</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影响评价</w:t>
            </w: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水污染控制和水环境影响减缓措施有效性评价</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区（流）域水环境质量改善目标</w:t>
            </w:r>
            <w:r>
              <w:rPr>
                <w:rFonts w:ascii="Times New Roman" w:hAnsi="Times New Roman"/>
                <w:color w:val="auto"/>
                <w:sz w:val="18"/>
                <w:szCs w:val="18"/>
              </w:rPr>
              <w:t>√</w:t>
            </w:r>
            <w:r>
              <w:rPr>
                <w:rFonts w:ascii="Times New Roman" w:hAnsi="Times New Roman"/>
                <w:color w:val="auto"/>
                <w:sz w:val="21"/>
              </w:rPr>
              <w:t>；替代削减源</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水环境影响评价</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排放口混合区外满足水环境管理要求</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水环境功能区或水功能区、近岸海域环境功能区水质达标</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满足水环境保护目标水域水环境质量要求</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 xml:space="preserve">水环境控制单元或断面水质达标 </w:t>
            </w:r>
            <w:r>
              <w:rPr>
                <w:rFonts w:ascii="Times New Roman" w:hAnsi="Times New Roman"/>
                <w:color w:val="auto"/>
                <w:sz w:val="18"/>
                <w:szCs w:val="18"/>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满足重点水污染物排放总量控制指标要求，重点行业建设项目，主要污染物排放满足等量或减量替代要求</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满足区（流）域水环境质量改善目标要求</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水文要素影响型建设项目同时应包括水文情势变化评价、主要水文特征值影响评价、生态流量符合性评价</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对于新设或调整入河（湖库、近岸海域）排放口的建设项目，应包括排放口设置的环境合理性评价</w:t>
            </w:r>
            <w:r>
              <w:rPr>
                <w:rFonts w:ascii="Times New Roman" w:hAnsi="Times New Roman"/>
                <w:color w:val="auto"/>
                <w:sz w:val="18"/>
                <w:szCs w:val="18"/>
              </w:rPr>
              <w:t>□</w:t>
            </w:r>
          </w:p>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满足生态保护红线、水环境质量底线、资源利用上线和环境准入清单管理要求</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污染源排放量核算</w:t>
            </w:r>
          </w:p>
        </w:tc>
        <w:tc>
          <w:tcPr>
            <w:tcW w:w="1279"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污染物名称</w:t>
            </w:r>
          </w:p>
        </w:tc>
        <w:tc>
          <w:tcPr>
            <w:tcW w:w="1691" w:type="pct"/>
            <w:gridSpan w:val="4"/>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排放量/（t/a）</w:t>
            </w:r>
          </w:p>
        </w:tc>
        <w:tc>
          <w:tcPr>
            <w:tcW w:w="1262"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p>
        </w:tc>
        <w:tc>
          <w:tcPr>
            <w:tcW w:w="1279"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r>
              <w:rPr>
                <w:rFonts w:ascii="Times New Roman" w:hAnsi="Times New Roman"/>
                <w:color w:val="auto"/>
                <w:sz w:val="21"/>
                <w:vertAlign w:val="subscript"/>
              </w:rPr>
              <w:t>Cr</w:t>
            </w:r>
          </w:p>
        </w:tc>
        <w:tc>
          <w:tcPr>
            <w:tcW w:w="1691" w:type="pct"/>
            <w:gridSpan w:val="4"/>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w:t>
            </w:r>
          </w:p>
        </w:tc>
        <w:tc>
          <w:tcPr>
            <w:tcW w:w="1262"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p>
        </w:tc>
        <w:tc>
          <w:tcPr>
            <w:tcW w:w="1279"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氨氮</w:t>
            </w:r>
          </w:p>
        </w:tc>
        <w:tc>
          <w:tcPr>
            <w:tcW w:w="1691" w:type="pct"/>
            <w:gridSpan w:val="4"/>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0.018</w:t>
            </w:r>
          </w:p>
        </w:tc>
        <w:tc>
          <w:tcPr>
            <w:tcW w:w="1262"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替代源排放情况</w:t>
            </w:r>
          </w:p>
        </w:tc>
        <w:tc>
          <w:tcPr>
            <w:tcW w:w="1279"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污染源名称</w:t>
            </w:r>
          </w:p>
        </w:tc>
        <w:tc>
          <w:tcPr>
            <w:tcW w:w="93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排污许可证编号</w:t>
            </w:r>
          </w:p>
        </w:tc>
        <w:tc>
          <w:tcPr>
            <w:tcW w:w="759" w:type="pct"/>
            <w:gridSpan w:val="3"/>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污染物名称</w:t>
            </w:r>
          </w:p>
        </w:tc>
        <w:tc>
          <w:tcPr>
            <w:tcW w:w="621" w:type="pct"/>
            <w:gridSpan w:val="2"/>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排放量/（t/a）</w:t>
            </w:r>
          </w:p>
        </w:tc>
        <w:tc>
          <w:tcPr>
            <w:tcW w:w="641"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1279" w:type="pct"/>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3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759" w:type="pct"/>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21"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64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生态流量确定</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生态流量：一般水期（）m</w:t>
            </w:r>
            <w:r>
              <w:rPr>
                <w:rFonts w:ascii="Times New Roman" w:hAnsi="Times New Roman"/>
                <w:color w:val="auto"/>
                <w:sz w:val="21"/>
                <w:vertAlign w:val="superscript"/>
              </w:rPr>
              <w:t>3</w:t>
            </w:r>
            <w:r>
              <w:rPr>
                <w:rFonts w:ascii="Times New Roman" w:hAnsi="Times New Roman"/>
                <w:color w:val="auto"/>
                <w:sz w:val="21"/>
              </w:rPr>
              <w:t>/s；鱼类繁殖期（）m</w:t>
            </w:r>
            <w:r>
              <w:rPr>
                <w:rFonts w:ascii="Times New Roman" w:hAnsi="Times New Roman"/>
                <w:color w:val="auto"/>
                <w:sz w:val="21"/>
                <w:vertAlign w:val="superscript"/>
              </w:rPr>
              <w:t>3</w:t>
            </w:r>
            <w:r>
              <w:rPr>
                <w:rFonts w:ascii="Times New Roman" w:hAnsi="Times New Roman"/>
                <w:color w:val="auto"/>
                <w:sz w:val="21"/>
              </w:rPr>
              <w:t>/s；其他（）m</w:t>
            </w:r>
            <w:r>
              <w:rPr>
                <w:rFonts w:ascii="Times New Roman" w:hAnsi="Times New Roman"/>
                <w:color w:val="auto"/>
                <w:sz w:val="21"/>
                <w:vertAlign w:val="superscript"/>
              </w:rPr>
              <w:t>3</w:t>
            </w:r>
            <w:r>
              <w:rPr>
                <w:rFonts w:ascii="Times New Roman" w:hAnsi="Times New Roman"/>
                <w:color w:val="auto"/>
                <w:sz w:val="21"/>
              </w:rPr>
              <w:t>/s</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生态水位：一般水期（）m；鱼类繁殖期（）m；其他（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防治措施</w:t>
            </w: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环保措施</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 xml:space="preserve">污水处理设施 </w:t>
            </w:r>
            <w:r>
              <w:rPr>
                <w:rFonts w:ascii="Times New Roman" w:hAnsi="Times New Roman"/>
                <w:color w:val="auto"/>
                <w:sz w:val="18"/>
                <w:szCs w:val="18"/>
              </w:rPr>
              <w:t>□</w:t>
            </w:r>
            <w:r>
              <w:rPr>
                <w:rFonts w:ascii="Times New Roman" w:hAnsi="Times New Roman"/>
                <w:color w:val="auto"/>
                <w:sz w:val="21"/>
              </w:rPr>
              <w:t>；水文减缓设施</w:t>
            </w:r>
            <w:r>
              <w:rPr>
                <w:rFonts w:ascii="Times New Roman" w:hAnsi="Times New Roman"/>
                <w:color w:val="auto"/>
                <w:sz w:val="18"/>
                <w:szCs w:val="18"/>
              </w:rPr>
              <w:t>□</w:t>
            </w:r>
            <w:r>
              <w:rPr>
                <w:rFonts w:ascii="Times New Roman" w:hAnsi="Times New Roman"/>
                <w:color w:val="auto"/>
                <w:sz w:val="21"/>
              </w:rPr>
              <w:t>；生态流量保障设施</w:t>
            </w:r>
            <w:r>
              <w:rPr>
                <w:rFonts w:ascii="Times New Roman" w:hAnsi="Times New Roman"/>
                <w:color w:val="auto"/>
                <w:sz w:val="18"/>
                <w:szCs w:val="18"/>
              </w:rPr>
              <w:t>□</w:t>
            </w:r>
            <w:r>
              <w:rPr>
                <w:rFonts w:ascii="Times New Roman" w:hAnsi="Times New Roman"/>
                <w:color w:val="auto"/>
                <w:sz w:val="21"/>
              </w:rPr>
              <w:t>；区域削减</w:t>
            </w:r>
            <w:r>
              <w:rPr>
                <w:rFonts w:ascii="Times New Roman" w:hAnsi="Times New Roman"/>
                <w:color w:val="auto"/>
                <w:sz w:val="18"/>
                <w:szCs w:val="18"/>
              </w:rPr>
              <w:t>□</w:t>
            </w:r>
            <w:r>
              <w:rPr>
                <w:rFonts w:ascii="Times New Roman" w:hAnsi="Times New Roman"/>
                <w:color w:val="auto"/>
                <w:sz w:val="21"/>
              </w:rPr>
              <w:t>；</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依托其他工程措施</w:t>
            </w:r>
            <w:r>
              <w:rPr>
                <w:rFonts w:ascii="Times New Roman" w:hAnsi="Times New Roman"/>
                <w:color w:val="auto"/>
                <w:sz w:val="18"/>
                <w:szCs w:val="18"/>
              </w:rPr>
              <w:t>√</w:t>
            </w:r>
            <w:r>
              <w:rPr>
                <w:rFonts w:ascii="Times New Roman" w:hAnsi="Times New Roman"/>
                <w:color w:val="auto"/>
                <w:sz w:val="21"/>
              </w:rPr>
              <w:t>；其他</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监测计划</w:t>
            </w:r>
          </w:p>
        </w:tc>
        <w:tc>
          <w:tcPr>
            <w:tcW w:w="657"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1705"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环境质量</w:t>
            </w:r>
          </w:p>
        </w:tc>
        <w:tc>
          <w:tcPr>
            <w:tcW w:w="1870" w:type="pct"/>
            <w:gridSpan w:val="4"/>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p>
        </w:tc>
        <w:tc>
          <w:tcPr>
            <w:tcW w:w="657"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监测方式</w:t>
            </w:r>
          </w:p>
        </w:tc>
        <w:tc>
          <w:tcPr>
            <w:tcW w:w="1705"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手动</w:t>
            </w:r>
            <w:r>
              <w:rPr>
                <w:rFonts w:ascii="Times New Roman" w:hAnsi="Times New Roman"/>
                <w:color w:val="auto"/>
                <w:sz w:val="18"/>
                <w:szCs w:val="18"/>
              </w:rPr>
              <w:t>□</w:t>
            </w:r>
            <w:r>
              <w:rPr>
                <w:rFonts w:ascii="Times New Roman" w:hAnsi="Times New Roman"/>
                <w:color w:val="auto"/>
                <w:sz w:val="21"/>
              </w:rPr>
              <w:t>；自动</w:t>
            </w:r>
            <w:r>
              <w:rPr>
                <w:rFonts w:ascii="Times New Roman" w:hAnsi="Times New Roman"/>
                <w:color w:val="auto"/>
                <w:sz w:val="18"/>
                <w:szCs w:val="18"/>
              </w:rPr>
              <w:t>□</w:t>
            </w:r>
            <w:r>
              <w:rPr>
                <w:rFonts w:ascii="Times New Roman" w:hAnsi="Times New Roman"/>
                <w:color w:val="auto"/>
                <w:sz w:val="21"/>
              </w:rPr>
              <w:t>；无监测</w:t>
            </w:r>
            <w:r>
              <w:rPr>
                <w:rFonts w:ascii="Times New Roman" w:hAnsi="Times New Roman"/>
                <w:color w:val="auto"/>
                <w:sz w:val="18"/>
                <w:szCs w:val="18"/>
              </w:rPr>
              <w:t>√</w:t>
            </w:r>
          </w:p>
        </w:tc>
        <w:tc>
          <w:tcPr>
            <w:tcW w:w="1870" w:type="pct"/>
            <w:gridSpan w:val="4"/>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手动√；自动</w:t>
            </w:r>
            <w:r>
              <w:rPr>
                <w:rFonts w:ascii="Times New Roman" w:hAnsi="Times New Roman"/>
                <w:color w:val="auto"/>
                <w:sz w:val="18"/>
                <w:szCs w:val="18"/>
              </w:rPr>
              <w:t>□</w:t>
            </w:r>
            <w:r>
              <w:rPr>
                <w:rFonts w:ascii="Times New Roman" w:hAnsi="Times New Roman"/>
                <w:color w:val="auto"/>
                <w:sz w:val="21"/>
              </w:rPr>
              <w:t>；无监测</w:t>
            </w:r>
            <w:r>
              <w:rPr>
                <w:rFonts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p>
        </w:tc>
        <w:tc>
          <w:tcPr>
            <w:tcW w:w="657"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监测点位</w:t>
            </w:r>
          </w:p>
        </w:tc>
        <w:tc>
          <w:tcPr>
            <w:tcW w:w="1705"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1870" w:type="pct"/>
            <w:gridSpan w:val="4"/>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企业排放口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p>
        </w:tc>
        <w:tc>
          <w:tcPr>
            <w:tcW w:w="657"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监测因子</w:t>
            </w:r>
          </w:p>
        </w:tc>
        <w:tc>
          <w:tcPr>
            <w:tcW w:w="1705" w:type="pct"/>
            <w:gridSpan w:val="5"/>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1870" w:type="pct"/>
            <w:gridSpan w:val="4"/>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r>
              <w:rPr>
                <w:rFonts w:ascii="Times New Roman" w:hAnsi="Times New Roman"/>
                <w:color w:val="auto"/>
                <w:sz w:val="21"/>
                <w:vertAlign w:val="subscript"/>
              </w:rPr>
              <w:t>Cr</w:t>
            </w:r>
            <w:r>
              <w:rPr>
                <w:rFonts w:ascii="Times New Roman" w:hAnsi="Times New Roman"/>
                <w:color w:val="auto"/>
                <w:sz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518"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污染物排放清单</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w:t>
            </w:r>
            <w:r>
              <w:rPr>
                <w:rFonts w:ascii="Times New Roman" w:hAnsi="Times New Roman"/>
                <w:color w:val="auto"/>
                <w:sz w:val="21"/>
                <w:vertAlign w:val="subscript"/>
              </w:rPr>
              <w:t>Cr</w:t>
            </w:r>
            <w:r>
              <w:rPr>
                <w:rFonts w:ascii="Times New Roman" w:hAnsi="Times New Roman"/>
                <w:color w:val="auto"/>
                <w:sz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gridSpan w:val="2"/>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评价结论</w:t>
            </w:r>
          </w:p>
        </w:tc>
        <w:tc>
          <w:tcPr>
            <w:tcW w:w="4232" w:type="pct"/>
            <w:gridSpan w:val="1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可以接受 √；不可以接受 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2"/>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注：“口”为勾选项，可√；“（）”为内容填写项；“备注”为其他补充内容。</w:t>
            </w:r>
          </w:p>
        </w:tc>
      </w:tr>
    </w:tbl>
    <w:p>
      <w:pPr>
        <w:pStyle w:val="4"/>
        <w:numPr>
          <w:ilvl w:val="0"/>
          <w:numId w:val="31"/>
        </w:numPr>
        <w:spacing w:beforeLines="0"/>
        <w:rPr>
          <w:rFonts w:ascii="Times New Roman" w:hAnsi="Times New Roman"/>
          <w:color w:val="auto"/>
          <w:sz w:val="24"/>
          <w:szCs w:val="24"/>
        </w:rPr>
      </w:pPr>
      <w:r>
        <w:rPr>
          <w:rFonts w:ascii="Times New Roman" w:hAnsi="Times New Roman"/>
          <w:color w:val="auto"/>
          <w:sz w:val="24"/>
          <w:szCs w:val="24"/>
        </w:rPr>
        <w:t>地下水环境影响分析</w:t>
      </w:r>
    </w:p>
    <w:p>
      <w:pPr>
        <w:ind w:firstLine="482"/>
        <w:rPr>
          <w:rFonts w:ascii="Times New Roman" w:hAnsi="Times New Roman"/>
          <w:b/>
          <w:color w:val="auto"/>
        </w:rPr>
      </w:pPr>
      <w:r>
        <w:rPr>
          <w:rFonts w:ascii="Times New Roman" w:hAnsi="Times New Roman"/>
          <w:b/>
          <w:color w:val="auto"/>
        </w:rPr>
        <w:t>1、评价等级确定</w:t>
      </w:r>
    </w:p>
    <w:p>
      <w:pPr>
        <w:ind w:firstLine="480"/>
        <w:rPr>
          <w:rFonts w:ascii="Times New Roman" w:hAnsi="Times New Roman"/>
          <w:color w:val="auto"/>
        </w:rPr>
      </w:pPr>
      <w:r>
        <w:rPr>
          <w:rFonts w:ascii="Times New Roman" w:hAnsi="Times New Roman"/>
          <w:color w:val="auto"/>
        </w:rPr>
        <w:t>根据《环境影响评价技术导则 地下水环境》（HJ610-2016），地下水环境评价工作等级的划分依据建设项目行业分类和地下水环境敏感程度分级进行判定。</w:t>
      </w:r>
    </w:p>
    <w:p>
      <w:pPr>
        <w:spacing w:line="240" w:lineRule="auto"/>
        <w:ind w:firstLine="0" w:firstLineChars="0"/>
        <w:jc w:val="center"/>
        <w:rPr>
          <w:rFonts w:ascii="Times New Roman" w:hAnsi="Times New Roman"/>
          <w:b/>
          <w:color w:val="auto"/>
          <w:sz w:val="21"/>
        </w:rPr>
      </w:pPr>
      <w:r>
        <w:rPr>
          <w:rFonts w:ascii="Times New Roman" w:hAnsi="Times New Roman"/>
          <w:b/>
          <w:color w:val="auto"/>
          <w:sz w:val="21"/>
        </w:rPr>
        <w:t>表5-</w:t>
      </w:r>
      <w:r>
        <w:rPr>
          <w:rFonts w:hint="eastAsia" w:ascii="Times New Roman" w:hAnsi="Times New Roman"/>
          <w:b/>
          <w:color w:val="auto"/>
          <w:sz w:val="21"/>
        </w:rPr>
        <w:t>31</w:t>
      </w:r>
      <w:r>
        <w:rPr>
          <w:rFonts w:ascii="Times New Roman" w:hAnsi="Times New Roman"/>
          <w:b/>
          <w:color w:val="auto"/>
          <w:sz w:val="21"/>
        </w:rPr>
        <w:t xml:space="preserve"> 评价工作等级分级表</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2" w:type="dxa"/>
            <w:tcBorders>
              <w:tl2br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right"/>
              <w:rPr>
                <w:rFonts w:ascii="Times New Roman" w:hAnsi="Times New Roman"/>
                <w:color w:val="auto"/>
                <w:sz w:val="21"/>
              </w:rPr>
            </w:pPr>
            <w:r>
              <w:rPr>
                <w:rFonts w:ascii="Times New Roman" w:hAnsi="Times New Roman"/>
                <w:color w:val="auto"/>
                <w:sz w:val="21"/>
              </w:rPr>
              <w:t>项目类别</w:t>
            </w:r>
          </w:p>
          <w:p>
            <w:pPr>
              <w:keepNext w:val="0"/>
              <w:keepLines w:val="0"/>
              <w:suppressLineNumbers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环境敏感程度</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Ⅰ</w:t>
            </w:r>
            <w:r>
              <w:rPr>
                <w:rFonts w:ascii="Times New Roman" w:hAnsi="Times New Roman"/>
                <w:color w:val="auto"/>
                <w:sz w:val="21"/>
              </w:rPr>
              <w:t>类项目</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Ⅱ</w:t>
            </w:r>
            <w:r>
              <w:rPr>
                <w:rFonts w:ascii="Times New Roman" w:hAnsi="Times New Roman"/>
                <w:color w:val="auto"/>
                <w:sz w:val="21"/>
              </w:rPr>
              <w:t>类项目</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r>
              <w:rPr>
                <w:rFonts w:ascii="Times New Roman" w:hAnsi="Times New Roman"/>
                <w:color w:val="auto"/>
                <w:sz w:val="21"/>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敏感</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较敏感</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一</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二</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不敏感</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二</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三</w:t>
            </w:r>
          </w:p>
        </w:tc>
        <w:tc>
          <w:tcPr>
            <w:tcW w:w="213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三</w:t>
            </w:r>
          </w:p>
        </w:tc>
      </w:tr>
    </w:tbl>
    <w:p>
      <w:pPr>
        <w:ind w:firstLine="480"/>
        <w:rPr>
          <w:rFonts w:ascii="Times New Roman" w:hAnsi="Times New Roman"/>
          <w:color w:val="auto"/>
        </w:rPr>
      </w:pPr>
      <w:r>
        <w:rPr>
          <w:rFonts w:ascii="Times New Roman" w:hAnsi="Times New Roman"/>
          <w:color w:val="auto"/>
        </w:rPr>
        <w:t>项目周边不存在涉及地下水的环境敏感区，项目类别属</w:t>
      </w:r>
      <w:r>
        <w:rPr>
          <w:rFonts w:hint="eastAsia" w:ascii="Times New Roman" w:hAnsi="Times New Roman" w:cs="宋体"/>
          <w:color w:val="auto"/>
          <w:szCs w:val="24"/>
        </w:rPr>
        <w:t>Ⅲ</w:t>
      </w:r>
      <w:r>
        <w:rPr>
          <w:rFonts w:ascii="Times New Roman" w:hAnsi="Times New Roman"/>
          <w:color w:val="auto"/>
        </w:rPr>
        <w:t>类。因此确定地下水环境评价工作等级定为三级。</w:t>
      </w:r>
    </w:p>
    <w:p>
      <w:pPr>
        <w:ind w:firstLine="482"/>
        <w:rPr>
          <w:rFonts w:ascii="Times New Roman" w:hAnsi="Times New Roman"/>
          <w:b/>
          <w:color w:val="auto"/>
        </w:rPr>
      </w:pPr>
      <w:r>
        <w:rPr>
          <w:rFonts w:ascii="Times New Roman" w:hAnsi="Times New Roman"/>
          <w:b/>
          <w:color w:val="auto"/>
        </w:rPr>
        <w:t>2、地下水影响分析</w:t>
      </w:r>
    </w:p>
    <w:p>
      <w:pPr>
        <w:pStyle w:val="19"/>
        <w:adjustRightInd/>
        <w:snapToGrid/>
        <w:spacing w:line="360" w:lineRule="auto"/>
        <w:ind w:firstLine="482"/>
        <w:rPr>
          <w:rFonts w:ascii="Times New Roman" w:eastAsia="宋体"/>
          <w:b/>
          <w:color w:val="auto"/>
          <w:sz w:val="24"/>
        </w:rPr>
      </w:pPr>
      <w:r>
        <w:rPr>
          <w:rFonts w:ascii="Times New Roman" w:eastAsia="宋体"/>
          <w:b/>
          <w:color w:val="auto"/>
          <w:sz w:val="24"/>
        </w:rPr>
        <w:t>（1）地下水污染源类型</w:t>
      </w:r>
    </w:p>
    <w:p>
      <w:pPr>
        <w:pStyle w:val="19"/>
        <w:adjustRightInd/>
        <w:snapToGrid/>
        <w:spacing w:line="360" w:lineRule="auto"/>
        <w:ind w:firstLine="480"/>
        <w:rPr>
          <w:rFonts w:ascii="Times New Roman" w:eastAsia="宋体"/>
          <w:color w:val="auto"/>
          <w:sz w:val="24"/>
        </w:rPr>
      </w:pPr>
      <w:r>
        <w:rPr>
          <w:rFonts w:ascii="Times New Roman" w:eastAsia="宋体"/>
          <w:color w:val="auto"/>
          <w:sz w:val="24"/>
        </w:rPr>
        <w:t>项目生产过程中，对地下水环境可能造成影响的污染源主要是污染物为废水。</w:t>
      </w:r>
    </w:p>
    <w:p>
      <w:pPr>
        <w:pStyle w:val="19"/>
        <w:adjustRightInd/>
        <w:snapToGrid/>
        <w:spacing w:line="360" w:lineRule="auto"/>
        <w:ind w:firstLine="482"/>
        <w:rPr>
          <w:rFonts w:ascii="Times New Roman" w:eastAsia="宋体"/>
          <w:b/>
          <w:color w:val="auto"/>
          <w:sz w:val="24"/>
        </w:rPr>
      </w:pPr>
      <w:r>
        <w:rPr>
          <w:rFonts w:ascii="Times New Roman" w:eastAsia="宋体"/>
          <w:b/>
          <w:color w:val="auto"/>
          <w:sz w:val="24"/>
        </w:rPr>
        <w:t>（2）污染途径分析</w:t>
      </w:r>
    </w:p>
    <w:p>
      <w:pPr>
        <w:pStyle w:val="19"/>
        <w:adjustRightInd/>
        <w:snapToGrid/>
        <w:spacing w:line="360" w:lineRule="auto"/>
        <w:ind w:firstLine="480"/>
        <w:rPr>
          <w:rFonts w:ascii="Times New Roman" w:eastAsia="宋体"/>
          <w:color w:val="auto"/>
          <w:sz w:val="24"/>
        </w:rPr>
      </w:pPr>
      <w:r>
        <w:rPr>
          <w:rFonts w:ascii="Times New Roman" w:eastAsia="宋体"/>
          <w:color w:val="auto"/>
          <w:sz w:val="24"/>
        </w:rPr>
        <w:t>对地下水产生污染的途径主要有两种方式，即渗透污染和穿透污染途径。</w:t>
      </w:r>
    </w:p>
    <w:p>
      <w:pPr>
        <w:pStyle w:val="19"/>
        <w:adjustRightInd/>
        <w:snapToGrid/>
        <w:spacing w:line="360" w:lineRule="auto"/>
        <w:ind w:firstLine="480"/>
        <w:rPr>
          <w:rFonts w:ascii="Times New Roman" w:eastAsia="宋体"/>
          <w:color w:val="auto"/>
          <w:sz w:val="24"/>
        </w:rPr>
      </w:pPr>
      <w:r>
        <w:rPr>
          <w:rFonts w:hint="eastAsia" w:ascii="Times New Roman" w:eastAsia="宋体" w:cs="宋体"/>
          <w:color w:val="auto"/>
          <w:sz w:val="24"/>
        </w:rPr>
        <w:t>①</w:t>
      </w:r>
      <w:r>
        <w:rPr>
          <w:rFonts w:ascii="Times New Roman" w:eastAsia="宋体"/>
          <w:color w:val="auto"/>
          <w:sz w:val="24"/>
        </w:rPr>
        <w:t xml:space="preserve"> 渗透污染：是导致地下水污染的普遍和主要方式。废水的跑、冒、滴、漏等，都是通过包气带渗透到潜水含水层而污染地下水的。包气带厚度愈薄，透水性愈好，就愈造成潜水污染，反之，包气带愈厚、透水性愈差，则其隔污能力就愈强，则潜水污染就愈轻。</w:t>
      </w:r>
    </w:p>
    <w:p>
      <w:pPr>
        <w:pStyle w:val="19"/>
        <w:adjustRightInd/>
        <w:snapToGrid/>
        <w:spacing w:line="360" w:lineRule="auto"/>
        <w:ind w:firstLine="480"/>
        <w:rPr>
          <w:rFonts w:ascii="Times New Roman" w:eastAsia="宋体"/>
          <w:color w:val="auto"/>
          <w:sz w:val="24"/>
        </w:rPr>
      </w:pPr>
      <w:r>
        <w:rPr>
          <w:rFonts w:hint="eastAsia" w:ascii="Times New Roman" w:eastAsia="宋体" w:cs="宋体"/>
          <w:color w:val="auto"/>
          <w:sz w:val="24"/>
        </w:rPr>
        <w:t>②</w:t>
      </w:r>
      <w:r>
        <w:rPr>
          <w:rFonts w:ascii="Times New Roman" w:eastAsia="宋体"/>
          <w:color w:val="auto"/>
          <w:sz w:val="24"/>
        </w:rPr>
        <w:t xml:space="preserve"> 穿透污染：以该种方式污染地下水的主要是污泥。在潜水含水层埋藏浅的地区，污泥一但切穿潜水层，且又不采取防渗措施时，势必造成泥浆渗漏，导致污染物直接进入潜水含水层，污染潜水。</w:t>
      </w:r>
    </w:p>
    <w:p>
      <w:pPr>
        <w:pStyle w:val="19"/>
        <w:adjustRightInd/>
        <w:snapToGrid/>
        <w:spacing w:line="360" w:lineRule="auto"/>
        <w:ind w:firstLine="496"/>
        <w:rPr>
          <w:rFonts w:ascii="Times New Roman" w:eastAsia="宋体"/>
          <w:color w:val="auto"/>
          <w:sz w:val="24"/>
        </w:rPr>
      </w:pPr>
      <w:r>
        <w:rPr>
          <w:rFonts w:ascii="Times New Roman" w:eastAsia="宋体"/>
          <w:color w:val="auto"/>
          <w:spacing w:val="4"/>
          <w:sz w:val="24"/>
        </w:rPr>
        <w:t>项目</w:t>
      </w:r>
      <w:r>
        <w:rPr>
          <w:rFonts w:hint="eastAsia" w:ascii="Times New Roman" w:eastAsia="宋体"/>
          <w:color w:val="auto"/>
          <w:spacing w:val="4"/>
          <w:sz w:val="24"/>
        </w:rPr>
        <w:t>生活</w:t>
      </w:r>
      <w:r>
        <w:rPr>
          <w:rFonts w:ascii="Times New Roman" w:eastAsia="宋体"/>
          <w:color w:val="auto"/>
          <w:spacing w:val="4"/>
          <w:sz w:val="24"/>
        </w:rPr>
        <w:t>污水经</w:t>
      </w:r>
      <w:r>
        <w:rPr>
          <w:rFonts w:hint="eastAsia" w:ascii="Times New Roman" w:eastAsia="宋体"/>
          <w:color w:val="auto"/>
          <w:spacing w:val="4"/>
          <w:sz w:val="24"/>
        </w:rPr>
        <w:t>厂区化粪池预处理后纳管排放</w:t>
      </w:r>
      <w:r>
        <w:rPr>
          <w:rFonts w:ascii="Times New Roman" w:eastAsia="宋体"/>
          <w:color w:val="auto"/>
          <w:spacing w:val="4"/>
          <w:sz w:val="24"/>
        </w:rPr>
        <w:t>，因此项目对地下水可能存在的污染主要来自穿透污染。</w:t>
      </w:r>
    </w:p>
    <w:p>
      <w:pPr>
        <w:pStyle w:val="19"/>
        <w:adjustRightInd/>
        <w:snapToGrid/>
        <w:spacing w:line="360" w:lineRule="auto"/>
        <w:ind w:firstLine="482"/>
        <w:rPr>
          <w:rFonts w:ascii="Times New Roman" w:eastAsia="宋体"/>
          <w:b/>
          <w:color w:val="auto"/>
          <w:sz w:val="24"/>
        </w:rPr>
      </w:pPr>
      <w:r>
        <w:rPr>
          <w:rFonts w:ascii="Times New Roman" w:eastAsia="宋体"/>
          <w:b/>
          <w:color w:val="auto"/>
          <w:sz w:val="24"/>
        </w:rPr>
        <w:t>（3）环境影响</w:t>
      </w:r>
      <w:r>
        <w:rPr>
          <w:rFonts w:hint="eastAsia" w:ascii="Times New Roman" w:eastAsia="宋体"/>
          <w:b/>
          <w:color w:val="auto"/>
          <w:sz w:val="24"/>
        </w:rPr>
        <w:t>预测</w:t>
      </w:r>
      <w:r>
        <w:rPr>
          <w:rFonts w:ascii="Times New Roman" w:eastAsia="宋体"/>
          <w:b/>
          <w:color w:val="auto"/>
          <w:sz w:val="24"/>
        </w:rPr>
        <w:t>分析</w:t>
      </w:r>
    </w:p>
    <w:p>
      <w:pPr>
        <w:ind w:firstLine="480"/>
        <w:rPr>
          <w:rFonts w:ascii="Times New Roman" w:hAnsi="Times New Roman"/>
          <w:color w:val="auto"/>
        </w:rPr>
      </w:pPr>
      <w:r>
        <w:rPr>
          <w:rFonts w:ascii="Times New Roman" w:hAnsi="Times New Roman"/>
          <w:color w:val="auto"/>
        </w:rPr>
        <w:t>根据相关资料，该企业地下水类型为潜水含水层，对地下水影响仅能波及浅部的松散岩类孔隙潜水含水层，现有的填土，孔隙较粗大，土质极不均，透水性好。场地地下水埋深浅，水力坡度平缓，地下水主要向东流向瓯江。</w:t>
      </w:r>
    </w:p>
    <w:p>
      <w:pPr>
        <w:ind w:firstLine="480"/>
        <w:rPr>
          <w:rFonts w:ascii="Times New Roman" w:hAnsi="Times New Roman"/>
          <w:color w:val="auto"/>
        </w:rPr>
      </w:pPr>
      <w:r>
        <w:rPr>
          <w:rFonts w:ascii="Times New Roman" w:hAnsi="Times New Roman"/>
          <w:color w:val="auto"/>
        </w:rPr>
        <w:t>根据不同分区，采取不同的防渗要求，防渗措施到位，正常状况下，对地下水环境不会造成影响。</w:t>
      </w:r>
    </w:p>
    <w:p>
      <w:pPr>
        <w:ind w:firstLine="480"/>
        <w:rPr>
          <w:rFonts w:ascii="Times New Roman" w:hAnsi="Times New Roman"/>
          <w:color w:val="auto"/>
        </w:rPr>
      </w:pPr>
      <w:r>
        <w:rPr>
          <w:rFonts w:ascii="Times New Roman" w:hAnsi="Times New Roman"/>
          <w:color w:val="auto"/>
        </w:rPr>
        <w:t>非正常状况下，项目防渗措施老化导致防渗层破裂等原因，污染物可能进入地下水，项目对地下水环境将造成一定的影响。</w:t>
      </w:r>
    </w:p>
    <w:p>
      <w:pPr>
        <w:ind w:firstLine="480"/>
        <w:rPr>
          <w:rFonts w:ascii="Times New Roman" w:hAnsi="Times New Roman"/>
          <w:color w:val="auto"/>
        </w:rPr>
      </w:pPr>
      <w:r>
        <w:rPr>
          <w:rFonts w:ascii="Times New Roman" w:hAnsi="Times New Roman"/>
          <w:color w:val="auto"/>
        </w:rPr>
        <w:t>①预测原则</w:t>
      </w:r>
    </w:p>
    <w:p>
      <w:pPr>
        <w:ind w:firstLine="480"/>
        <w:rPr>
          <w:rFonts w:ascii="Times New Roman" w:hAnsi="Times New Roman"/>
          <w:color w:val="auto"/>
        </w:rPr>
      </w:pPr>
      <w:r>
        <w:rPr>
          <w:rFonts w:ascii="Times New Roman" w:hAnsi="Times New Roman"/>
          <w:color w:val="auto"/>
        </w:rPr>
        <w:t>根据《环境影响评价技术导则 地下水环境》（HJ610-2016）的规定，确定本项目地下水评价等级为三级，项目地下水环境影响预测应遵循《环境影响评价技术导则 地下水环境》（HJ610-2016）确定的原则进行。</w:t>
      </w:r>
    </w:p>
    <w:p>
      <w:pPr>
        <w:ind w:firstLine="480"/>
        <w:rPr>
          <w:rFonts w:ascii="Times New Roman" w:hAnsi="Times New Roman"/>
          <w:color w:val="auto"/>
        </w:rPr>
      </w:pPr>
      <w:r>
        <w:rPr>
          <w:rFonts w:ascii="Times New Roman" w:hAnsi="Times New Roman"/>
          <w:color w:val="auto"/>
        </w:rPr>
        <w:t>②预测因子</w:t>
      </w:r>
    </w:p>
    <w:p>
      <w:pPr>
        <w:ind w:firstLine="480"/>
        <w:rPr>
          <w:rFonts w:ascii="Times New Roman" w:hAnsi="Times New Roman"/>
          <w:color w:val="auto"/>
        </w:rPr>
      </w:pPr>
      <w:r>
        <w:rPr>
          <w:rFonts w:ascii="Times New Roman" w:hAnsi="Times New Roman"/>
          <w:color w:val="auto"/>
        </w:rPr>
        <w:t>根据工程分析可知，本项目生产过程中生产废水中主要污染因子中COD的浓度较大，因此，本项目选取COD作为预测因子。</w:t>
      </w:r>
    </w:p>
    <w:p>
      <w:pPr>
        <w:ind w:firstLine="480"/>
        <w:rPr>
          <w:rFonts w:ascii="Times New Roman" w:hAnsi="Times New Roman"/>
          <w:color w:val="auto"/>
        </w:rPr>
      </w:pPr>
      <w:r>
        <w:rPr>
          <w:rFonts w:ascii="Times New Roman" w:hAnsi="Times New Roman"/>
          <w:color w:val="auto"/>
        </w:rPr>
        <w:t>③预测方法</w:t>
      </w:r>
    </w:p>
    <w:p>
      <w:pPr>
        <w:ind w:firstLine="480"/>
        <w:rPr>
          <w:rFonts w:ascii="Times New Roman" w:hAnsi="Times New Roman"/>
          <w:color w:val="auto"/>
        </w:rPr>
      </w:pPr>
      <w:r>
        <w:rPr>
          <w:rFonts w:ascii="Times New Roman" w:hAnsi="Times New Roman"/>
          <w:color w:val="auto"/>
        </w:rPr>
        <w:t>根据《环境影响评价技术导则 地下水环境》（HJ610-2016）的规定，确定本项目地下水评价等级为三级，三级评价可采用解析法或类比分析法。本次评价方法采用解析法。</w:t>
      </w:r>
    </w:p>
    <w:p>
      <w:pPr>
        <w:ind w:firstLine="480"/>
        <w:rPr>
          <w:rFonts w:ascii="Times New Roman" w:hAnsi="Times New Roman"/>
          <w:color w:val="auto"/>
        </w:rPr>
      </w:pPr>
      <w:r>
        <w:rPr>
          <w:rFonts w:ascii="Times New Roman" w:hAnsi="Times New Roman"/>
          <w:color w:val="auto"/>
        </w:rPr>
        <w:t>④水质污染预测模型的建立</w:t>
      </w:r>
    </w:p>
    <w:p>
      <w:pPr>
        <w:ind w:firstLine="480"/>
        <w:rPr>
          <w:rFonts w:ascii="Times New Roman" w:hAnsi="Times New Roman"/>
          <w:color w:val="auto"/>
        </w:rPr>
      </w:pPr>
      <w:r>
        <w:rPr>
          <w:rFonts w:ascii="Times New Roman" w:hAnsi="Times New Roman"/>
          <w:color w:val="auto"/>
        </w:rPr>
        <w:t>水动力弥散以平行地下水流动的方向为x轴正方向（纵向），垂直于地下水流向为y轴，由于y轴方向污染物在此方向运移很小，因此只预测沿地下水水流方向污染物运移情况。</w:t>
      </w:r>
    </w:p>
    <w:p>
      <w:pPr>
        <w:ind w:firstLine="480"/>
        <w:rPr>
          <w:rFonts w:ascii="Times New Roman" w:hAnsi="Times New Roman"/>
          <w:color w:val="auto"/>
        </w:rPr>
      </w:pPr>
      <w:r>
        <w:rPr>
          <w:rFonts w:ascii="Times New Roman" w:hAnsi="Times New Roman"/>
          <w:color w:val="auto"/>
        </w:rPr>
        <w:t>当污水处理站发生渗漏时，不考虑包气带防污性能，取污染物原始浓度随污水沿垂直方向直接进入到含水层进行预测，本项目所在区域并没有集中型供水水源地，地下水位动态稳定，因此，根据不同工况下污染物在含水层中的迁移可采用不同模型进行概化。正常情况下，污染物发生“跑、冒、滴、漏”是无法进行全面控制的，因此污染物运移可概化为：一维半无限多孔介质柱体、示踪剂瞬时注入的一维稳定流动一维水动力弥散问题。</w:t>
      </w:r>
    </w:p>
    <w:p>
      <w:pPr>
        <w:ind w:firstLine="480"/>
        <w:rPr>
          <w:rFonts w:ascii="Times New Roman" w:hAnsi="Times New Roman"/>
          <w:color w:val="auto"/>
        </w:rPr>
      </w:pPr>
      <w:r>
        <w:rPr>
          <w:rFonts w:ascii="Times New Roman" w:hAnsi="Times New Roman"/>
          <w:color w:val="auto"/>
        </w:rPr>
        <w:t>示踪剂瞬间（非正常状况下）注入的一维稳定流动一维水动力弥散问题取平行地下水流动的方向为x轴正方向，则求取污染物浓度分布的模型如下：</w:t>
      </w:r>
    </w:p>
    <w:p>
      <w:pPr>
        <w:ind w:firstLine="480"/>
        <w:jc w:val="center"/>
        <w:rPr>
          <w:color w:val="auto"/>
        </w:rPr>
      </w:pPr>
      <w:r>
        <w:rPr>
          <w:color w:val="auto"/>
        </w:rPr>
        <w:drawing>
          <wp:inline distT="0" distB="0" distL="0" distR="0">
            <wp:extent cx="2809875" cy="639445"/>
            <wp:effectExtent l="19050" t="0" r="9525" b="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noChangeArrowheads="1"/>
                    </pic:cNvPicPr>
                  </pic:nvPicPr>
                  <pic:blipFill>
                    <a:blip r:embed="rId52" cstate="print"/>
                    <a:srcRect/>
                    <a:stretch>
                      <a:fillRect/>
                    </a:stretch>
                  </pic:blipFill>
                  <pic:spPr>
                    <a:xfrm>
                      <a:off x="0" y="0"/>
                      <a:ext cx="2808774" cy="639497"/>
                    </a:xfrm>
                    <a:prstGeom prst="rect">
                      <a:avLst/>
                    </a:prstGeom>
                    <a:noFill/>
                    <a:ln w="9525">
                      <a:noFill/>
                      <a:miter lim="800000"/>
                      <a:headEnd/>
                      <a:tailEnd/>
                    </a:ln>
                  </pic:spPr>
                </pic:pic>
              </a:graphicData>
            </a:graphic>
          </wp:inline>
        </w:drawing>
      </w:r>
    </w:p>
    <w:p>
      <w:pPr>
        <w:ind w:firstLine="480"/>
        <w:jc w:val="center"/>
        <w:rPr>
          <w:color w:val="auto"/>
        </w:rPr>
      </w:pPr>
      <w:r>
        <w:rPr>
          <w:color w:val="auto"/>
        </w:rPr>
        <w:drawing>
          <wp:inline distT="0" distB="0" distL="0" distR="0">
            <wp:extent cx="2763520" cy="2011680"/>
            <wp:effectExtent l="19050" t="0" r="0"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noChangeArrowheads="1"/>
                    </pic:cNvPicPr>
                  </pic:nvPicPr>
                  <pic:blipFill>
                    <a:blip r:embed="rId53" cstate="print"/>
                    <a:srcRect/>
                    <a:stretch>
                      <a:fillRect/>
                    </a:stretch>
                  </pic:blipFill>
                  <pic:spPr>
                    <a:xfrm>
                      <a:off x="0" y="0"/>
                      <a:ext cx="2763880" cy="2011806"/>
                    </a:xfrm>
                    <a:prstGeom prst="rect">
                      <a:avLst/>
                    </a:prstGeom>
                    <a:noFill/>
                    <a:ln w="9525">
                      <a:noFill/>
                      <a:miter lim="800000"/>
                      <a:headEnd/>
                      <a:tailEnd/>
                    </a:ln>
                  </pic:spPr>
                </pic:pic>
              </a:graphicData>
            </a:graphic>
          </wp:inline>
        </w:drawing>
      </w:r>
    </w:p>
    <w:p>
      <w:pPr>
        <w:ind w:firstLine="480"/>
        <w:jc w:val="center"/>
        <w:rPr>
          <w:color w:val="auto"/>
        </w:rPr>
      </w:pPr>
    </w:p>
    <w:p>
      <w:pPr>
        <w:ind w:firstLine="480"/>
        <w:rPr>
          <w:rFonts w:ascii="Times New Roman" w:hAnsi="Times New Roman"/>
          <w:color w:val="auto"/>
        </w:rPr>
      </w:pPr>
      <w:r>
        <w:rPr>
          <w:rFonts w:ascii="Times New Roman" w:hAnsi="Times New Roman"/>
          <w:color w:val="auto"/>
        </w:rPr>
        <w:t>⑤水质污染模型参数选取</w:t>
      </w:r>
    </w:p>
    <w:p>
      <w:pPr>
        <w:ind w:firstLine="480"/>
        <w:rPr>
          <w:rFonts w:ascii="Times New Roman" w:hAnsi="Times New Roman"/>
          <w:color w:val="auto"/>
        </w:rPr>
      </w:pPr>
      <w:r>
        <w:rPr>
          <w:rFonts w:ascii="Times New Roman" w:hAnsi="Times New Roman"/>
          <w:color w:val="auto"/>
        </w:rPr>
        <w:t>利用所选取的污染物迁移模型，能否达到对污染物迁移过程的合理预测，关键就在于模型参数的选取和确定是否正确合理。项目污染物运移模型参数的确定如下：</w:t>
      </w:r>
    </w:p>
    <w:p>
      <w:pPr>
        <w:ind w:firstLine="480"/>
        <w:rPr>
          <w:rFonts w:ascii="Times New Roman" w:hAnsi="Times New Roman"/>
          <w:color w:val="auto"/>
        </w:rPr>
      </w:pPr>
      <w:r>
        <w:rPr>
          <w:rFonts w:ascii="Times New Roman" w:hAnsi="Times New Roman"/>
          <w:color w:val="auto"/>
        </w:rPr>
        <w:t>污染源强C：根据工程分析可知，对COD取值为</w:t>
      </w:r>
      <w:r>
        <w:rPr>
          <w:rFonts w:hint="eastAsia" w:ascii="Times New Roman" w:hAnsi="Times New Roman"/>
          <w:color w:val="auto"/>
        </w:rPr>
        <w:t>5</w:t>
      </w:r>
      <w:r>
        <w:rPr>
          <w:rFonts w:ascii="Times New Roman" w:hAnsi="Times New Roman"/>
          <w:color w:val="auto"/>
        </w:rPr>
        <w:t>00mg/L。本次评价从最不利角度，忽略包气带对渗滤液的吸附阻滞作用及集水区对渗滤液的稀释作用。</w:t>
      </w:r>
    </w:p>
    <w:p>
      <w:pPr>
        <w:ind w:firstLine="480"/>
        <w:rPr>
          <w:rFonts w:ascii="Times New Roman" w:hAnsi="Times New Roman"/>
          <w:color w:val="auto"/>
        </w:rPr>
      </w:pPr>
      <w:r>
        <w:rPr>
          <w:rFonts w:ascii="Times New Roman" w:hAnsi="Times New Roman"/>
          <w:color w:val="auto"/>
        </w:rPr>
        <w:t>时间t：即假定污染物发生泄漏到污染源处理完毕不再发生污染的时间。</w:t>
      </w:r>
    </w:p>
    <w:p>
      <w:pPr>
        <w:ind w:firstLine="480"/>
        <w:rPr>
          <w:rFonts w:ascii="Times New Roman" w:hAnsi="Times New Roman"/>
          <w:color w:val="auto"/>
        </w:rPr>
      </w:pPr>
      <w:r>
        <w:rPr>
          <w:rFonts w:ascii="Times New Roman" w:hAnsi="Times New Roman"/>
          <w:color w:val="auto"/>
        </w:rPr>
        <w:t>地下水流速u：水流速度v=0.1m/d。</w:t>
      </w:r>
    </w:p>
    <w:p>
      <w:pPr>
        <w:ind w:firstLine="480"/>
        <w:rPr>
          <w:rFonts w:ascii="Times New Roman" w:hAnsi="Times New Roman"/>
          <w:color w:val="auto"/>
        </w:rPr>
      </w:pPr>
      <w:r>
        <w:rPr>
          <w:rFonts w:ascii="Times New Roman" w:hAnsi="Times New Roman"/>
          <w:color w:val="auto"/>
        </w:rPr>
        <w:t>外泄污染物质量m：项目污水池假定出现渗漏的面积A为1m</w:t>
      </w:r>
      <w:r>
        <w:rPr>
          <w:rFonts w:ascii="Times New Roman" w:hAnsi="Times New Roman"/>
          <w:color w:val="auto"/>
          <w:vertAlign w:val="superscript"/>
        </w:rPr>
        <w:t>2</w:t>
      </w:r>
      <w:r>
        <w:rPr>
          <w:rFonts w:ascii="Times New Roman" w:hAnsi="Times New Roman"/>
          <w:color w:val="auto"/>
        </w:rPr>
        <w:t>，地表为第四系覆盖层，渗透系数取值0.693m/d，垂向水力坡度J为0.02。根据达西定律：</w:t>
      </w:r>
    </w:p>
    <w:p>
      <w:pPr>
        <w:ind w:firstLine="480"/>
        <w:jc w:val="center"/>
        <w:rPr>
          <w:rFonts w:ascii="Times New Roman" w:hAnsi="Times New Roman"/>
          <w:color w:val="auto"/>
        </w:rPr>
      </w:pPr>
      <w:r>
        <w:rPr>
          <w:rFonts w:ascii="Times New Roman" w:hAnsi="Times New Roman"/>
          <w:color w:val="auto"/>
        </w:rPr>
        <w:t>Q=K•A•J</w:t>
      </w:r>
    </w:p>
    <w:p>
      <w:pPr>
        <w:ind w:firstLine="480"/>
        <w:rPr>
          <w:rFonts w:ascii="Times New Roman" w:hAnsi="Times New Roman"/>
          <w:color w:val="auto"/>
        </w:rPr>
      </w:pPr>
      <w:r>
        <w:rPr>
          <w:rFonts w:ascii="Times New Roman" w:hAnsi="Times New Roman"/>
          <w:color w:val="auto"/>
        </w:rPr>
        <w:t>式中：Q—单位时间渗流量，m</w:t>
      </w:r>
      <w:r>
        <w:rPr>
          <w:rFonts w:ascii="Times New Roman" w:hAnsi="Times New Roman"/>
          <w:color w:val="auto"/>
          <w:vertAlign w:val="superscript"/>
        </w:rPr>
        <w:t>3</w:t>
      </w:r>
      <w:r>
        <w:rPr>
          <w:rFonts w:ascii="Times New Roman" w:hAnsi="Times New Roman"/>
          <w:color w:val="auto"/>
        </w:rPr>
        <w:t>；</w:t>
      </w:r>
    </w:p>
    <w:p>
      <w:pPr>
        <w:ind w:firstLine="720" w:firstLineChars="300"/>
        <w:rPr>
          <w:rFonts w:ascii="Times New Roman" w:hAnsi="Times New Roman"/>
          <w:color w:val="auto"/>
        </w:rPr>
      </w:pPr>
      <w:r>
        <w:rPr>
          <w:rFonts w:ascii="Times New Roman" w:hAnsi="Times New Roman"/>
          <w:color w:val="auto"/>
        </w:rPr>
        <w:t>K—渗透力系数，m/d；</w:t>
      </w:r>
    </w:p>
    <w:p>
      <w:pPr>
        <w:ind w:firstLine="720" w:firstLineChars="300"/>
        <w:rPr>
          <w:rFonts w:ascii="Times New Roman" w:hAnsi="Times New Roman"/>
          <w:color w:val="auto"/>
        </w:rPr>
      </w:pPr>
      <w:r>
        <w:rPr>
          <w:rFonts w:ascii="Times New Roman" w:hAnsi="Times New Roman"/>
          <w:color w:val="auto"/>
        </w:rPr>
        <w:t>J—地下水水位的坡度（即水力梯度）。</w:t>
      </w:r>
    </w:p>
    <w:p>
      <w:pPr>
        <w:ind w:firstLine="480"/>
        <w:rPr>
          <w:color w:val="auto"/>
          <w:sz w:val="23"/>
          <w:szCs w:val="23"/>
        </w:rPr>
      </w:pPr>
      <w:r>
        <w:rPr>
          <w:rFonts w:ascii="Times New Roman" w:hAnsi="Times New Roman"/>
          <w:color w:val="auto"/>
        </w:rPr>
        <w:t>则事故状态下发生污废水渗漏，生产废水水进入含水层的体积Q=0.01</w:t>
      </w:r>
      <w:r>
        <w:rPr>
          <w:rFonts w:hint="eastAsia" w:ascii="Times New Roman" w:hAnsi="Times New Roman"/>
          <w:color w:val="auto"/>
        </w:rPr>
        <w:t>4</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/d。COD浓度为</w:t>
      </w:r>
      <w:r>
        <w:rPr>
          <w:rFonts w:hint="eastAsia" w:ascii="Times New Roman" w:hAnsi="Times New Roman"/>
          <w:color w:val="auto"/>
        </w:rPr>
        <w:t>5</w:t>
      </w:r>
      <w:r>
        <w:rPr>
          <w:rFonts w:ascii="Times New Roman" w:hAnsi="Times New Roman"/>
          <w:color w:val="auto"/>
        </w:rPr>
        <w:t>00mg/L，项目从发现污水外泄事故到处理完事故最长时间按10天计，则预计污染物进入到含水层的质量为COD0.</w:t>
      </w:r>
      <w:r>
        <w:rPr>
          <w:rFonts w:hint="eastAsia" w:ascii="Times New Roman" w:hAnsi="Times New Roman"/>
          <w:color w:val="auto"/>
        </w:rPr>
        <w:t>07</w:t>
      </w:r>
      <w:r>
        <w:rPr>
          <w:rFonts w:ascii="Times New Roman" w:hAnsi="Times New Roman"/>
          <w:color w:val="auto"/>
        </w:rPr>
        <w:t>kg。</w:t>
      </w:r>
    </w:p>
    <w:p>
      <w:pPr>
        <w:ind w:firstLine="480"/>
        <w:rPr>
          <w:rFonts w:ascii="Times New Roman" w:hAnsi="Times New Roman"/>
          <w:color w:val="auto"/>
        </w:rPr>
      </w:pPr>
      <w:r>
        <w:rPr>
          <w:rFonts w:ascii="Times New Roman" w:hAnsi="Times New Roman"/>
          <w:color w:val="auto"/>
        </w:rPr>
        <w:t>纵向弥散系数DL：本项目DL取0.4m</w:t>
      </w:r>
      <w:r>
        <w:rPr>
          <w:rFonts w:ascii="Times New Roman" w:hAnsi="Times New Roman"/>
          <w:color w:val="auto"/>
          <w:vertAlign w:val="superscript"/>
        </w:rPr>
        <w:t>2</w:t>
      </w:r>
      <w:r>
        <w:rPr>
          <w:rFonts w:ascii="Times New Roman" w:hAnsi="Times New Roman"/>
          <w:color w:val="auto"/>
        </w:rPr>
        <w:t>/d。</w:t>
      </w:r>
    </w:p>
    <w:p>
      <w:pPr>
        <w:ind w:firstLine="480"/>
        <w:rPr>
          <w:rFonts w:ascii="Times New Roman" w:hAnsi="Times New Roman"/>
          <w:color w:val="auto"/>
        </w:rPr>
      </w:pPr>
      <w:r>
        <w:rPr>
          <w:rFonts w:ascii="Times New Roman" w:hAnsi="Times New Roman"/>
          <w:color w:val="auto"/>
        </w:rPr>
        <w:t>横截面面积w：本项目w取100m</w:t>
      </w:r>
      <w:r>
        <w:rPr>
          <w:rFonts w:ascii="Times New Roman" w:hAnsi="Times New Roman"/>
          <w:color w:val="auto"/>
          <w:vertAlign w:val="superscript"/>
        </w:rPr>
        <w:t>2</w:t>
      </w:r>
      <w:r>
        <w:rPr>
          <w:rFonts w:ascii="Times New Roman" w:hAnsi="Times New Roman"/>
          <w:color w:val="auto"/>
        </w:rPr>
        <w:t>。</w:t>
      </w:r>
    </w:p>
    <w:p>
      <w:pPr>
        <w:ind w:firstLine="480"/>
        <w:rPr>
          <w:rFonts w:ascii="Times New Roman" w:hAnsi="Times New Roman"/>
          <w:color w:val="auto"/>
        </w:rPr>
      </w:pPr>
      <w:r>
        <w:rPr>
          <w:rFonts w:ascii="Times New Roman" w:hAnsi="Times New Roman"/>
          <w:color w:val="auto"/>
        </w:rPr>
        <w:t>有效孔隙度ne：按持水度与给水度划分孔隙度，有效孔隙度近似等于给水度，采取经验值给水度为0.03。</w:t>
      </w:r>
    </w:p>
    <w:p>
      <w:pPr>
        <w:pStyle w:val="19"/>
        <w:adjustRightInd/>
        <w:snapToGrid/>
        <w:spacing w:line="360" w:lineRule="auto"/>
        <w:ind w:firstLine="482"/>
        <w:rPr>
          <w:rFonts w:ascii="Times New Roman" w:eastAsia="宋体"/>
          <w:b/>
          <w:color w:val="auto"/>
          <w:sz w:val="24"/>
        </w:rPr>
      </w:pPr>
      <w:r>
        <w:rPr>
          <w:rFonts w:ascii="Times New Roman" w:eastAsia="宋体"/>
          <w:b/>
          <w:color w:val="auto"/>
          <w:sz w:val="24"/>
        </w:rPr>
        <w:t>（4）水质污染模型预测结果</w:t>
      </w:r>
    </w:p>
    <w:p>
      <w:pPr>
        <w:ind w:firstLine="480"/>
        <w:rPr>
          <w:rFonts w:ascii="Times New Roman" w:hAnsi="Times New Roman"/>
          <w:color w:val="auto"/>
        </w:rPr>
      </w:pPr>
      <w:r>
        <w:rPr>
          <w:rFonts w:ascii="Times New Roman" w:hAnsi="Times New Roman"/>
          <w:color w:val="auto"/>
        </w:rPr>
        <w:t>非正常状况下的连续泄漏下，假定厂区的污水发生渗漏（约10d），从长远看，污染物为短时渗漏，将前面确定的参数带入模型，便可得出各污染物在含水层中沿地下水流向运移时浓度的变化情况，预测结果如下：</w:t>
      </w:r>
    </w:p>
    <w:p>
      <w:pPr>
        <w:ind w:firstLine="480"/>
        <w:rPr>
          <w:rFonts w:ascii="Times New Roman" w:hAnsi="Times New Roman"/>
          <w:color w:val="auto"/>
        </w:rPr>
      </w:pPr>
      <w:r>
        <w:rPr>
          <w:rFonts w:ascii="Times New Roman" w:hAnsi="Times New Roman"/>
          <w:color w:val="auto"/>
        </w:rPr>
        <w:t>COD在含水层中沿地下水流向运移，随时间增加，污染物的前锋逐渐向外扩散，COD渗漏到含水层时，在不考虑自然降解及吸附作用下，污染物运移100d和1000d的浓度分布情况见表</w:t>
      </w:r>
      <w:r>
        <w:rPr>
          <w:rFonts w:hint="eastAsia" w:ascii="Times New Roman" w:hAnsi="Times New Roman"/>
          <w:color w:val="auto"/>
        </w:rPr>
        <w:t>5-32</w:t>
      </w:r>
      <w:r>
        <w:rPr>
          <w:rFonts w:ascii="Times New Roman" w:hAnsi="Times New Roman"/>
          <w:color w:val="auto"/>
        </w:rPr>
        <w:t>。</w:t>
      </w:r>
    </w:p>
    <w:p>
      <w:pPr>
        <w:spacing w:line="240" w:lineRule="auto"/>
        <w:ind w:firstLine="0" w:firstLineChars="0"/>
        <w:jc w:val="center"/>
        <w:rPr>
          <w:rFonts w:ascii="Times New Roman" w:hAnsi="Times New Roman"/>
          <w:b/>
          <w:color w:val="auto"/>
          <w:sz w:val="21"/>
        </w:rPr>
      </w:pPr>
      <w:r>
        <w:rPr>
          <w:rFonts w:ascii="Times New Roman" w:hAnsi="Times New Roman"/>
          <w:b/>
          <w:color w:val="auto"/>
          <w:sz w:val="21"/>
        </w:rPr>
        <w:t>表</w:t>
      </w:r>
      <w:r>
        <w:rPr>
          <w:rFonts w:hint="eastAsia" w:ascii="Times New Roman" w:hAnsi="Times New Roman"/>
          <w:b/>
          <w:color w:val="auto"/>
          <w:sz w:val="21"/>
        </w:rPr>
        <w:t>5-32</w:t>
      </w:r>
      <w:r>
        <w:rPr>
          <w:rFonts w:ascii="Times New Roman" w:hAnsi="Times New Roman"/>
          <w:b/>
          <w:color w:val="auto"/>
          <w:sz w:val="21"/>
        </w:rPr>
        <w:t xml:space="preserve"> 污染物运移100d及1000d的浓度分布情况</w:t>
      </w:r>
    </w:p>
    <w:tbl>
      <w:tblPr>
        <w:tblStyle w:val="83"/>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049"/>
        <w:gridCol w:w="3594"/>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序号</w:t>
            </w:r>
          </w:p>
        </w:tc>
        <w:tc>
          <w:tcPr>
            <w:tcW w:w="1049"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距离（m）</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100d</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rPr>
            </w:pPr>
          </w:p>
        </w:tc>
        <w:tc>
          <w:tcPr>
            <w:tcW w:w="1049"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ascii="Times New Roman" w:hAnsi="Times New Roman"/>
                <w:color w:val="auto"/>
              </w:rPr>
            </w:pP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COD浓度（mg/L）</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COD浓度（mg/L）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0.000557067</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6.35333E-07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0.001040739</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2.08318E-06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2</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20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0.000557067</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6.02787E-06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3</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30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8.54291E-05</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1.53927E-05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4</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40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3.75349E-06</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3.4688E-05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5</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50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4.72495E-08</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6.89853E-05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6</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60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1.70408E-10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0.000121073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7</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70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1.76082E-13</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0.000187522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8</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80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5.21283E-17</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0.000256312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9</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90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4.42143E-21</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0.000309171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10</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100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1.07444E-25</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0.000329111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11</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110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7.48061E-31</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0.000309171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12</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120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1.49218E-36</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0.000256312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13</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130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8.52783E-43</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0.000187522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14</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140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1.39633E-49</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0.000121073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15</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150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6.5504E-57</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6.89853E-05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16</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200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1.0707E-101</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6.35333E-07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17</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250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4.6917E-160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2.57084E-10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18</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300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5.5119E-232</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4.57067E-15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19</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350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1.7361E-317</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3.57037E-21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20</w:t>
            </w:r>
          </w:p>
        </w:tc>
        <w:tc>
          <w:tcPr>
            <w:tcW w:w="104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ascii="Times New Roman" w:hAnsi="Times New Roman"/>
                <w:color w:val="auto"/>
              </w:rPr>
              <w:t>400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0</w:t>
            </w:r>
          </w:p>
        </w:tc>
        <w:tc>
          <w:tcPr>
            <w:tcW w:w="359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s="宋体"/>
                <w:color w:val="auto"/>
                <w:szCs w:val="24"/>
              </w:rPr>
            </w:pPr>
            <w:r>
              <w:rPr>
                <w:rFonts w:hint="eastAsia" w:ascii="Times New Roman" w:hAnsi="Times New Roman"/>
                <w:color w:val="auto"/>
              </w:rPr>
              <w:t>1.2254E-28</w:t>
            </w:r>
          </w:p>
        </w:tc>
      </w:tr>
    </w:tbl>
    <w:p>
      <w:pPr>
        <w:ind w:firstLine="480"/>
        <w:rPr>
          <w:rFonts w:ascii="Times New Roman" w:hAnsi="Times New Roman"/>
          <w:color w:val="auto"/>
          <w:szCs w:val="24"/>
        </w:rPr>
      </w:pPr>
      <w:r>
        <w:rPr>
          <w:rFonts w:ascii="Times New Roman" w:hAnsi="Times New Roman"/>
          <w:color w:val="auto"/>
          <w:szCs w:val="24"/>
        </w:rPr>
        <w:t>根据分析，COD运移随着距离的增加，含水层中COD的浓度呈逐渐下降的趋势。运移100d时，出现峰值的距离为10m，在场地内，浓度为</w:t>
      </w:r>
      <w:r>
        <w:rPr>
          <w:rFonts w:hint="eastAsia" w:ascii="Times New Roman" w:hAnsi="Times New Roman"/>
          <w:color w:val="auto"/>
          <w:szCs w:val="24"/>
        </w:rPr>
        <w:t>0.001040739</w:t>
      </w:r>
      <w:r>
        <w:rPr>
          <w:rFonts w:ascii="Times New Roman" w:hAnsi="Times New Roman"/>
          <w:color w:val="auto"/>
          <w:szCs w:val="24"/>
        </w:rPr>
        <w:t>mg/L，符合《地下水质量标准》（GB/T14848-2017）中Ⅲ类标准。运移1000d时，出现峰值的距离为100m，浓度为</w:t>
      </w:r>
      <w:r>
        <w:rPr>
          <w:rFonts w:hint="eastAsia" w:ascii="Times New Roman" w:hAnsi="Times New Roman"/>
          <w:color w:val="auto"/>
          <w:szCs w:val="24"/>
        </w:rPr>
        <w:t>0.000329111</w:t>
      </w:r>
      <w:r>
        <w:rPr>
          <w:rFonts w:ascii="Times New Roman" w:hAnsi="Times New Roman"/>
          <w:color w:val="auto"/>
          <w:szCs w:val="24"/>
        </w:rPr>
        <w:t>mg/L，符合《地下水质量标准》（GB/T14848-2017）中Ⅲ类标准。因此本项目的建设对周边地下水环境影响小。</w:t>
      </w:r>
    </w:p>
    <w:p>
      <w:pPr>
        <w:pStyle w:val="4"/>
        <w:numPr>
          <w:ilvl w:val="0"/>
          <w:numId w:val="31"/>
        </w:numPr>
        <w:spacing w:beforeLines="0"/>
        <w:rPr>
          <w:rFonts w:ascii="Times New Roman" w:hAnsi="Times New Roman"/>
          <w:color w:val="auto"/>
          <w:sz w:val="24"/>
          <w:szCs w:val="24"/>
        </w:rPr>
      </w:pPr>
      <w:r>
        <w:rPr>
          <w:rFonts w:ascii="Times New Roman" w:hAnsi="Times New Roman"/>
          <w:color w:val="auto"/>
          <w:sz w:val="24"/>
          <w:szCs w:val="24"/>
        </w:rPr>
        <w:t>声环境影响分析</w:t>
      </w:r>
    </w:p>
    <w:p>
      <w:pPr>
        <w:wordWrap w:val="0"/>
        <w:topLinePunct/>
        <w:ind w:firstLine="480"/>
        <w:rPr>
          <w:rFonts w:ascii="Times New Roman" w:hAnsi="Times New Roman"/>
          <w:color w:val="auto"/>
        </w:rPr>
      </w:pPr>
      <w:r>
        <w:rPr>
          <w:rFonts w:ascii="Times New Roman" w:hAnsi="Times New Roman"/>
          <w:color w:val="auto"/>
        </w:rPr>
        <w:t>本项目噪声主要来自生产车间机械设备的运行。根据工程分析，在落实基础减振等措施基础上，各生产车间室内噪声源强约为</w:t>
      </w:r>
      <w:r>
        <w:rPr>
          <w:rFonts w:hint="eastAsia" w:ascii="Times New Roman" w:hAnsi="Times New Roman"/>
          <w:color w:val="auto"/>
        </w:rPr>
        <w:t>76</w:t>
      </w:r>
      <w:r>
        <w:rPr>
          <w:rFonts w:ascii="Times New Roman" w:hAnsi="Times New Roman"/>
          <w:color w:val="auto"/>
        </w:rPr>
        <w:t>dB(A)。</w:t>
      </w:r>
    </w:p>
    <w:p>
      <w:pPr>
        <w:wordWrap w:val="0"/>
        <w:topLinePunct/>
        <w:ind w:firstLine="480"/>
        <w:rPr>
          <w:rFonts w:ascii="Times New Roman" w:hAnsi="Times New Roman"/>
          <w:color w:val="auto"/>
        </w:rPr>
      </w:pPr>
      <w:r>
        <w:rPr>
          <w:rFonts w:ascii="Times New Roman" w:hAnsi="Times New Roman"/>
          <w:color w:val="auto"/>
        </w:rPr>
        <w:t>（2）预测模式</w:t>
      </w:r>
    </w:p>
    <w:p>
      <w:pPr>
        <w:wordWrap w:val="0"/>
        <w:topLinePunct/>
        <w:ind w:firstLine="480"/>
        <w:rPr>
          <w:rFonts w:ascii="Times New Roman" w:hAnsi="Times New Roman"/>
          <w:color w:val="auto"/>
        </w:rPr>
      </w:pPr>
      <w:r>
        <w:rPr>
          <w:rFonts w:ascii="Times New Roman" w:hAnsi="Times New Roman"/>
          <w:color w:val="auto"/>
        </w:rPr>
        <w:t>采用《环境影响评价技术导则 声环境（HJ2.4-2009）》中的工业噪声预测计算模式进行预测、分析。</w:t>
      </w:r>
    </w:p>
    <w:p>
      <w:pPr>
        <w:wordWrap w:val="0"/>
        <w:topLinePunct/>
        <w:ind w:firstLine="480"/>
        <w:rPr>
          <w:rFonts w:ascii="Times New Roman" w:hAnsi="Times New Roman"/>
          <w:color w:val="auto"/>
        </w:rPr>
      </w:pPr>
      <w:r>
        <w:rPr>
          <w:rFonts w:hint="eastAsia" w:cs="宋体"/>
          <w:color w:val="auto"/>
        </w:rPr>
        <w:t>①</w:t>
      </w:r>
      <w:r>
        <w:rPr>
          <w:rFonts w:ascii="Times New Roman" w:hAnsi="Times New Roman"/>
          <w:color w:val="auto"/>
        </w:rPr>
        <w:t xml:space="preserve">室内声源等效室外声源计算 </w:t>
      </w:r>
    </w:p>
    <w:p>
      <w:pPr>
        <w:wordWrap w:val="0"/>
        <w:topLinePunct/>
        <w:ind w:firstLine="480"/>
        <w:rPr>
          <w:rFonts w:ascii="Times New Roman" w:hAnsi="Times New Roman"/>
          <w:color w:val="auto"/>
        </w:rPr>
      </w:pPr>
      <w:r>
        <w:rPr>
          <w:rFonts w:ascii="Times New Roman" w:hAnsi="Times New Roman"/>
          <w:color w:val="auto"/>
        </w:rPr>
        <w:t>声源位于室内，室内声源可采用等效室外声源声功率级法进行计算。所有室内声源在围护结构处产生的i倍频带叠加声压级按下式计算得到：</w:t>
      </w:r>
    </w:p>
    <w:p>
      <w:pPr>
        <w:topLinePunct/>
        <w:ind w:firstLine="480"/>
        <w:jc w:val="center"/>
        <w:rPr>
          <w:rFonts w:ascii="Times New Roman" w:hAnsi="Times New Roman"/>
          <w:color w:val="auto"/>
        </w:rPr>
      </w:pPr>
      <w:r>
        <w:rPr>
          <w:rFonts w:ascii="Times New Roman" w:hAnsi="Times New Roman"/>
          <w:color w:val="auto"/>
        </w:rPr>
        <w:pict>
          <v:shape id="对象 5696" o:spid="_x0000_s5553" o:spt="75" type="#_x0000_t75" style="position:absolute;left:0pt;margin-left:121.5pt;margin-top:1.5pt;height:19pt;width:199pt;z-index:251650048;mso-width-relative:page;mso-height-relative:page;" o:ole="t" filled="f" o:preferrelative="t" stroked="f" coordsize="21600,21600">
            <v:path/>
            <v:fill on="f" focussize="0,0"/>
            <v:stroke on="f" joinstyle="miter"/>
            <v:imagedata r:id="rId55" o:title=""/>
            <o:lock v:ext="edit" aspectratio="t"/>
          </v:shape>
          <o:OLEObject Type="Embed" ProgID="Equations" ShapeID="对象 5696" DrawAspect="Content" ObjectID="_1468075726" r:id="rId54">
            <o:LockedField>false</o:LockedField>
          </o:OLEObject>
        </w:pict>
      </w:r>
    </w:p>
    <w:p>
      <w:pPr>
        <w:wordWrap w:val="0"/>
        <w:topLinePunct/>
        <w:ind w:firstLine="480"/>
        <w:rPr>
          <w:rFonts w:ascii="Times New Roman" w:hAnsi="Times New Roman"/>
          <w:color w:val="auto"/>
        </w:rPr>
      </w:pPr>
      <w:r>
        <w:rPr>
          <w:rFonts w:ascii="Times New Roman" w:hAnsi="Times New Roman"/>
          <w:color w:val="auto"/>
        </w:rPr>
        <w:t>式中：Lp</w:t>
      </w:r>
      <w:r>
        <w:rPr>
          <w:rFonts w:ascii="Times New Roman" w:hAnsi="Times New Roman"/>
          <w:color w:val="auto"/>
          <w:vertAlign w:val="subscript"/>
        </w:rPr>
        <w:t>总</w:t>
      </w:r>
      <w:r>
        <w:rPr>
          <w:rFonts w:ascii="Times New Roman" w:hAnsi="Times New Roman"/>
          <w:color w:val="auto"/>
        </w:rPr>
        <w:t>——各点声源叠加后总声级，dB(A)；</w:t>
      </w:r>
    </w:p>
    <w:p>
      <w:pPr>
        <w:wordWrap w:val="0"/>
        <w:topLinePunct/>
        <w:ind w:firstLine="1200" w:firstLineChars="500"/>
        <w:rPr>
          <w:rFonts w:ascii="Times New Roman" w:hAnsi="Times New Roman"/>
          <w:color w:val="auto"/>
        </w:rPr>
      </w:pPr>
      <w:r>
        <w:rPr>
          <w:rFonts w:ascii="Times New Roman" w:hAnsi="Times New Roman"/>
          <w:color w:val="auto"/>
        </w:rPr>
        <w:t>Lp</w:t>
      </w:r>
      <w:r>
        <w:rPr>
          <w:rFonts w:ascii="Times New Roman" w:hAnsi="Times New Roman"/>
          <w:color w:val="auto"/>
          <w:vertAlign w:val="subscript"/>
        </w:rPr>
        <w:t>1</w:t>
      </w:r>
      <w:r>
        <w:rPr>
          <w:rFonts w:ascii="Times New Roman" w:hAnsi="Times New Roman"/>
          <w:color w:val="auto"/>
        </w:rPr>
        <w:t>、Lp</w:t>
      </w:r>
      <w:r>
        <w:rPr>
          <w:rFonts w:ascii="Times New Roman" w:hAnsi="Times New Roman"/>
          <w:color w:val="auto"/>
          <w:vertAlign w:val="subscript"/>
        </w:rPr>
        <w:t>2</w:t>
      </w:r>
      <w:r>
        <w:rPr>
          <w:rFonts w:ascii="Times New Roman" w:hAnsi="Times New Roman"/>
          <w:color w:val="auto"/>
        </w:rPr>
        <w:t>……Lp</w:t>
      </w:r>
      <w:r>
        <w:rPr>
          <w:rFonts w:ascii="Times New Roman" w:hAnsi="Times New Roman"/>
          <w:color w:val="auto"/>
          <w:vertAlign w:val="subscript"/>
        </w:rPr>
        <w:t>n</w:t>
      </w:r>
      <w:r>
        <w:rPr>
          <w:rFonts w:ascii="Times New Roman" w:hAnsi="Times New Roman"/>
          <w:color w:val="auto"/>
        </w:rPr>
        <w:t>——第一、二……第n个声源到P点的声压级，dB(A)。</w:t>
      </w:r>
    </w:p>
    <w:p>
      <w:pPr>
        <w:wordWrap w:val="0"/>
        <w:topLinePunct/>
        <w:ind w:firstLine="480"/>
        <w:rPr>
          <w:rFonts w:ascii="Times New Roman" w:hAnsi="Times New Roman"/>
          <w:color w:val="auto"/>
        </w:rPr>
      </w:pPr>
      <w:r>
        <w:rPr>
          <w:rFonts w:ascii="Times New Roman" w:hAnsi="Times New Roman"/>
          <w:color w:val="auto"/>
        </w:rPr>
        <w:t>若声源所在室内声场为近似扩散声场，室外的倍频带声压级按下式计算得到：</w:t>
      </w:r>
    </w:p>
    <w:p>
      <w:pPr>
        <w:topLinePunct/>
        <w:ind w:firstLine="480"/>
        <w:jc w:val="center"/>
        <w:rPr>
          <w:rFonts w:ascii="Times New Roman" w:hAnsi="Times New Roman"/>
          <w:color w:val="auto"/>
        </w:rPr>
      </w:pPr>
      <w:r>
        <w:rPr>
          <w:rFonts w:ascii="Times New Roman" w:hAnsi="Times New Roman"/>
          <w:color w:val="auto"/>
        </w:rPr>
        <w:t>Lp</w:t>
      </w:r>
      <w:r>
        <w:rPr>
          <w:rFonts w:ascii="Times New Roman" w:hAnsi="Times New Roman"/>
          <w:color w:val="auto"/>
          <w:vertAlign w:val="subscript"/>
        </w:rPr>
        <w:t>外</w:t>
      </w:r>
      <w:r>
        <w:rPr>
          <w:rFonts w:ascii="Times New Roman" w:hAnsi="Times New Roman"/>
          <w:color w:val="auto"/>
        </w:rPr>
        <w:t>=Lp</w:t>
      </w:r>
      <w:r>
        <w:rPr>
          <w:rFonts w:ascii="Times New Roman" w:hAnsi="Times New Roman"/>
          <w:color w:val="auto"/>
          <w:vertAlign w:val="subscript"/>
        </w:rPr>
        <w:t>内</w:t>
      </w:r>
      <w:r>
        <w:rPr>
          <w:rFonts w:ascii="Times New Roman" w:hAnsi="Times New Roman"/>
          <w:color w:val="auto"/>
        </w:rPr>
        <w:t>-（TL+6）</w:t>
      </w:r>
    </w:p>
    <w:p>
      <w:pPr>
        <w:wordWrap w:val="0"/>
        <w:topLinePunct/>
        <w:ind w:firstLine="480"/>
        <w:rPr>
          <w:rFonts w:ascii="Times New Roman" w:hAnsi="Times New Roman"/>
          <w:color w:val="auto"/>
        </w:rPr>
      </w:pPr>
      <w:r>
        <w:rPr>
          <w:rFonts w:ascii="Times New Roman" w:hAnsi="Times New Roman"/>
          <w:color w:val="auto"/>
        </w:rPr>
        <w:t>式中：TL——隔墙（或窗户）倍频带的隔声量，dB。本项目隔声量取值15dB（A）。</w:t>
      </w:r>
    </w:p>
    <w:p>
      <w:pPr>
        <w:wordWrap w:val="0"/>
        <w:topLinePunct/>
        <w:ind w:firstLine="480"/>
        <w:rPr>
          <w:rFonts w:ascii="Times New Roman" w:hAnsi="Times New Roman"/>
          <w:color w:val="auto"/>
        </w:rPr>
      </w:pPr>
      <w:r>
        <w:rPr>
          <w:rFonts w:ascii="Times New Roman" w:hAnsi="Times New Roman"/>
          <w:color w:val="auto"/>
        </w:rPr>
        <w:t>再按下式将室外声源的声压级和透过面积换算成等效的室外声源，计算出中心位置位于透声面积（S）处的等效声源的倍频带声功率级。</w:t>
      </w:r>
    </w:p>
    <w:p>
      <w:pPr>
        <w:topLinePunct/>
        <w:ind w:firstLine="480"/>
        <w:jc w:val="center"/>
        <w:rPr>
          <w:rFonts w:ascii="Times New Roman" w:hAnsi="Times New Roman"/>
          <w:color w:val="auto"/>
        </w:rPr>
      </w:pPr>
      <w:r>
        <w:rPr>
          <w:rFonts w:ascii="Times New Roman" w:hAnsi="Times New Roman"/>
          <w:color w:val="auto"/>
        </w:rPr>
        <w:t>Lw=Lp</w:t>
      </w:r>
      <w:r>
        <w:rPr>
          <w:rFonts w:ascii="Times New Roman" w:hAnsi="Times New Roman"/>
          <w:color w:val="auto"/>
          <w:vertAlign w:val="subscript"/>
        </w:rPr>
        <w:t>外</w:t>
      </w:r>
      <w:r>
        <w:rPr>
          <w:rFonts w:ascii="Times New Roman" w:hAnsi="Times New Roman"/>
          <w:color w:val="auto"/>
        </w:rPr>
        <w:t>+10lgS</w:t>
      </w:r>
    </w:p>
    <w:p>
      <w:pPr>
        <w:wordWrap w:val="0"/>
        <w:topLinePunct/>
        <w:ind w:firstLine="480"/>
        <w:rPr>
          <w:rFonts w:ascii="Times New Roman" w:hAnsi="Times New Roman"/>
          <w:color w:val="auto"/>
        </w:rPr>
      </w:pPr>
      <w:r>
        <w:rPr>
          <w:rFonts w:ascii="Times New Roman" w:hAnsi="Times New Roman"/>
          <w:color w:val="auto"/>
        </w:rPr>
        <w:t>然后按室外声源预测方法计算预测点处的A声级。</w:t>
      </w:r>
    </w:p>
    <w:p>
      <w:pPr>
        <w:wordWrap w:val="0"/>
        <w:topLinePunct/>
        <w:ind w:firstLine="480"/>
        <w:rPr>
          <w:rFonts w:ascii="Times New Roman" w:hAnsi="Times New Roman"/>
          <w:color w:val="auto"/>
        </w:rPr>
      </w:pPr>
      <w:r>
        <w:rPr>
          <w:rFonts w:hint="eastAsia" w:cs="宋体"/>
          <w:color w:val="auto"/>
        </w:rPr>
        <w:t>②</w:t>
      </w:r>
      <w:r>
        <w:rPr>
          <w:rFonts w:ascii="Times New Roman" w:hAnsi="Times New Roman"/>
          <w:color w:val="auto"/>
        </w:rPr>
        <w:t>室外声源在预测点的声压级计算</w:t>
      </w:r>
    </w:p>
    <w:p>
      <w:pPr>
        <w:wordWrap w:val="0"/>
        <w:topLinePunct/>
        <w:ind w:firstLine="480"/>
        <w:rPr>
          <w:rFonts w:ascii="Times New Roman" w:hAnsi="Times New Roman"/>
          <w:color w:val="auto"/>
        </w:rPr>
      </w:pPr>
      <w:r>
        <w:rPr>
          <w:rFonts w:ascii="Times New Roman" w:hAnsi="Times New Roman"/>
          <w:color w:val="auto"/>
        </w:rPr>
        <w:t>如已知声源的倍频带声功率级Lw，预测点位置的倍频带声压级Lp(r)按以下公式计算得到：</w:t>
      </w:r>
    </w:p>
    <w:p>
      <w:pPr>
        <w:topLinePunct/>
        <w:ind w:firstLine="480"/>
        <w:jc w:val="center"/>
        <w:rPr>
          <w:rFonts w:ascii="Times New Roman" w:hAnsi="Times New Roman"/>
          <w:color w:val="auto"/>
        </w:rPr>
      </w:pPr>
      <w:r>
        <w:rPr>
          <w:rFonts w:ascii="Times New Roman" w:hAnsi="Times New Roman"/>
          <w:color w:val="auto"/>
        </w:rPr>
        <w:t>Lp(r)＝Lw+Dc－A</w:t>
      </w:r>
    </w:p>
    <w:p>
      <w:pPr>
        <w:wordWrap w:val="0"/>
        <w:topLinePunct/>
        <w:ind w:firstLine="480"/>
        <w:rPr>
          <w:rFonts w:ascii="Times New Roman" w:hAnsi="Times New Roman"/>
          <w:color w:val="auto"/>
        </w:rPr>
      </w:pPr>
      <w:r>
        <w:rPr>
          <w:rFonts w:ascii="Times New Roman" w:hAnsi="Times New Roman"/>
          <w:color w:val="auto"/>
        </w:rPr>
        <w:t>式中：Lp(r)——预测点(r)处的声级，dB；</w:t>
      </w:r>
    </w:p>
    <w:p>
      <w:pPr>
        <w:wordWrap w:val="0"/>
        <w:topLinePunct/>
        <w:ind w:firstLine="1200" w:firstLineChars="500"/>
        <w:rPr>
          <w:rFonts w:ascii="Times New Roman" w:hAnsi="Times New Roman"/>
          <w:color w:val="auto"/>
        </w:rPr>
      </w:pPr>
      <w:r>
        <w:rPr>
          <w:rFonts w:ascii="Times New Roman" w:hAnsi="Times New Roman"/>
          <w:color w:val="auto"/>
        </w:rPr>
        <w:t>Lw——倍频带声功率级，dB；</w:t>
      </w:r>
    </w:p>
    <w:p>
      <w:pPr>
        <w:wordWrap w:val="0"/>
        <w:topLinePunct/>
        <w:ind w:firstLine="1200" w:firstLineChars="500"/>
        <w:rPr>
          <w:rFonts w:ascii="Times New Roman" w:hAnsi="Times New Roman"/>
          <w:color w:val="auto"/>
        </w:rPr>
      </w:pPr>
      <w:r>
        <w:rPr>
          <w:rFonts w:ascii="Times New Roman" w:hAnsi="Times New Roman"/>
          <w:color w:val="auto"/>
        </w:rPr>
        <w:t>Dc——指向性校正，dB；它描述点声源的等效连续声压级与产生声功率级Lw的全向点声源在规定方向的级的偏差程度。指向性校正等于点声源的指向性指数DI加上计到小于4π球面度（sr）立体角的声传播指数DΩ。对辐射到自由空间的全向点声源，Dc=0dB。</w:t>
      </w:r>
    </w:p>
    <w:p>
      <w:pPr>
        <w:wordWrap w:val="0"/>
        <w:topLinePunct/>
        <w:ind w:firstLine="1200" w:firstLineChars="500"/>
        <w:rPr>
          <w:rFonts w:ascii="Times New Roman" w:hAnsi="Times New Roman"/>
          <w:color w:val="auto"/>
        </w:rPr>
      </w:pPr>
      <w:r>
        <w:rPr>
          <w:rFonts w:ascii="Times New Roman" w:hAnsi="Times New Roman"/>
          <w:color w:val="auto"/>
        </w:rPr>
        <w:t>A——倍频带衰减，dB；主要考虑几何发散（A</w:t>
      </w:r>
      <w:r>
        <w:rPr>
          <w:rFonts w:ascii="Times New Roman" w:hAnsi="Times New Roman"/>
          <w:color w:val="auto"/>
          <w:vertAlign w:val="subscript"/>
        </w:rPr>
        <w:t>div</w:t>
      </w:r>
      <w:r>
        <w:rPr>
          <w:rFonts w:ascii="Times New Roman" w:hAnsi="Times New Roman"/>
          <w:color w:val="auto"/>
        </w:rPr>
        <w:t>）、大气吸收（A</w:t>
      </w:r>
      <w:r>
        <w:rPr>
          <w:rFonts w:ascii="Times New Roman" w:hAnsi="Times New Roman"/>
          <w:color w:val="auto"/>
          <w:vertAlign w:val="subscript"/>
        </w:rPr>
        <w:t>atm</w:t>
      </w:r>
      <w:r>
        <w:rPr>
          <w:rFonts w:ascii="Times New Roman" w:hAnsi="Times New Roman"/>
          <w:color w:val="auto"/>
        </w:rPr>
        <w:t>）、地面效应（A</w:t>
      </w:r>
      <w:r>
        <w:rPr>
          <w:rFonts w:ascii="Times New Roman" w:hAnsi="Times New Roman"/>
          <w:color w:val="auto"/>
          <w:vertAlign w:val="subscript"/>
        </w:rPr>
        <w:t>gr</w:t>
      </w:r>
      <w:r>
        <w:rPr>
          <w:rFonts w:ascii="Times New Roman" w:hAnsi="Times New Roman"/>
          <w:color w:val="auto"/>
        </w:rPr>
        <w:t>）、屏障屏蔽（A</w:t>
      </w:r>
      <w:r>
        <w:rPr>
          <w:rFonts w:ascii="Times New Roman" w:hAnsi="Times New Roman"/>
          <w:color w:val="auto"/>
          <w:vertAlign w:val="subscript"/>
        </w:rPr>
        <w:t>bar</w:t>
      </w:r>
      <w:r>
        <w:rPr>
          <w:rFonts w:ascii="Times New Roman" w:hAnsi="Times New Roman"/>
          <w:color w:val="auto"/>
        </w:rPr>
        <w:t>）、其他多方面效应（A</w:t>
      </w:r>
      <w:r>
        <w:rPr>
          <w:rFonts w:ascii="Times New Roman" w:hAnsi="Times New Roman"/>
          <w:color w:val="auto"/>
          <w:vertAlign w:val="subscript"/>
        </w:rPr>
        <w:t>misc</w:t>
      </w:r>
      <w:r>
        <w:rPr>
          <w:rFonts w:ascii="Times New Roman" w:hAnsi="Times New Roman"/>
          <w:color w:val="auto"/>
        </w:rPr>
        <w:t>）引起的衰减。在预测时，为留有较大余地，以噪声对环境最不利的情况为前提，只考虑几何发散衰减，其他因素的衰减，如大气吸收、屏障屏蔽、地面效应等均作为预测计算的安全系数而不计。</w:t>
      </w:r>
    </w:p>
    <w:p>
      <w:pPr>
        <w:wordWrap w:val="0"/>
        <w:topLinePunct/>
        <w:ind w:firstLine="480"/>
        <w:rPr>
          <w:rFonts w:ascii="Times New Roman" w:hAnsi="Times New Roman"/>
          <w:color w:val="auto"/>
        </w:rPr>
      </w:pPr>
      <w:r>
        <w:rPr>
          <w:rFonts w:ascii="Times New Roman" w:hAnsi="Times New Roman"/>
          <w:color w:val="auto"/>
        </w:rPr>
        <w:t>几何发散衰减A</w:t>
      </w:r>
      <w:r>
        <w:rPr>
          <w:rFonts w:ascii="Times New Roman" w:hAnsi="Times New Roman"/>
          <w:color w:val="auto"/>
          <w:vertAlign w:val="subscript"/>
        </w:rPr>
        <w:t>div</w:t>
      </w:r>
      <w:r>
        <w:rPr>
          <w:rFonts w:ascii="Times New Roman" w:hAnsi="Times New Roman"/>
          <w:color w:val="auto"/>
        </w:rPr>
        <w:t>：若声源处于半自由声场，A</w:t>
      </w:r>
      <w:r>
        <w:rPr>
          <w:rFonts w:ascii="Times New Roman" w:hAnsi="Times New Roman"/>
          <w:color w:val="auto"/>
          <w:vertAlign w:val="subscript"/>
        </w:rPr>
        <w:t>div</w:t>
      </w:r>
      <w:r>
        <w:rPr>
          <w:rFonts w:ascii="Times New Roman" w:hAnsi="Times New Roman"/>
          <w:color w:val="auto"/>
        </w:rPr>
        <w:t>=20lg(r)+8。</w:t>
      </w:r>
    </w:p>
    <w:p>
      <w:pPr>
        <w:wordWrap w:val="0"/>
        <w:topLinePunct/>
        <w:ind w:firstLine="480"/>
        <w:rPr>
          <w:rFonts w:ascii="Times New Roman" w:hAnsi="Times New Roman"/>
          <w:color w:val="auto"/>
        </w:rPr>
      </w:pPr>
      <w:r>
        <w:rPr>
          <w:rFonts w:ascii="Times New Roman" w:hAnsi="Times New Roman"/>
          <w:color w:val="auto"/>
        </w:rPr>
        <w:t xml:space="preserve">（3）厂界噪声影响分析 </w:t>
      </w:r>
    </w:p>
    <w:p>
      <w:pPr>
        <w:wordWrap w:val="0"/>
        <w:topLinePunct/>
        <w:ind w:firstLine="480"/>
        <w:rPr>
          <w:rFonts w:ascii="Times New Roman" w:hAnsi="Times New Roman"/>
          <w:color w:val="auto"/>
        </w:rPr>
      </w:pPr>
      <w:r>
        <w:rPr>
          <w:rFonts w:ascii="Times New Roman" w:hAnsi="Times New Roman"/>
          <w:color w:val="auto"/>
        </w:rPr>
        <w:t>本项目主要车间声源的噪声预测结果如下。</w:t>
      </w:r>
    </w:p>
    <w:p>
      <w:pPr>
        <w:spacing w:line="240" w:lineRule="auto"/>
        <w:ind w:firstLine="422"/>
        <w:jc w:val="center"/>
        <w:rPr>
          <w:rFonts w:ascii="Times New Roman" w:hAnsi="Times New Roman"/>
          <w:color w:val="auto"/>
          <w:sz w:val="21"/>
        </w:rPr>
      </w:pPr>
      <w:r>
        <w:rPr>
          <w:rFonts w:ascii="Times New Roman" w:hAnsi="Times New Roman"/>
          <w:b/>
          <w:color w:val="auto"/>
          <w:sz w:val="21"/>
        </w:rPr>
        <w:t>表</w:t>
      </w:r>
      <w:r>
        <w:rPr>
          <w:rFonts w:hint="eastAsia" w:ascii="Times New Roman" w:hAnsi="Times New Roman"/>
          <w:b/>
          <w:color w:val="auto"/>
          <w:sz w:val="21"/>
        </w:rPr>
        <w:t>5-33</w:t>
      </w:r>
      <w:r>
        <w:rPr>
          <w:rFonts w:ascii="Times New Roman" w:hAnsi="Times New Roman"/>
          <w:b/>
          <w:color w:val="auto"/>
          <w:sz w:val="21"/>
        </w:rPr>
        <w:t xml:space="preserve">  敏感点噪声叠加结果（dB）</w:t>
      </w:r>
    </w:p>
    <w:tbl>
      <w:tblPr>
        <w:tblStyle w:val="8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8"/>
        <w:gridCol w:w="1504"/>
        <w:gridCol w:w="1952"/>
        <w:gridCol w:w="1202"/>
        <w:gridCol w:w="1654"/>
        <w:gridCol w:w="1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2" w:type="pct"/>
            <w:vMerge w:val="restar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声源</w:t>
            </w:r>
          </w:p>
        </w:tc>
        <w:tc>
          <w:tcPr>
            <w:tcW w:w="832" w:type="pct"/>
            <w:vMerge w:val="restar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项目</w:t>
            </w:r>
          </w:p>
        </w:tc>
        <w:tc>
          <w:tcPr>
            <w:tcW w:w="3357" w:type="pct"/>
            <w:gridSpan w:val="4"/>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厂界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32" w:type="pct"/>
            <w:vMerge w:val="continue"/>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p>
        </w:tc>
        <w:tc>
          <w:tcPr>
            <w:tcW w:w="1080"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东</w:t>
            </w:r>
          </w:p>
        </w:tc>
        <w:tc>
          <w:tcPr>
            <w:tcW w:w="665"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南</w:t>
            </w:r>
          </w:p>
        </w:tc>
        <w:tc>
          <w:tcPr>
            <w:tcW w:w="915"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西</w:t>
            </w:r>
          </w:p>
        </w:tc>
        <w:tc>
          <w:tcPr>
            <w:tcW w:w="697"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2"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832" w:type="pct"/>
            <w:vMerge w:val="continue"/>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p>
        </w:tc>
        <w:tc>
          <w:tcPr>
            <w:tcW w:w="1080"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昼间/夜间</w:t>
            </w:r>
          </w:p>
        </w:tc>
        <w:tc>
          <w:tcPr>
            <w:tcW w:w="665"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昼间/夜间</w:t>
            </w:r>
          </w:p>
        </w:tc>
        <w:tc>
          <w:tcPr>
            <w:tcW w:w="915"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昼间/夜间</w:t>
            </w:r>
          </w:p>
        </w:tc>
        <w:tc>
          <w:tcPr>
            <w:tcW w:w="697"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昼间/夜间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2"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生产车间</w:t>
            </w:r>
          </w:p>
        </w:tc>
        <w:tc>
          <w:tcPr>
            <w:tcW w:w="832"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贡献值</w:t>
            </w:r>
          </w:p>
        </w:tc>
        <w:tc>
          <w:tcPr>
            <w:tcW w:w="1080"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59.1/51.3</w:t>
            </w:r>
          </w:p>
        </w:tc>
        <w:tc>
          <w:tcPr>
            <w:tcW w:w="665"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59.6/51.5</w:t>
            </w:r>
          </w:p>
        </w:tc>
        <w:tc>
          <w:tcPr>
            <w:tcW w:w="915"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60.8/52.6</w:t>
            </w:r>
          </w:p>
        </w:tc>
        <w:tc>
          <w:tcPr>
            <w:tcW w:w="697"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60.7/51.9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2" w:type="pct"/>
            <w:vMerge w:val="continue"/>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p>
        </w:tc>
        <w:tc>
          <w:tcPr>
            <w:tcW w:w="832"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标准值</w:t>
            </w:r>
          </w:p>
        </w:tc>
        <w:tc>
          <w:tcPr>
            <w:tcW w:w="1080"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65/55</w:t>
            </w:r>
          </w:p>
        </w:tc>
        <w:tc>
          <w:tcPr>
            <w:tcW w:w="665"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65/55</w:t>
            </w:r>
          </w:p>
        </w:tc>
        <w:tc>
          <w:tcPr>
            <w:tcW w:w="915"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65/55</w:t>
            </w:r>
          </w:p>
        </w:tc>
        <w:tc>
          <w:tcPr>
            <w:tcW w:w="697"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2" w:type="pct"/>
            <w:vMerge w:val="continue"/>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p>
        </w:tc>
        <w:tc>
          <w:tcPr>
            <w:tcW w:w="832"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预测</w:t>
            </w:r>
            <w:r>
              <w:rPr>
                <w:rFonts w:ascii="Times New Roman" w:hAnsi="Times New Roman"/>
                <w:color w:val="auto"/>
                <w:sz w:val="21"/>
              </w:rPr>
              <w:t>值</w:t>
            </w:r>
          </w:p>
        </w:tc>
        <w:tc>
          <w:tcPr>
            <w:tcW w:w="1080"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59.1/51.3</w:t>
            </w:r>
          </w:p>
        </w:tc>
        <w:tc>
          <w:tcPr>
            <w:tcW w:w="665"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59.6/51.5</w:t>
            </w:r>
          </w:p>
        </w:tc>
        <w:tc>
          <w:tcPr>
            <w:tcW w:w="915"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60.8/52.6</w:t>
            </w:r>
          </w:p>
        </w:tc>
        <w:tc>
          <w:tcPr>
            <w:tcW w:w="697"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60.7/51.9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2" w:type="pct"/>
            <w:vMerge w:val="continue"/>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p>
        </w:tc>
        <w:tc>
          <w:tcPr>
            <w:tcW w:w="832" w:type="pct"/>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ascii="Times New Roman" w:hAnsi="Times New Roman"/>
                <w:color w:val="auto"/>
                <w:sz w:val="21"/>
              </w:rPr>
              <w:t>达标情况</w:t>
            </w:r>
          </w:p>
        </w:tc>
        <w:tc>
          <w:tcPr>
            <w:tcW w:w="1080"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达标</w:t>
            </w:r>
          </w:p>
        </w:tc>
        <w:tc>
          <w:tcPr>
            <w:tcW w:w="665"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达标</w:t>
            </w:r>
          </w:p>
        </w:tc>
        <w:tc>
          <w:tcPr>
            <w:tcW w:w="915" w:type="pct"/>
            <w:tcBorders>
              <w:righ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color w:val="auto"/>
                <w:sz w:val="21"/>
              </w:rPr>
            </w:pPr>
            <w:r>
              <w:rPr>
                <w:rFonts w:hint="eastAsia" w:ascii="Times New Roman" w:hAnsi="Times New Roman"/>
                <w:color w:val="auto"/>
                <w:sz w:val="21"/>
              </w:rPr>
              <w:t>达标</w:t>
            </w:r>
          </w:p>
        </w:tc>
        <w:tc>
          <w:tcPr>
            <w:tcW w:w="697" w:type="pct"/>
            <w:tcBorders>
              <w:left w:val="single" w:color="auto" w:sz="4" w:space="0"/>
            </w:tcBorders>
            <w:vAlign w:val="center"/>
          </w:tcPr>
          <w:p>
            <w:pPr>
              <w:keepNext w:val="0"/>
              <w:keepLines w:val="0"/>
              <w:suppressLineNumbers w:val="0"/>
              <w:spacing w:before="0" w:beforeAutospacing="0" w:after="0" w:afterAutospacing="0" w:line="240" w:lineRule="auto"/>
              <w:ind w:left="-142" w:leftChars="-59" w:right="-108" w:rightChars="-45" w:firstLine="0" w:firstLineChars="0"/>
              <w:jc w:val="center"/>
              <w:rPr>
                <w:rFonts w:ascii="Times New Roman" w:hAnsi="Times New Roman"/>
                <w:b/>
                <w:color w:val="auto"/>
                <w:sz w:val="21"/>
              </w:rPr>
            </w:pPr>
            <w:r>
              <w:rPr>
                <w:rFonts w:hint="eastAsia" w:ascii="Times New Roman" w:hAnsi="Times New Roman"/>
                <w:color w:val="auto"/>
                <w:sz w:val="21"/>
              </w:rPr>
              <w:t>达标</w:t>
            </w:r>
          </w:p>
        </w:tc>
      </w:tr>
    </w:tbl>
    <w:p>
      <w:pPr>
        <w:ind w:firstLine="480"/>
        <w:rPr>
          <w:rFonts w:ascii="Times New Roman" w:hAnsi="Times New Roman"/>
          <w:color w:val="auto"/>
        </w:rPr>
      </w:pPr>
      <w:r>
        <w:rPr>
          <w:rFonts w:ascii="Times New Roman" w:hAnsi="Times New Roman"/>
          <w:color w:val="auto"/>
        </w:rPr>
        <w:t>由预计结果可知，</w:t>
      </w:r>
      <w:r>
        <w:rPr>
          <w:rFonts w:hint="eastAsia" w:ascii="Times New Roman" w:hAnsi="Times New Roman"/>
          <w:color w:val="auto"/>
        </w:rPr>
        <w:t>各侧厂界预测点昼夜间噪声均符合《工业企业厂界环境噪声排放标准》(</w:t>
      </w:r>
      <w:r>
        <w:rPr>
          <w:rFonts w:ascii="Times New Roman" w:hAnsi="Times New Roman"/>
          <w:color w:val="auto"/>
        </w:rPr>
        <w:t>GB12348-</w:t>
      </w:r>
      <w:r>
        <w:rPr>
          <w:rFonts w:hint="eastAsia" w:ascii="Times New Roman" w:hAnsi="Times New Roman"/>
          <w:color w:val="auto"/>
        </w:rPr>
        <w:t>2008)中的3类标准限值。</w:t>
      </w:r>
      <w:r>
        <w:rPr>
          <w:rFonts w:ascii="Times New Roman" w:hAnsi="Times New Roman"/>
          <w:color w:val="auto"/>
        </w:rPr>
        <w:t>本项目噪声经墙体隔声、距离衰减后对敏感点影响不大。</w:t>
      </w:r>
    </w:p>
    <w:p>
      <w:pPr>
        <w:ind w:firstLine="480"/>
        <w:rPr>
          <w:rFonts w:ascii="Times New Roman" w:hAnsi="Times New Roman"/>
          <w:color w:val="auto"/>
        </w:rPr>
      </w:pPr>
      <w:r>
        <w:rPr>
          <w:rFonts w:ascii="Times New Roman" w:hAnsi="Times New Roman"/>
          <w:color w:val="auto"/>
        </w:rPr>
        <w:t>为减少营运期噪声的不利影响，环评提出以下噪声防治措施：</w:t>
      </w:r>
    </w:p>
    <w:p>
      <w:pPr>
        <w:ind w:firstLine="480"/>
        <w:rPr>
          <w:rFonts w:ascii="Times New Roman" w:hAnsi="Times New Roman"/>
          <w:color w:val="auto"/>
        </w:rPr>
      </w:pPr>
      <w:r>
        <w:rPr>
          <w:rFonts w:ascii="Times New Roman" w:hAnsi="Times New Roman"/>
          <w:color w:val="auto"/>
        </w:rPr>
        <w:t>（1）加强设备的维护保养，确保设备处于良好的运转状态，杜绝因设备不正常运行时产生的高噪声。</w:t>
      </w:r>
    </w:p>
    <w:p>
      <w:pPr>
        <w:ind w:firstLine="480"/>
        <w:rPr>
          <w:rFonts w:ascii="Times New Roman" w:hAnsi="Times New Roman"/>
          <w:color w:val="auto"/>
        </w:rPr>
      </w:pPr>
      <w:r>
        <w:rPr>
          <w:rFonts w:ascii="Times New Roman" w:hAnsi="Times New Roman"/>
          <w:color w:val="auto"/>
        </w:rPr>
        <w:t>（2）车间内合理布局，重视总平面布置，生产时尽量减少门窗的开启频率，以降低噪声的传播和干扰。高噪声设备尽量远离车间门窗，必要时设置隔声罩或隔声间。</w:t>
      </w:r>
    </w:p>
    <w:p>
      <w:pPr>
        <w:ind w:firstLine="480"/>
        <w:rPr>
          <w:rFonts w:ascii="Times New Roman" w:hAnsi="Times New Roman"/>
          <w:color w:val="auto"/>
        </w:rPr>
      </w:pPr>
      <w:r>
        <w:rPr>
          <w:rFonts w:ascii="Times New Roman" w:hAnsi="Times New Roman"/>
          <w:color w:val="auto"/>
        </w:rPr>
        <w:t>（3）对排风管道采取消声减震措施（如管道阻尼包扎工作、管道连接处采用软连接，管道与基础、墙体连接处加装减振垫，进出口处加装消音器），并在墙上进行加固，减少因风机噪声和管道振动引起的低频噪声对周围环境和自身的影响。</w:t>
      </w:r>
    </w:p>
    <w:p>
      <w:pPr>
        <w:pStyle w:val="4"/>
        <w:numPr>
          <w:ilvl w:val="0"/>
          <w:numId w:val="31"/>
        </w:numPr>
        <w:spacing w:beforeLines="0"/>
        <w:rPr>
          <w:rFonts w:ascii="Times New Roman" w:hAnsi="Times New Roman"/>
          <w:color w:val="auto"/>
          <w:sz w:val="24"/>
          <w:szCs w:val="24"/>
        </w:rPr>
      </w:pPr>
      <w:r>
        <w:rPr>
          <w:rFonts w:ascii="Times New Roman" w:hAnsi="Times New Roman"/>
          <w:color w:val="auto"/>
          <w:sz w:val="24"/>
          <w:szCs w:val="24"/>
        </w:rPr>
        <w:t>固体废物环境影响分析</w:t>
      </w:r>
    </w:p>
    <w:p>
      <w:pPr>
        <w:ind w:firstLine="480"/>
        <w:rPr>
          <w:rFonts w:ascii="Times New Roman" w:hAnsi="Times New Roman"/>
          <w:color w:val="auto"/>
        </w:rPr>
      </w:pPr>
      <w:r>
        <w:rPr>
          <w:rFonts w:ascii="Times New Roman" w:hAnsi="Times New Roman"/>
          <w:color w:val="auto"/>
        </w:rPr>
        <w:t>本项目</w:t>
      </w:r>
      <w:r>
        <w:rPr>
          <w:rFonts w:hint="eastAsia" w:ascii="Times New Roman" w:hAnsi="Times New Roman"/>
          <w:color w:val="auto"/>
        </w:rPr>
        <w:t>产生的</w:t>
      </w:r>
      <w:r>
        <w:rPr>
          <w:rFonts w:ascii="Times New Roman" w:hAnsi="Times New Roman"/>
          <w:color w:val="auto"/>
        </w:rPr>
        <w:t>固废主要包括</w:t>
      </w:r>
      <w:r>
        <w:rPr>
          <w:rFonts w:hint="eastAsia" w:ascii="Times New Roman" w:hAnsi="Times New Roman"/>
          <w:color w:val="auto"/>
        </w:rPr>
        <w:t>边角料、挤出机废弃过滤网、一般分拣废物、危险分拣废物、边角料、废活性炭、废齿轮油、油烟处理收集的废油、</w:t>
      </w:r>
      <w:r>
        <w:rPr>
          <w:rFonts w:hint="eastAsia" w:ascii="Times New Roman" w:hAnsi="Times New Roman"/>
          <w:color w:val="auto"/>
          <w:szCs w:val="22"/>
        </w:rPr>
        <w:t>废UV灯管、</w:t>
      </w:r>
      <w:r>
        <w:rPr>
          <w:rFonts w:hint="eastAsia" w:ascii="Times New Roman" w:hAnsi="Times New Roman"/>
          <w:color w:val="auto"/>
        </w:rPr>
        <w:t>废包装材料</w:t>
      </w:r>
      <w:r>
        <w:rPr>
          <w:rFonts w:ascii="Times New Roman" w:hAnsi="Times New Roman"/>
          <w:color w:val="auto"/>
        </w:rPr>
        <w:t>以及生活垃圾</w:t>
      </w:r>
      <w:r>
        <w:rPr>
          <w:rFonts w:hint="eastAsia" w:ascii="Times New Roman" w:hAnsi="Times New Roman"/>
          <w:color w:val="auto"/>
        </w:rPr>
        <w:t>。</w:t>
      </w:r>
    </w:p>
    <w:p>
      <w:pPr>
        <w:ind w:firstLine="480"/>
        <w:rPr>
          <w:rFonts w:ascii="Times New Roman" w:hAnsi="Times New Roman"/>
          <w:color w:val="auto"/>
          <w:lang w:val="zh-CN"/>
        </w:rPr>
      </w:pPr>
      <w:r>
        <w:rPr>
          <w:rFonts w:ascii="Times New Roman" w:hAnsi="Times New Roman"/>
          <w:color w:val="auto"/>
          <w:lang w:val="zh-CN"/>
        </w:rPr>
        <w:t>固体废弃物对环境的影响主要是通过雨淋、风吹等作用对水体和空气产生二次污染。未经处理的生活垃圾是病原菌的滋生地。固废如不进行及时妥善处置，除有损环境美观外，还会腐化产生恶臭，招引蚊虫、苍蝇等动物，并通过该类动物使细菌得以散播，污染周围环境空气，影响周边居民生活环境。因此要切实做好固废的分类收集及及时清运、处理，防止对周边环境产生明显不利的影响。</w:t>
      </w:r>
    </w:p>
    <w:p>
      <w:pPr>
        <w:ind w:firstLine="480"/>
        <w:rPr>
          <w:rFonts w:ascii="Times New Roman" w:hAnsi="Times New Roman"/>
          <w:color w:val="auto"/>
          <w:lang w:val="zh-CN"/>
        </w:rPr>
      </w:pPr>
      <w:r>
        <w:rPr>
          <w:rFonts w:ascii="Times New Roman" w:hAnsi="Times New Roman"/>
          <w:color w:val="auto"/>
          <w:lang w:val="zh-CN"/>
        </w:rPr>
        <w:t>（1）一般固体废物环境影响分析</w:t>
      </w:r>
    </w:p>
    <w:p>
      <w:pPr>
        <w:ind w:firstLine="480"/>
        <w:rPr>
          <w:rFonts w:ascii="Times New Roman" w:hAnsi="Times New Roman"/>
          <w:color w:val="auto"/>
        </w:rPr>
      </w:pPr>
      <w:r>
        <w:rPr>
          <w:rFonts w:ascii="Times New Roman" w:hAnsi="Times New Roman"/>
          <w:color w:val="auto"/>
        </w:rPr>
        <w:t>固废应有固定的专门存放</w:t>
      </w:r>
      <w:r>
        <w:rPr>
          <w:rFonts w:ascii="Times New Roman" w:hAnsi="Times New Roman"/>
          <w:color w:val="auto"/>
          <w:szCs w:val="24"/>
        </w:rPr>
        <w:t>场地，分类贮存、规范包装并应防止风吹、日晒、雨淋，不能乱堆乱放，严格执行《一般工业固体废物贮存、处置场污染控制标准》（GB18599-2001）及修改单中的相关要求。</w:t>
      </w:r>
      <w:r>
        <w:rPr>
          <w:rFonts w:hint="eastAsia" w:ascii="Times New Roman" w:hAnsi="Times New Roman"/>
          <w:color w:val="auto"/>
          <w:szCs w:val="24"/>
        </w:rPr>
        <w:t>废包装材料和一般分拣废物由相关单位回收综合利用；</w:t>
      </w:r>
      <w:r>
        <w:rPr>
          <w:rFonts w:ascii="Times New Roman"/>
          <w:color w:val="auto"/>
        </w:rPr>
        <w:t>项目</w:t>
      </w:r>
      <w:r>
        <w:rPr>
          <w:rFonts w:ascii="Times New Roman" w:hAnsi="Times New Roman"/>
          <w:color w:val="auto"/>
        </w:rPr>
        <w:t>挤出机废弃过滤网由废塑料加工单位回收进行滤网再生</w:t>
      </w:r>
      <w:r>
        <w:rPr>
          <w:rFonts w:hint="eastAsia" w:ascii="Times New Roman" w:hAnsi="Times New Roman"/>
          <w:color w:val="auto"/>
        </w:rPr>
        <w:t>；</w:t>
      </w:r>
      <w:r>
        <w:rPr>
          <w:rFonts w:hint="eastAsia" w:ascii="Times New Roman" w:hAnsi="Times New Roman"/>
          <w:color w:val="auto"/>
          <w:szCs w:val="24"/>
        </w:rPr>
        <w:t>收集的粉尘和</w:t>
      </w:r>
      <w:r>
        <w:rPr>
          <w:rFonts w:ascii="Times New Roman" w:hAnsi="Times New Roman"/>
          <w:color w:val="auto"/>
          <w:szCs w:val="24"/>
        </w:rPr>
        <w:t>生活垃圾收集</w:t>
      </w:r>
      <w:r>
        <w:rPr>
          <w:rFonts w:hint="eastAsia" w:ascii="Times New Roman" w:hAnsi="Times New Roman"/>
          <w:color w:val="auto"/>
          <w:szCs w:val="24"/>
        </w:rPr>
        <w:t>后</w:t>
      </w:r>
      <w:r>
        <w:rPr>
          <w:rFonts w:ascii="Times New Roman" w:hAnsi="Times New Roman"/>
          <w:color w:val="auto"/>
          <w:szCs w:val="24"/>
        </w:rPr>
        <w:t>委托环卫部门统一处理、处置。</w:t>
      </w:r>
    </w:p>
    <w:p>
      <w:pPr>
        <w:ind w:firstLine="480"/>
        <w:rPr>
          <w:rFonts w:ascii="Times New Roman" w:hAnsi="Times New Roman"/>
          <w:color w:val="auto"/>
          <w:lang w:val="zh-CN"/>
        </w:rPr>
      </w:pPr>
      <w:r>
        <w:rPr>
          <w:rFonts w:ascii="Times New Roman" w:hAnsi="Times New Roman"/>
          <w:color w:val="auto"/>
          <w:lang w:val="zh-CN"/>
        </w:rPr>
        <w:t>（2）危险废物环境影响分析</w:t>
      </w:r>
    </w:p>
    <w:p>
      <w:pPr>
        <w:ind w:firstLine="480"/>
        <w:rPr>
          <w:rFonts w:ascii="Times New Roman" w:hAnsi="Times New Roman"/>
          <w:color w:val="auto"/>
          <w:lang w:bidi="zh-CN"/>
        </w:rPr>
      </w:pPr>
      <w:r>
        <w:rPr>
          <w:rFonts w:ascii="Times New Roman" w:hAnsi="Times New Roman"/>
          <w:color w:val="auto"/>
          <w:lang w:bidi="zh-CN"/>
        </w:rPr>
        <w:t>按照《危险废物贮存污染控制标准》（GB18597-2001）中“6.1 危险废物集中贮存设施的选址原则”的相关要求对本项目危险废物贮存场所进行符合性分析，具体如下：</w:t>
      </w:r>
    </w:p>
    <w:p>
      <w:pPr>
        <w:pStyle w:val="31"/>
        <w:tabs>
          <w:tab w:val="left" w:pos="3324"/>
        </w:tabs>
        <w:spacing w:after="0"/>
        <w:ind w:left="2285" w:firstLine="482"/>
        <w:rPr>
          <w:b/>
          <w:color w:val="auto"/>
        </w:rPr>
      </w:pPr>
      <w:r>
        <w:rPr>
          <w:b/>
          <w:color w:val="auto"/>
        </w:rPr>
        <w:t>表</w:t>
      </w:r>
      <w:r>
        <w:rPr>
          <w:b/>
          <w:color w:val="auto"/>
          <w:spacing w:val="-61"/>
        </w:rPr>
        <w:t xml:space="preserve"> </w:t>
      </w:r>
      <w:r>
        <w:rPr>
          <w:b/>
          <w:color w:val="auto"/>
        </w:rPr>
        <w:t>5</w:t>
      </w:r>
      <w:r>
        <w:rPr>
          <w:rFonts w:hint="eastAsia"/>
          <w:b/>
          <w:color w:val="auto"/>
        </w:rPr>
        <w:t xml:space="preserve">-34 </w:t>
      </w:r>
      <w:r>
        <w:rPr>
          <w:b/>
          <w:color w:val="auto"/>
        </w:rPr>
        <w:t>项目建设条件与标准要求对比分析结果</w:t>
      </w:r>
    </w:p>
    <w:tbl>
      <w:tblPr>
        <w:tblStyle w:val="83"/>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63"/>
        <w:gridCol w:w="5048"/>
        <w:gridCol w:w="2178"/>
        <w:gridCol w:w="9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375"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w w:val="99"/>
                <w:sz w:val="21"/>
                <w:szCs w:val="21"/>
              </w:rPr>
              <w:t>序号</w:t>
            </w:r>
          </w:p>
        </w:tc>
        <w:tc>
          <w:tcPr>
            <w:tcW w:w="2856"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标准要求</w:t>
            </w:r>
          </w:p>
        </w:tc>
        <w:tc>
          <w:tcPr>
            <w:tcW w:w="1232"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项目建设条件</w:t>
            </w:r>
          </w:p>
        </w:tc>
        <w:tc>
          <w:tcPr>
            <w:tcW w:w="537"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符合性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375" w:type="pct"/>
            <w:vMerge w:val="restar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选址</w:t>
            </w:r>
          </w:p>
        </w:tc>
        <w:tc>
          <w:tcPr>
            <w:tcW w:w="2856"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地质结构稳定，地震烈度不超过7度</w:t>
            </w:r>
          </w:p>
        </w:tc>
        <w:tc>
          <w:tcPr>
            <w:tcW w:w="1232"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地质结构稳定，地</w:t>
            </w:r>
          </w:p>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震烈度为6度</w:t>
            </w:r>
          </w:p>
        </w:tc>
        <w:tc>
          <w:tcPr>
            <w:tcW w:w="537"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375" w:type="pct"/>
            <w:vMerge w:val="continue"/>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p>
        </w:tc>
        <w:tc>
          <w:tcPr>
            <w:tcW w:w="2856"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避免建在溶洞区或易遭受严重自然灾害如洪水</w:t>
            </w:r>
            <w:r>
              <w:rPr>
                <w:rFonts w:ascii="Times New Roman" w:hAnsi="Times New Roman" w:cs="Times New Roman"/>
                <w:color w:val="auto"/>
                <w:w w:val="95"/>
                <w:sz w:val="21"/>
                <w:szCs w:val="21"/>
              </w:rPr>
              <w:t>、</w:t>
            </w:r>
            <w:r>
              <w:rPr>
                <w:rFonts w:ascii="Times New Roman" w:hAnsi="Times New Roman" w:cs="Times New Roman"/>
                <w:color w:val="auto"/>
                <w:sz w:val="21"/>
                <w:szCs w:val="21"/>
              </w:rPr>
              <w:t>滑坡，泥石流、潮汐等影响的地区</w:t>
            </w:r>
          </w:p>
        </w:tc>
        <w:tc>
          <w:tcPr>
            <w:tcW w:w="1232"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不在上述区域内</w:t>
            </w:r>
          </w:p>
        </w:tc>
        <w:tc>
          <w:tcPr>
            <w:tcW w:w="537"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375" w:type="pct"/>
            <w:vMerge w:val="continue"/>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p>
        </w:tc>
        <w:tc>
          <w:tcPr>
            <w:tcW w:w="2856"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应在易燃、易爆等危险品仓库、高压输电线路防</w:t>
            </w:r>
          </w:p>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护区域以外</w:t>
            </w:r>
          </w:p>
        </w:tc>
        <w:tc>
          <w:tcPr>
            <w:tcW w:w="1232"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不在上述区域内</w:t>
            </w:r>
          </w:p>
        </w:tc>
        <w:tc>
          <w:tcPr>
            <w:tcW w:w="537"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6" w:hRule="atLeast"/>
        </w:trPr>
        <w:tc>
          <w:tcPr>
            <w:tcW w:w="375" w:type="pct"/>
            <w:vMerge w:val="continue"/>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p>
        </w:tc>
        <w:tc>
          <w:tcPr>
            <w:tcW w:w="2856"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应位于居民中心区常年最大风频的下风向</w:t>
            </w:r>
          </w:p>
        </w:tc>
        <w:tc>
          <w:tcPr>
            <w:tcW w:w="1232"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居民区下风向</w:t>
            </w:r>
          </w:p>
        </w:tc>
        <w:tc>
          <w:tcPr>
            <w:tcW w:w="537" w:type="pct"/>
            <w:vAlign w:val="center"/>
          </w:tcPr>
          <w:p>
            <w:pPr>
              <w:pStyle w:val="788"/>
              <w:keepNext w:val="0"/>
              <w:keepLines w:val="0"/>
              <w:suppressLineNumbers w:val="0"/>
              <w:spacing w:before="0" w:beforeAutospacing="0" w:after="0" w:afterAutospacing="0"/>
              <w:ind w:left="0" w:right="0"/>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bl>
    <w:p>
      <w:pPr>
        <w:ind w:firstLine="480"/>
        <w:rPr>
          <w:rFonts w:ascii="Times New Roman" w:hAnsi="Times New Roman"/>
          <w:color w:val="auto"/>
        </w:rPr>
      </w:pPr>
      <w:r>
        <w:rPr>
          <w:rFonts w:ascii="Times New Roman" w:hAnsi="Times New Roman"/>
          <w:color w:val="auto"/>
          <w:lang w:bidi="zh-CN"/>
        </w:rPr>
        <w:t>危险废物临时贮存场所严格按照《危险废物贮存污染控制标准》（GB18597-2001）及修改单进行设计，采取基础防渗、防火、防雨、防晒、防扬散、通风，配备照明设施等防治环境污染措施。贮存场所处粘贴危险废物标签，并作好相应的记录。危险废物由危废处置单位定期清运处理，包装容器为密封容器，容器上粘贴标签，注明种类、成分、危险类别、产地、禁忌与安全措施等，并采用专用密闭车辆，保证运输过程无泄漏。</w:t>
      </w:r>
    </w:p>
    <w:p>
      <w:pPr>
        <w:topLinePunct/>
        <w:adjustRightInd w:val="0"/>
        <w:snapToGrid w:val="0"/>
        <w:spacing w:line="240" w:lineRule="auto"/>
        <w:ind w:firstLine="422"/>
        <w:jc w:val="center"/>
        <w:rPr>
          <w:rFonts w:ascii="Times New Roman" w:hAnsi="Times New Roman"/>
          <w:b/>
          <w:color w:val="auto"/>
          <w:sz w:val="21"/>
        </w:rPr>
      </w:pPr>
      <w:r>
        <w:rPr>
          <w:rFonts w:ascii="Times New Roman" w:hAnsi="Times New Roman"/>
          <w:b/>
          <w:color w:val="auto"/>
          <w:sz w:val="21"/>
        </w:rPr>
        <w:t>表5-3</w:t>
      </w:r>
      <w:r>
        <w:rPr>
          <w:rFonts w:hint="eastAsia" w:ascii="Times New Roman" w:hAnsi="Times New Roman"/>
          <w:b/>
          <w:color w:val="auto"/>
          <w:sz w:val="21"/>
        </w:rPr>
        <w:t>5</w:t>
      </w:r>
      <w:r>
        <w:rPr>
          <w:rFonts w:ascii="Times New Roman" w:hAnsi="Times New Roman"/>
          <w:b/>
          <w:color w:val="auto"/>
          <w:sz w:val="21"/>
        </w:rPr>
        <w:t xml:space="preserve"> 建设项目危险废物贮存场所（设施）基本情况样表</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218"/>
        <w:gridCol w:w="1224"/>
        <w:gridCol w:w="1139"/>
        <w:gridCol w:w="1370"/>
        <w:gridCol w:w="741"/>
        <w:gridCol w:w="725"/>
        <w:gridCol w:w="757"/>
        <w:gridCol w:w="777"/>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47"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674"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贮存场所（设施）</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名称</w:t>
            </w:r>
          </w:p>
        </w:tc>
        <w:tc>
          <w:tcPr>
            <w:tcW w:w="677"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危险废物名称</w:t>
            </w:r>
          </w:p>
        </w:tc>
        <w:tc>
          <w:tcPr>
            <w:tcW w:w="63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危险废物类别</w:t>
            </w:r>
          </w:p>
        </w:tc>
        <w:tc>
          <w:tcPr>
            <w:tcW w:w="758"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危险废物代码</w:t>
            </w:r>
          </w:p>
        </w:tc>
        <w:tc>
          <w:tcPr>
            <w:tcW w:w="41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位置</w:t>
            </w:r>
          </w:p>
        </w:tc>
        <w:tc>
          <w:tcPr>
            <w:tcW w:w="401"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占地面积</w:t>
            </w:r>
          </w:p>
        </w:tc>
        <w:tc>
          <w:tcPr>
            <w:tcW w:w="419"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贮存方式</w:t>
            </w:r>
          </w:p>
        </w:tc>
        <w:tc>
          <w:tcPr>
            <w:tcW w:w="43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贮存</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能力</w:t>
            </w:r>
          </w:p>
        </w:tc>
        <w:tc>
          <w:tcPr>
            <w:tcW w:w="354"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贮存</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674" w:type="pct"/>
            <w:vMerge w:val="restar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危废暂存间</w:t>
            </w:r>
          </w:p>
        </w:tc>
        <w:tc>
          <w:tcPr>
            <w:tcW w:w="6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63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HW49</w:t>
            </w:r>
          </w:p>
        </w:tc>
        <w:tc>
          <w:tcPr>
            <w:tcW w:w="7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900-041-49</w:t>
            </w:r>
          </w:p>
        </w:tc>
        <w:tc>
          <w:tcPr>
            <w:tcW w:w="410" w:type="pct"/>
            <w:vMerge w:val="restar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车间</w:t>
            </w:r>
            <w:r>
              <w:rPr>
                <w:rFonts w:hint="eastAsia" w:ascii="Times New Roman" w:hAnsi="Times New Roman"/>
                <w:color w:val="auto"/>
                <w:sz w:val="21"/>
              </w:rPr>
              <w:t>3F东南</w:t>
            </w:r>
            <w:r>
              <w:rPr>
                <w:rFonts w:ascii="Times New Roman" w:hAnsi="Times New Roman"/>
                <w:color w:val="auto"/>
                <w:sz w:val="21"/>
              </w:rPr>
              <w:t>角</w:t>
            </w:r>
          </w:p>
        </w:tc>
        <w:tc>
          <w:tcPr>
            <w:tcW w:w="401" w:type="pct"/>
            <w:vMerge w:val="restar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r>
              <w:rPr>
                <w:rFonts w:ascii="Times New Roman" w:hAnsi="Times New Roman"/>
                <w:color w:val="auto"/>
                <w:sz w:val="21"/>
              </w:rPr>
              <w:t>5m</w:t>
            </w:r>
            <w:r>
              <w:rPr>
                <w:rFonts w:ascii="Times New Roman" w:hAnsi="Times New Roman"/>
                <w:color w:val="auto"/>
                <w:sz w:val="21"/>
                <w:vertAlign w:val="superscript"/>
              </w:rPr>
              <w:t>2</w:t>
            </w:r>
          </w:p>
        </w:tc>
        <w:tc>
          <w:tcPr>
            <w:tcW w:w="419" w:type="pct"/>
            <w:vMerge w:val="restar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塑料桶存放</w:t>
            </w:r>
          </w:p>
        </w:tc>
        <w:tc>
          <w:tcPr>
            <w:tcW w:w="4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1t</w:t>
            </w:r>
          </w:p>
        </w:tc>
        <w:tc>
          <w:tcPr>
            <w:tcW w:w="354"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674"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6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63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HW49</w:t>
            </w:r>
          </w:p>
        </w:tc>
        <w:tc>
          <w:tcPr>
            <w:tcW w:w="7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900-041-49</w:t>
            </w:r>
          </w:p>
        </w:tc>
        <w:tc>
          <w:tcPr>
            <w:tcW w:w="410"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01"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19"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r>
              <w:rPr>
                <w:rFonts w:ascii="Times New Roman" w:hAnsi="Times New Roman"/>
                <w:color w:val="auto"/>
                <w:sz w:val="21"/>
              </w:rPr>
              <w:t xml:space="preserve"> t</w:t>
            </w:r>
          </w:p>
        </w:tc>
        <w:tc>
          <w:tcPr>
            <w:tcW w:w="354"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674"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6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63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HW08</w:t>
            </w:r>
          </w:p>
        </w:tc>
        <w:tc>
          <w:tcPr>
            <w:tcW w:w="7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900-249-08</w:t>
            </w:r>
          </w:p>
        </w:tc>
        <w:tc>
          <w:tcPr>
            <w:tcW w:w="410"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01"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19"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0.2t</w:t>
            </w:r>
          </w:p>
        </w:tc>
        <w:tc>
          <w:tcPr>
            <w:tcW w:w="354"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674"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6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63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HW08</w:t>
            </w:r>
          </w:p>
        </w:tc>
        <w:tc>
          <w:tcPr>
            <w:tcW w:w="7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900-249-08</w:t>
            </w:r>
          </w:p>
        </w:tc>
        <w:tc>
          <w:tcPr>
            <w:tcW w:w="410"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01"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19"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 t</w:t>
            </w:r>
          </w:p>
        </w:tc>
        <w:tc>
          <w:tcPr>
            <w:tcW w:w="354"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w:t>
            </w:r>
          </w:p>
        </w:tc>
        <w:tc>
          <w:tcPr>
            <w:tcW w:w="674"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67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630"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HW08</w:t>
            </w:r>
          </w:p>
        </w:tc>
        <w:tc>
          <w:tcPr>
            <w:tcW w:w="75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900-249-08</w:t>
            </w:r>
          </w:p>
        </w:tc>
        <w:tc>
          <w:tcPr>
            <w:tcW w:w="410"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01"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19" w:type="pct"/>
            <w:vMerge w:val="continue"/>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430"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354" w:type="pct"/>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1年</w:t>
            </w:r>
          </w:p>
        </w:tc>
      </w:tr>
    </w:tbl>
    <w:p>
      <w:pPr>
        <w:tabs>
          <w:tab w:val="left" w:pos="3465"/>
        </w:tabs>
        <w:ind w:firstLine="480"/>
        <w:rPr>
          <w:rFonts w:ascii="Times New Roman" w:hAnsi="Times New Roman"/>
          <w:color w:val="auto"/>
        </w:rPr>
      </w:pPr>
      <w:r>
        <w:rPr>
          <w:rFonts w:hint="eastAsia" w:ascii="Times New Roman" w:hAnsi="Times New Roman" w:cs="宋体"/>
          <w:color w:val="auto"/>
        </w:rPr>
        <w:t>②</w:t>
      </w:r>
      <w:r>
        <w:rPr>
          <w:rFonts w:ascii="Times New Roman" w:hAnsi="Times New Roman"/>
          <w:color w:val="auto"/>
        </w:rPr>
        <w:t>运输过程的环境影响分析</w:t>
      </w:r>
    </w:p>
    <w:p>
      <w:pPr>
        <w:tabs>
          <w:tab w:val="left" w:pos="3465"/>
        </w:tabs>
        <w:ind w:firstLine="480"/>
        <w:rPr>
          <w:rFonts w:ascii="Times New Roman" w:hAnsi="Times New Roman"/>
          <w:color w:val="auto"/>
        </w:rPr>
      </w:pPr>
      <w:r>
        <w:rPr>
          <w:rFonts w:ascii="Times New Roman" w:hAnsi="Times New Roman"/>
          <w:color w:val="auto"/>
        </w:rPr>
        <w:t>本项目所暂存的危险废物，全部采用公路运输，委托有相应运输资质的运输公司运输至有资质的危废处置单位，并且使用特殊标志的专业运输车辆。在正常操作运输情况下，发生交通事故概率较低，运输过程基本不会对环境产生影响。但在暴雨、阴雨天、台风、大雾及冬季下雪路面结冰等恶劣天气下，交通事故发生概率会随之上升。危险废物一旦散落，将对水体、土壤等环境产生影响。因此，只要企业委托有危险废物运输资质的单位承运项目危险废物，同时督促运输公司在运输过程中要加强环境管理，确保危险废物不在运输及装卸过程中的破损遗洒和扬散，因此，正常运输过程中对环境影响不大。</w:t>
      </w:r>
    </w:p>
    <w:p>
      <w:pPr>
        <w:tabs>
          <w:tab w:val="left" w:pos="3465"/>
        </w:tabs>
        <w:ind w:firstLine="480"/>
        <w:rPr>
          <w:rFonts w:ascii="Times New Roman" w:hAnsi="Times New Roman"/>
          <w:color w:val="auto"/>
        </w:rPr>
      </w:pPr>
      <w:r>
        <w:rPr>
          <w:rFonts w:hint="eastAsia" w:ascii="Times New Roman" w:hAnsi="Times New Roman" w:cs="宋体"/>
          <w:color w:val="auto"/>
        </w:rPr>
        <w:t>③</w:t>
      </w:r>
      <w:r>
        <w:rPr>
          <w:rFonts w:ascii="Times New Roman" w:hAnsi="Times New Roman"/>
          <w:color w:val="auto"/>
        </w:rPr>
        <w:t>委托处置的环境影响分析</w:t>
      </w:r>
    </w:p>
    <w:p>
      <w:pPr>
        <w:ind w:firstLine="480"/>
        <w:rPr>
          <w:rFonts w:ascii="Times New Roman" w:hAnsi="Times New Roman"/>
          <w:color w:val="auto"/>
        </w:rPr>
      </w:pPr>
      <w:r>
        <w:rPr>
          <w:rFonts w:hint="eastAsia" w:ascii="Times New Roman" w:hAnsi="Times New Roman"/>
          <w:color w:val="auto"/>
        </w:rPr>
        <w:t>废油属于</w:t>
      </w:r>
      <w:r>
        <w:rPr>
          <w:rFonts w:ascii="Times New Roman" w:hAnsi="Times New Roman"/>
          <w:color w:val="auto"/>
        </w:rPr>
        <w:t>属于危险废物，需要委托有资质的单位处理处置。</w:t>
      </w:r>
    </w:p>
    <w:p>
      <w:pPr>
        <w:ind w:firstLine="480"/>
        <w:rPr>
          <w:rFonts w:ascii="Times New Roman" w:hAnsi="Times New Roman"/>
          <w:color w:val="auto"/>
          <w:lang w:val="zh-CN"/>
        </w:rPr>
      </w:pPr>
      <w:r>
        <w:rPr>
          <w:rFonts w:ascii="Times New Roman" w:hAnsi="Times New Roman"/>
          <w:color w:val="auto"/>
        </w:rPr>
        <w:t>综上述所，企业各危险固废妥善处置，对环境影响不大。项目营运期间各固体废物利用处置方式评价表见表5-3</w:t>
      </w:r>
      <w:r>
        <w:rPr>
          <w:rFonts w:hint="eastAsia" w:ascii="Times New Roman" w:hAnsi="Times New Roman"/>
          <w:color w:val="auto"/>
        </w:rPr>
        <w:t>6</w:t>
      </w:r>
      <w:r>
        <w:rPr>
          <w:rFonts w:ascii="Times New Roman" w:hAnsi="Times New Roman"/>
          <w:color w:val="auto"/>
        </w:rPr>
        <w:t>。</w:t>
      </w:r>
    </w:p>
    <w:p>
      <w:pPr>
        <w:adjustRightInd w:val="0"/>
        <w:snapToGrid w:val="0"/>
        <w:ind w:firstLine="480"/>
        <w:rPr>
          <w:rFonts w:ascii="Times New Roman" w:hAnsi="Times New Roman"/>
          <w:color w:val="auto"/>
          <w:szCs w:val="24"/>
        </w:rPr>
      </w:pPr>
      <w:r>
        <w:rPr>
          <w:rFonts w:ascii="Times New Roman" w:hAnsi="Times New Roman"/>
          <w:color w:val="auto"/>
          <w:szCs w:val="24"/>
        </w:rPr>
        <w:t>因此，项目固体废物处理情况见表</w:t>
      </w:r>
      <w:r>
        <w:rPr>
          <w:rFonts w:hint="eastAsia" w:ascii="Times New Roman" w:hAnsi="Times New Roman"/>
          <w:color w:val="auto"/>
          <w:szCs w:val="24"/>
        </w:rPr>
        <w:t>下表</w:t>
      </w:r>
      <w:r>
        <w:rPr>
          <w:rFonts w:ascii="Times New Roman" w:hAnsi="Times New Roman"/>
          <w:color w:val="auto"/>
          <w:szCs w:val="24"/>
        </w:rPr>
        <w:t>。</w:t>
      </w:r>
    </w:p>
    <w:p>
      <w:pPr>
        <w:spacing w:line="240" w:lineRule="auto"/>
        <w:ind w:firstLine="0" w:firstLineChars="0"/>
        <w:jc w:val="center"/>
        <w:rPr>
          <w:rFonts w:ascii="Times New Roman" w:hAnsi="Times New Roman"/>
          <w:b/>
          <w:color w:val="auto"/>
          <w:sz w:val="21"/>
        </w:rPr>
      </w:pPr>
      <w:r>
        <w:rPr>
          <w:rFonts w:ascii="Times New Roman" w:hAnsi="Times New Roman"/>
          <w:b/>
          <w:color w:val="auto"/>
          <w:sz w:val="21"/>
        </w:rPr>
        <w:t>表5-</w:t>
      </w:r>
      <w:r>
        <w:rPr>
          <w:rFonts w:hint="eastAsia" w:ascii="Times New Roman" w:hAnsi="Times New Roman"/>
          <w:b/>
          <w:color w:val="auto"/>
          <w:sz w:val="21"/>
        </w:rPr>
        <w:t>36</w:t>
      </w:r>
      <w:r>
        <w:rPr>
          <w:rFonts w:ascii="Times New Roman" w:hAnsi="Times New Roman"/>
          <w:b/>
          <w:color w:val="auto"/>
          <w:sz w:val="21"/>
        </w:rPr>
        <w:t xml:space="preserve"> 固体废物处理情况汇总</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365"/>
        <w:gridCol w:w="1065"/>
        <w:gridCol w:w="1027"/>
        <w:gridCol w:w="1815"/>
        <w:gridCol w:w="846"/>
        <w:gridCol w:w="1316"/>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blHeader/>
          <w:jc w:val="center"/>
        </w:trPr>
        <w:tc>
          <w:tcPr>
            <w:tcW w:w="261"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序号</w:t>
            </w:r>
          </w:p>
        </w:tc>
        <w:tc>
          <w:tcPr>
            <w:tcW w:w="75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固体废</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物名称</w:t>
            </w:r>
          </w:p>
        </w:tc>
        <w:tc>
          <w:tcPr>
            <w:tcW w:w="58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产生工序</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属性</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废物代码</w:t>
            </w:r>
          </w:p>
        </w:tc>
        <w:tc>
          <w:tcPr>
            <w:tcW w:w="4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预测</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产生量</w:t>
            </w:r>
          </w:p>
        </w:tc>
        <w:tc>
          <w:tcPr>
            <w:tcW w:w="72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利用处</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置方式</w:t>
            </w:r>
          </w:p>
        </w:tc>
        <w:tc>
          <w:tcPr>
            <w:tcW w:w="62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是否符合</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1</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废包装材料</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原料包装</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一般固废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0.3t/a</w:t>
            </w:r>
          </w:p>
        </w:tc>
        <w:tc>
          <w:tcPr>
            <w:tcW w:w="728"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由相关单位回收综合利用</w:t>
            </w:r>
          </w:p>
        </w:tc>
        <w:tc>
          <w:tcPr>
            <w:tcW w:w="62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2</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一般分拣废物</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原料分拣</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一般固废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4.7t/a</w:t>
            </w:r>
          </w:p>
        </w:tc>
        <w:tc>
          <w:tcPr>
            <w:tcW w:w="728"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ascii="Times New Roman" w:hAnsi="Times New Roman"/>
                <w:color w:val="auto"/>
                <w:sz w:val="18"/>
                <w:szCs w:val="18"/>
              </w:rPr>
            </w:pPr>
          </w:p>
        </w:tc>
        <w:tc>
          <w:tcPr>
            <w:tcW w:w="62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3</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危险分拣废物</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原料分拣</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危险固废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HW49</w:t>
            </w:r>
            <w:r>
              <w:rPr>
                <w:rFonts w:hint="eastAsia" w:ascii="Times New Roman" w:hAnsi="Times New Roman"/>
                <w:color w:val="auto"/>
                <w:sz w:val="18"/>
                <w:szCs w:val="18"/>
              </w:rPr>
              <w:t>/</w:t>
            </w:r>
            <w:r>
              <w:rPr>
                <w:rFonts w:ascii="Times New Roman" w:hAnsi="Times New Roman"/>
                <w:color w:val="auto"/>
                <w:sz w:val="18"/>
                <w:szCs w:val="18"/>
              </w:rPr>
              <w:t>900-041-49</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0.1t/a</w:t>
            </w:r>
          </w:p>
        </w:tc>
        <w:tc>
          <w:tcPr>
            <w:tcW w:w="7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委托有资质单位处置</w:t>
            </w:r>
          </w:p>
        </w:tc>
        <w:tc>
          <w:tcPr>
            <w:tcW w:w="62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4</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收集的粉尘</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粉尘收集、打扫</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一般固废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snapToGrid w:val="0"/>
                <w:color w:val="auto"/>
                <w:sz w:val="18"/>
                <w:szCs w:val="18"/>
              </w:rPr>
            </w:pPr>
            <w:r>
              <w:rPr>
                <w:rFonts w:ascii="Times New Roman" w:hAnsi="Times New Roman"/>
                <w:snapToGrid w:val="0"/>
                <w:color w:val="auto"/>
                <w:sz w:val="18"/>
                <w:szCs w:val="18"/>
              </w:rPr>
              <w:t>/</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12t/a</w:t>
            </w:r>
          </w:p>
        </w:tc>
        <w:tc>
          <w:tcPr>
            <w:tcW w:w="7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环卫部门清运</w:t>
            </w:r>
          </w:p>
        </w:tc>
        <w:tc>
          <w:tcPr>
            <w:tcW w:w="62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5</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挤出机废弃过滤网</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煅烧炉</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一般固废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snapToGrid w:val="0"/>
                <w:color w:val="auto"/>
                <w:sz w:val="18"/>
                <w:szCs w:val="18"/>
              </w:rPr>
            </w:pPr>
            <w:r>
              <w:rPr>
                <w:rFonts w:ascii="Times New Roman" w:hAnsi="Times New Roman"/>
                <w:snapToGrid w:val="0"/>
                <w:color w:val="auto"/>
                <w:sz w:val="18"/>
                <w:szCs w:val="18"/>
              </w:rPr>
              <w:t>/</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2t/a</w:t>
            </w:r>
          </w:p>
        </w:tc>
        <w:tc>
          <w:tcPr>
            <w:tcW w:w="72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由废塑料加工单位回收进行滤网再生</w:t>
            </w:r>
          </w:p>
        </w:tc>
        <w:tc>
          <w:tcPr>
            <w:tcW w:w="62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6</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废活性炭</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废气治理</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危险固废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snapToGrid w:val="0"/>
                <w:color w:val="auto"/>
                <w:sz w:val="18"/>
                <w:szCs w:val="18"/>
              </w:rPr>
            </w:pPr>
            <w:r>
              <w:rPr>
                <w:rFonts w:ascii="Times New Roman" w:hAnsi="Times New Roman"/>
                <w:color w:val="auto"/>
                <w:sz w:val="18"/>
                <w:szCs w:val="18"/>
              </w:rPr>
              <w:t>HW49</w:t>
            </w:r>
            <w:r>
              <w:rPr>
                <w:rFonts w:hint="eastAsia" w:ascii="Times New Roman" w:hAnsi="Times New Roman"/>
                <w:color w:val="auto"/>
                <w:sz w:val="18"/>
                <w:szCs w:val="18"/>
              </w:rPr>
              <w:t>/</w:t>
            </w:r>
            <w:r>
              <w:rPr>
                <w:rFonts w:ascii="Times New Roman" w:hAnsi="Times New Roman"/>
                <w:color w:val="auto"/>
                <w:sz w:val="18"/>
                <w:szCs w:val="18"/>
              </w:rPr>
              <w:t>900-041-49</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27</w:t>
            </w:r>
            <w:r>
              <w:rPr>
                <w:rFonts w:ascii="Times New Roman" w:hAnsi="Times New Roman"/>
                <w:color w:val="auto"/>
                <w:sz w:val="18"/>
                <w:szCs w:val="18"/>
              </w:rPr>
              <w:t>t/a</w:t>
            </w:r>
          </w:p>
        </w:tc>
        <w:tc>
          <w:tcPr>
            <w:tcW w:w="728"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委托有资质单位处置</w:t>
            </w:r>
          </w:p>
        </w:tc>
        <w:tc>
          <w:tcPr>
            <w:tcW w:w="62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7</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废齿轮油</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设备使用</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危险固废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HW08</w:t>
            </w:r>
            <w:r>
              <w:rPr>
                <w:rFonts w:hint="eastAsia" w:ascii="Times New Roman" w:hAnsi="Times New Roman"/>
                <w:color w:val="auto"/>
                <w:sz w:val="18"/>
                <w:szCs w:val="18"/>
              </w:rPr>
              <w:t>/</w:t>
            </w:r>
            <w:r>
              <w:rPr>
                <w:rFonts w:ascii="Times New Roman" w:hAnsi="Times New Roman"/>
                <w:color w:val="auto"/>
                <w:sz w:val="18"/>
                <w:szCs w:val="18"/>
              </w:rPr>
              <w:t>900-249-08</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0.2t/a</w:t>
            </w:r>
          </w:p>
        </w:tc>
        <w:tc>
          <w:tcPr>
            <w:tcW w:w="72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62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8</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废油</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油烟处理</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危险固废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HW08</w:t>
            </w:r>
            <w:r>
              <w:rPr>
                <w:rFonts w:hint="eastAsia" w:ascii="Times New Roman" w:hAnsi="Times New Roman"/>
                <w:color w:val="auto"/>
                <w:sz w:val="18"/>
                <w:szCs w:val="18"/>
              </w:rPr>
              <w:t>/</w:t>
            </w:r>
            <w:r>
              <w:rPr>
                <w:rFonts w:ascii="Times New Roman" w:hAnsi="Times New Roman"/>
                <w:color w:val="auto"/>
                <w:sz w:val="18"/>
                <w:szCs w:val="18"/>
              </w:rPr>
              <w:t>900-249-08</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0.7 t/a</w:t>
            </w:r>
          </w:p>
        </w:tc>
        <w:tc>
          <w:tcPr>
            <w:tcW w:w="72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62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9</w:t>
            </w:r>
          </w:p>
        </w:tc>
        <w:tc>
          <w:tcPr>
            <w:tcW w:w="75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589"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5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18"/>
                <w:szCs w:val="18"/>
              </w:rPr>
              <w:t>危险固废</w:t>
            </w:r>
          </w:p>
        </w:tc>
        <w:tc>
          <w:tcPr>
            <w:tcW w:w="100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21"/>
              </w:rPr>
              <w:t>HW29/900-023-29</w:t>
            </w:r>
          </w:p>
        </w:tc>
        <w:tc>
          <w:tcPr>
            <w:tcW w:w="46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hint="eastAsia" w:ascii="Times New Roman" w:hAnsi="Times New Roman"/>
                <w:color w:val="auto"/>
                <w:sz w:val="21"/>
              </w:rPr>
              <w:t>0.01t/a</w:t>
            </w:r>
          </w:p>
        </w:tc>
        <w:tc>
          <w:tcPr>
            <w:tcW w:w="72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18"/>
                <w:szCs w:val="18"/>
              </w:rPr>
            </w:pPr>
          </w:p>
        </w:tc>
        <w:tc>
          <w:tcPr>
            <w:tcW w:w="62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bl>
    <w:p>
      <w:pPr>
        <w:ind w:firstLine="480"/>
        <w:jc w:val="left"/>
        <w:rPr>
          <w:rFonts w:ascii="Times New Roman" w:hAnsi="Times New Roman"/>
          <w:b/>
          <w:color w:val="auto"/>
          <w:sz w:val="21"/>
        </w:rPr>
      </w:pPr>
      <w:r>
        <w:rPr>
          <w:rFonts w:ascii="Times New Roman" w:hAnsi="Times New Roman"/>
          <w:color w:val="auto"/>
        </w:rPr>
        <w:t>综上，项目固体废弃物能妥善落实处置途径，可做到无害化、资源化处理，</w:t>
      </w:r>
      <w:r>
        <w:rPr>
          <w:rFonts w:hint="eastAsia" w:ascii="Times New Roman" w:hAnsi="Times New Roman"/>
          <w:color w:val="auto"/>
        </w:rPr>
        <w:t>不外排环境</w:t>
      </w:r>
      <w:r>
        <w:rPr>
          <w:rFonts w:ascii="Times New Roman" w:hAnsi="Times New Roman"/>
          <w:color w:val="auto"/>
        </w:rPr>
        <w:t>，对周边环境影响不大。</w:t>
      </w:r>
    </w:p>
    <w:bookmarkEnd w:id="80"/>
    <w:p>
      <w:pPr>
        <w:pStyle w:val="4"/>
        <w:numPr>
          <w:ilvl w:val="0"/>
          <w:numId w:val="31"/>
        </w:numPr>
        <w:spacing w:beforeLines="0"/>
        <w:rPr>
          <w:rFonts w:ascii="Times New Roman" w:hAnsi="Times New Roman"/>
          <w:color w:val="auto"/>
          <w:sz w:val="24"/>
          <w:szCs w:val="24"/>
        </w:rPr>
      </w:pPr>
      <w:bookmarkStart w:id="82" w:name="_Toc323721036"/>
      <w:bookmarkStart w:id="83" w:name="_Toc314092986"/>
      <w:bookmarkStart w:id="84" w:name="_Toc308017140"/>
      <w:r>
        <w:rPr>
          <w:rFonts w:ascii="Times New Roman" w:hAnsi="Times New Roman"/>
          <w:color w:val="auto"/>
          <w:sz w:val="24"/>
          <w:szCs w:val="24"/>
        </w:rPr>
        <w:t>环境风险分析与评价</w:t>
      </w:r>
      <w:bookmarkEnd w:id="82"/>
    </w:p>
    <w:p>
      <w:pPr>
        <w:ind w:firstLine="480"/>
        <w:rPr>
          <w:rFonts w:ascii="Times New Roman" w:hAnsi="Times New Roman"/>
          <w:bCs/>
          <w:color w:val="auto"/>
        </w:rPr>
      </w:pPr>
      <w:bookmarkStart w:id="85" w:name="_Toc323721037"/>
      <w:r>
        <w:rPr>
          <w:rFonts w:ascii="Times New Roman" w:hAnsi="Times New Roman"/>
          <w:bCs/>
          <w:color w:val="auto"/>
        </w:rPr>
        <w:t>根据中华人民共和国环境保护行业标准</w:t>
      </w:r>
      <w:r>
        <w:rPr>
          <w:rFonts w:ascii="Times New Roman" w:hAnsi="Times New Roman"/>
          <w:color w:val="auto"/>
        </w:rPr>
        <w:t>《建设项目环境风险评价技术导则》</w:t>
      </w:r>
      <w:r>
        <w:rPr>
          <w:rFonts w:hint="eastAsia" w:ascii="Times New Roman" w:hAnsi="Times New Roman"/>
          <w:color w:val="auto"/>
        </w:rPr>
        <w:t>（</w:t>
      </w:r>
      <w:r>
        <w:rPr>
          <w:rFonts w:ascii="Times New Roman" w:hAnsi="Times New Roman"/>
          <w:color w:val="auto"/>
        </w:rPr>
        <w:t>HJ</w:t>
      </w:r>
      <w:r>
        <w:rPr>
          <w:rFonts w:hint="eastAsia" w:ascii="Times New Roman" w:hAnsi="Times New Roman"/>
          <w:color w:val="auto"/>
        </w:rPr>
        <w:t xml:space="preserve"> </w:t>
      </w:r>
      <w:r>
        <w:rPr>
          <w:rFonts w:ascii="Times New Roman" w:hAnsi="Times New Roman"/>
          <w:color w:val="auto"/>
        </w:rPr>
        <w:t>169-20</w:t>
      </w:r>
      <w:r>
        <w:rPr>
          <w:rFonts w:hint="eastAsia" w:ascii="Times New Roman" w:hAnsi="Times New Roman"/>
          <w:color w:val="auto"/>
        </w:rPr>
        <w:t>18）</w:t>
      </w:r>
      <w:r>
        <w:rPr>
          <w:rFonts w:ascii="Times New Roman" w:hAnsi="Times New Roman"/>
          <w:color w:val="auto"/>
        </w:rPr>
        <w:t>，</w:t>
      </w:r>
      <w:r>
        <w:rPr>
          <w:rFonts w:ascii="Times New Roman" w:hAnsi="Times New Roman"/>
          <w:bCs/>
          <w:color w:val="auto"/>
        </w:rPr>
        <w:t>的相关要求和该项目的特点进行编写项目环境风险评价。通过风险评价分析，认识项目的风险程度、危险环节和事故后果影响大小，从而提高风险管理的意识，采取必要的防范措施以减少环境危害，并提出事故应急预案，达到安全生产、发展经济的目的。</w:t>
      </w:r>
    </w:p>
    <w:p>
      <w:pPr>
        <w:ind w:firstLine="480"/>
        <w:rPr>
          <w:rFonts w:ascii="Times New Roman" w:hAnsi="Times New Roman"/>
          <w:bCs/>
          <w:color w:val="auto"/>
        </w:rPr>
      </w:pPr>
      <w:r>
        <w:rPr>
          <w:rFonts w:ascii="Times New Roman" w:hAnsi="Times New Roman"/>
          <w:bCs/>
          <w:color w:val="auto"/>
        </w:rPr>
        <w:t>环境风险评价是在分析项目事故发生概率和预测事故状态下的影响程度基础上，对项目建设和运行过程中可能存在的事故隐患（事故源）提出事故防范措施和事故后应急措施，使建设项目的环境风险影响尽可能降到最低，项目风险度达到可接受水平，其具体的评价</w:t>
      </w:r>
      <w:r>
        <w:rPr>
          <w:rFonts w:hint="eastAsia" w:ascii="Times New Roman" w:hAnsi="Times New Roman"/>
          <w:bCs/>
          <w:color w:val="auto"/>
        </w:rPr>
        <w:t>工作程序</w:t>
      </w:r>
      <w:r>
        <w:rPr>
          <w:rFonts w:ascii="Times New Roman" w:hAnsi="Times New Roman"/>
          <w:bCs/>
          <w:color w:val="auto"/>
        </w:rPr>
        <w:t>见图5-</w:t>
      </w:r>
      <w:r>
        <w:rPr>
          <w:rFonts w:hint="eastAsia" w:ascii="Times New Roman" w:hAnsi="Times New Roman"/>
          <w:bCs/>
          <w:color w:val="auto"/>
        </w:rPr>
        <w:t>1</w:t>
      </w:r>
      <w:r>
        <w:rPr>
          <w:rFonts w:ascii="Times New Roman" w:hAnsi="Times New Roman"/>
          <w:bCs/>
          <w:color w:val="auto"/>
        </w:rPr>
        <w:t>所示。</w:t>
      </w:r>
    </w:p>
    <w:p>
      <w:pPr>
        <w:ind w:firstLine="0" w:firstLineChars="0"/>
        <w:rPr>
          <w:rFonts w:ascii="Times New Roman" w:hAnsi="Times New Roman"/>
          <w:bCs/>
          <w:color w:val="auto"/>
        </w:rPr>
      </w:pPr>
      <w:r>
        <w:rPr>
          <w:rFonts w:ascii="Times New Roman" w:hAnsi="Times New Roman"/>
          <w:color w:val="auto"/>
        </w:rPr>
        <w:drawing>
          <wp:inline distT="0" distB="0" distL="0" distR="0">
            <wp:extent cx="5143500" cy="5219700"/>
            <wp:effectExtent l="0" t="0" r="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noChangeArrowheads="1"/>
                    </pic:cNvPicPr>
                  </pic:nvPicPr>
                  <pic:blipFill>
                    <a:blip r:embed="rId56" cstate="print"/>
                    <a:srcRect/>
                    <a:stretch>
                      <a:fillRect/>
                    </a:stretch>
                  </pic:blipFill>
                  <pic:spPr>
                    <a:xfrm>
                      <a:off x="0" y="0"/>
                      <a:ext cx="5143500" cy="5219700"/>
                    </a:xfrm>
                    <a:prstGeom prst="rect">
                      <a:avLst/>
                    </a:prstGeom>
                    <a:noFill/>
                    <a:ln w="9525">
                      <a:noFill/>
                      <a:miter lim="800000"/>
                      <a:headEnd/>
                      <a:tailEnd/>
                    </a:ln>
                  </pic:spPr>
                </pic:pic>
              </a:graphicData>
            </a:graphic>
          </wp:inline>
        </w:drawing>
      </w:r>
    </w:p>
    <w:p>
      <w:pPr>
        <w:ind w:firstLine="0" w:firstLineChars="0"/>
        <w:jc w:val="center"/>
        <w:rPr>
          <w:rFonts w:ascii="Times New Roman" w:hAnsi="Times New Roman"/>
          <w:bCs/>
          <w:color w:val="auto"/>
        </w:rPr>
      </w:pPr>
      <w:r>
        <w:rPr>
          <w:rFonts w:ascii="Times New Roman" w:hAnsi="Times New Roman"/>
          <w:b/>
          <w:color w:val="auto"/>
          <w:szCs w:val="24"/>
        </w:rPr>
        <w:t>图</w:t>
      </w:r>
      <w:r>
        <w:rPr>
          <w:rFonts w:hint="eastAsia" w:ascii="Times New Roman" w:hAnsi="Times New Roman"/>
          <w:b/>
          <w:color w:val="auto"/>
          <w:szCs w:val="24"/>
        </w:rPr>
        <w:t>5-1</w:t>
      </w:r>
      <w:r>
        <w:rPr>
          <w:rFonts w:ascii="Times New Roman" w:hAnsi="Times New Roman"/>
          <w:b/>
          <w:color w:val="auto"/>
          <w:szCs w:val="24"/>
        </w:rPr>
        <w:t xml:space="preserve">  环境风险评价</w:t>
      </w:r>
      <w:r>
        <w:rPr>
          <w:rFonts w:hint="eastAsia" w:ascii="Times New Roman" w:hAnsi="Times New Roman"/>
          <w:b/>
          <w:color w:val="auto"/>
          <w:szCs w:val="24"/>
        </w:rPr>
        <w:t>工作程序</w:t>
      </w:r>
    </w:p>
    <w:bookmarkEnd w:id="85"/>
    <w:p>
      <w:pPr>
        <w:pStyle w:val="4"/>
        <w:numPr>
          <w:ilvl w:val="0"/>
          <w:numId w:val="32"/>
        </w:numPr>
        <w:spacing w:beforeLines="0"/>
        <w:rPr>
          <w:rFonts w:ascii="Times New Roman" w:hAnsi="Times New Roman"/>
          <w:color w:val="auto"/>
          <w:sz w:val="24"/>
          <w:szCs w:val="24"/>
        </w:rPr>
      </w:pPr>
      <w:r>
        <w:rPr>
          <w:rFonts w:ascii="Times New Roman" w:hAnsi="Times New Roman"/>
          <w:color w:val="auto"/>
          <w:sz w:val="24"/>
          <w:szCs w:val="24"/>
        </w:rPr>
        <w:t>风险物质调查</w:t>
      </w:r>
    </w:p>
    <w:p>
      <w:pPr>
        <w:ind w:firstLine="480"/>
        <w:rPr>
          <w:rFonts w:ascii="Times New Roman" w:hAnsi="Times New Roman"/>
          <w:color w:val="auto"/>
        </w:rPr>
      </w:pPr>
      <w:r>
        <w:rPr>
          <w:rFonts w:hint="eastAsia" w:ascii="Times New Roman" w:hAnsi="Times New Roman"/>
          <w:color w:val="auto"/>
        </w:rPr>
        <w:t>本项目主要原料为塑料薄膜及边角料、无纺布及边角料等废塑料，对照《建设项目环境风险评价技术导则》（</w:t>
      </w:r>
      <w:r>
        <w:rPr>
          <w:rFonts w:ascii="Times New Roman" w:hAnsi="Times New Roman"/>
          <w:color w:val="auto"/>
        </w:rPr>
        <w:t>HJ169-2018）表 B.1 突发环境事件风险物质表可知，</w:t>
      </w:r>
      <w:r>
        <w:rPr>
          <w:rFonts w:hint="eastAsia" w:ascii="Times New Roman" w:hAnsi="Times New Roman"/>
          <w:color w:val="auto"/>
        </w:rPr>
        <w:t>本项目涉及表</w:t>
      </w:r>
      <w:r>
        <w:rPr>
          <w:rFonts w:ascii="Times New Roman" w:hAnsi="Times New Roman"/>
          <w:color w:val="auto"/>
        </w:rPr>
        <w:t xml:space="preserve"> B.1 中的</w:t>
      </w:r>
      <w:r>
        <w:rPr>
          <w:rFonts w:hint="eastAsia" w:ascii="Times New Roman" w:hAnsi="Times New Roman"/>
          <w:color w:val="auto"/>
        </w:rPr>
        <w:t>油类物质（废齿轮油、油烟处理收集的废油）</w:t>
      </w:r>
      <w:r>
        <w:rPr>
          <w:rFonts w:ascii="Times New Roman" w:hAnsi="Times New Roman"/>
          <w:color w:val="auto"/>
        </w:rPr>
        <w:t>。</w:t>
      </w:r>
    </w:p>
    <w:p>
      <w:pPr>
        <w:pStyle w:val="4"/>
        <w:numPr>
          <w:ilvl w:val="0"/>
          <w:numId w:val="32"/>
        </w:numPr>
        <w:spacing w:beforeLines="0"/>
        <w:rPr>
          <w:rFonts w:ascii="Times New Roman" w:hAnsi="Times New Roman"/>
          <w:color w:val="auto"/>
          <w:sz w:val="24"/>
          <w:szCs w:val="24"/>
        </w:rPr>
      </w:pPr>
      <w:r>
        <w:rPr>
          <w:rFonts w:hint="eastAsia" w:ascii="Times New Roman" w:hAnsi="Times New Roman"/>
          <w:color w:val="auto"/>
          <w:sz w:val="24"/>
          <w:szCs w:val="24"/>
        </w:rPr>
        <w:t>环境风险潜势初判</w:t>
      </w:r>
    </w:p>
    <w:p>
      <w:pPr>
        <w:ind w:firstLine="480"/>
        <w:rPr>
          <w:rFonts w:ascii="Times New Roman" w:hAnsi="Times New Roman"/>
          <w:color w:val="auto"/>
        </w:rPr>
      </w:pPr>
      <w:r>
        <w:rPr>
          <w:rFonts w:hint="eastAsia" w:ascii="Times New Roman" w:hAnsi="Times New Roman"/>
          <w:color w:val="auto"/>
        </w:rPr>
        <w:t>建设项目环境风</w:t>
      </w:r>
      <w:r>
        <w:rPr>
          <w:rFonts w:ascii="Times New Roman" w:hAnsi="Times New Roman"/>
          <w:color w:val="auto"/>
        </w:rPr>
        <w:t>险潜势划分为</w:t>
      </w:r>
      <w:r>
        <w:rPr>
          <w:rFonts w:hint="eastAsia" w:ascii="Times New Roman" w:hAnsi="Times New Roman" w:cs="宋体"/>
          <w:color w:val="auto"/>
        </w:rPr>
        <w:t>Ⅰ</w:t>
      </w:r>
      <w:r>
        <w:rPr>
          <w:rFonts w:ascii="Times New Roman" w:hAnsi="Times New Roman"/>
          <w:color w:val="auto"/>
        </w:rPr>
        <w:t>、</w:t>
      </w:r>
      <w:r>
        <w:rPr>
          <w:rFonts w:hint="eastAsia" w:ascii="Times New Roman" w:hAnsi="Times New Roman" w:cs="宋体"/>
          <w:color w:val="auto"/>
        </w:rPr>
        <w:t>Ⅱ</w:t>
      </w:r>
      <w:r>
        <w:rPr>
          <w:rFonts w:ascii="Times New Roman" w:hAnsi="Times New Roman"/>
          <w:color w:val="auto"/>
        </w:rPr>
        <w:t>、</w:t>
      </w:r>
      <w:r>
        <w:rPr>
          <w:rFonts w:hint="eastAsia" w:ascii="Times New Roman" w:hAnsi="Times New Roman" w:cs="宋体"/>
          <w:color w:val="auto"/>
        </w:rPr>
        <w:t>Ⅲ</w:t>
      </w:r>
      <w:r>
        <w:rPr>
          <w:rFonts w:ascii="Times New Roman" w:hAnsi="Times New Roman"/>
          <w:color w:val="auto"/>
        </w:rPr>
        <w:t>、</w:t>
      </w:r>
      <w:r>
        <w:rPr>
          <w:rFonts w:hint="eastAsia" w:ascii="Times New Roman" w:hAnsi="Times New Roman" w:cs="宋体"/>
          <w:color w:val="auto"/>
        </w:rPr>
        <w:t>Ⅳ</w:t>
      </w:r>
      <w:r>
        <w:rPr>
          <w:rFonts w:ascii="Times New Roman" w:hAnsi="Times New Roman"/>
          <w:color w:val="auto"/>
        </w:rPr>
        <w:t>/</w:t>
      </w:r>
      <w:r>
        <w:rPr>
          <w:rFonts w:hint="eastAsia" w:ascii="Times New Roman" w:hAnsi="Times New Roman" w:cs="宋体"/>
          <w:color w:val="auto"/>
        </w:rPr>
        <w:t>Ⅳ</w:t>
      </w:r>
      <w:r>
        <w:rPr>
          <w:rFonts w:ascii="Times New Roman" w:hAnsi="Times New Roman"/>
          <w:color w:val="auto"/>
          <w:vertAlign w:val="superscript"/>
        </w:rPr>
        <w:t>+</w:t>
      </w:r>
      <w:r>
        <w:rPr>
          <w:rFonts w:ascii="Times New Roman" w:hAnsi="Times New Roman"/>
          <w:color w:val="auto"/>
        </w:rPr>
        <w:t>级。</w:t>
      </w:r>
    </w:p>
    <w:p>
      <w:pPr>
        <w:ind w:firstLine="480"/>
        <w:rPr>
          <w:rFonts w:ascii="Times New Roman" w:hAnsi="Times New Roman"/>
          <w:color w:val="auto"/>
        </w:rPr>
      </w:pPr>
      <w:r>
        <w:rPr>
          <w:rFonts w:hint="eastAsia" w:ascii="Times New Roman" w:hAnsi="Times New Roman"/>
          <w:color w:val="auto"/>
        </w:rPr>
        <w:t>根据建设项目涉及的物质和工艺系统的危险性及其所在地的环境敏感程度，结合事故情形下环境影响途径，对建设项目潜在环境危害程度进行概化分析，按照表5-37确定环境风险浅势。</w:t>
      </w:r>
    </w:p>
    <w:p>
      <w:pPr>
        <w:spacing w:line="240" w:lineRule="auto"/>
        <w:ind w:firstLine="0" w:firstLineChars="0"/>
        <w:jc w:val="center"/>
        <w:rPr>
          <w:rFonts w:ascii="Times New Roman" w:hAnsi="Times New Roman"/>
          <w:color w:val="auto"/>
        </w:rPr>
      </w:pPr>
      <w:r>
        <w:rPr>
          <w:rFonts w:hint="eastAsia" w:ascii="Times New Roman" w:hAnsi="Times New Roman"/>
          <w:b/>
          <w:color w:val="auto"/>
          <w:sz w:val="21"/>
        </w:rPr>
        <w:t>表5-37  建设项目环境风险浅势划分</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1686"/>
        <w:gridCol w:w="1686"/>
        <w:gridCol w:w="1687"/>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环境敏感程度（E）</w:t>
            </w:r>
          </w:p>
        </w:tc>
        <w:tc>
          <w:tcPr>
            <w:tcW w:w="3733" w:type="pct"/>
            <w:gridSpan w:val="4"/>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极高危害（P1）</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高度危害（P2）</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中度危害（P3）</w:t>
            </w:r>
          </w:p>
        </w:tc>
        <w:tc>
          <w:tcPr>
            <w:tcW w:w="93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环境高度敏感区（E1）</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Ⅳ</w:t>
            </w:r>
            <w:r>
              <w:rPr>
                <w:rFonts w:ascii="Times New Roman" w:hAnsi="Times New Roman"/>
                <w:color w:val="auto"/>
                <w:sz w:val="21"/>
                <w:vertAlign w:val="superscript"/>
              </w:rPr>
              <w:t>+</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Ⅳ</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p>
        </w:tc>
        <w:tc>
          <w:tcPr>
            <w:tcW w:w="93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环境中度敏感区（E2）</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Ⅳ</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p>
        </w:tc>
        <w:tc>
          <w:tcPr>
            <w:tcW w:w="93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环境低度敏感区（E3）</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Ⅲ</w:t>
            </w:r>
          </w:p>
        </w:tc>
        <w:tc>
          <w:tcPr>
            <w:tcW w:w="93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Ⅱ</w:t>
            </w:r>
          </w:p>
        </w:tc>
        <w:tc>
          <w:tcPr>
            <w:tcW w:w="934"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s="宋体"/>
                <w:color w:val="auto"/>
                <w:sz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000" w:type="pct"/>
            <w:gridSpan w:val="5"/>
            <w:vAlign w:val="center"/>
          </w:tcPr>
          <w:p>
            <w:pPr>
              <w:keepNext w:val="0"/>
              <w:keepLines w:val="0"/>
              <w:suppressLineNumbers w:val="0"/>
              <w:spacing w:before="0" w:beforeAutospacing="0" w:after="0" w:afterAutospacing="0" w:line="240" w:lineRule="auto"/>
              <w:ind w:left="0" w:right="0" w:firstLine="0" w:firstLineChars="0"/>
              <w:jc w:val="left"/>
              <w:rPr>
                <w:rFonts w:ascii="Times New Roman" w:hAnsi="Times New Roman"/>
                <w:color w:val="auto"/>
                <w:sz w:val="21"/>
              </w:rPr>
            </w:pPr>
            <w:r>
              <w:rPr>
                <w:rFonts w:ascii="Times New Roman" w:hAnsi="Times New Roman"/>
                <w:color w:val="auto"/>
                <w:sz w:val="21"/>
              </w:rPr>
              <w:t>注：</w:t>
            </w:r>
            <w:r>
              <w:rPr>
                <w:rFonts w:hint="eastAsia" w:ascii="Times New Roman" w:hAnsi="Times New Roman" w:cs="宋体"/>
                <w:color w:val="auto"/>
                <w:sz w:val="21"/>
              </w:rPr>
              <w:t>Ⅳ</w:t>
            </w:r>
            <w:r>
              <w:rPr>
                <w:rFonts w:ascii="Times New Roman" w:hAnsi="Times New Roman"/>
                <w:color w:val="auto"/>
                <w:sz w:val="21"/>
                <w:vertAlign w:val="superscript"/>
              </w:rPr>
              <w:t>+</w:t>
            </w:r>
            <w:r>
              <w:rPr>
                <w:rFonts w:ascii="Times New Roman" w:hAnsi="Times New Roman"/>
                <w:color w:val="auto"/>
                <w:sz w:val="21"/>
              </w:rPr>
              <w:t>为极高环境风险。</w:t>
            </w:r>
          </w:p>
        </w:tc>
      </w:tr>
    </w:tbl>
    <w:p>
      <w:pPr>
        <w:ind w:firstLine="480"/>
        <w:rPr>
          <w:rFonts w:ascii="Times New Roman" w:hAnsi="Times New Roman"/>
          <w:color w:val="auto"/>
        </w:rPr>
      </w:pPr>
      <w:r>
        <w:rPr>
          <w:rFonts w:hint="eastAsia" w:ascii="Times New Roman" w:hAnsi="Times New Roman"/>
          <w:color w:val="auto"/>
        </w:rPr>
        <w:t>分析建设项目生产、使用、储存过程中涉及的有毒有害、易燃易爆物质，参见附录</w:t>
      </w:r>
      <w:r>
        <w:rPr>
          <w:rFonts w:ascii="Times New Roman" w:hAnsi="Times New Roman"/>
          <w:color w:val="auto"/>
        </w:rPr>
        <w:t>B确定</w:t>
      </w:r>
      <w:r>
        <w:rPr>
          <w:rFonts w:hint="eastAsia" w:ascii="Times New Roman" w:hAnsi="Times New Roman"/>
          <w:color w:val="auto"/>
        </w:rPr>
        <w:t>危险物质的临界量。定量分析危险物质数量与临界量的比值（</w:t>
      </w:r>
      <w:r>
        <w:rPr>
          <w:rFonts w:ascii="Times New Roman" w:hAnsi="Times New Roman"/>
          <w:color w:val="auto"/>
        </w:rPr>
        <w:t>Q）和所属行业及生产工艺特点</w:t>
      </w:r>
      <w:r>
        <w:rPr>
          <w:rFonts w:hint="eastAsia" w:ascii="Times New Roman" w:hAnsi="Times New Roman"/>
          <w:color w:val="auto"/>
        </w:rPr>
        <w:t>（</w:t>
      </w:r>
      <w:r>
        <w:rPr>
          <w:rFonts w:ascii="Times New Roman" w:hAnsi="Times New Roman"/>
          <w:color w:val="auto"/>
        </w:rPr>
        <w:t>M），按附录 C 对危险物质及工艺系统危险性（P）等级进行判断。</w:t>
      </w:r>
    </w:p>
    <w:p>
      <w:pPr>
        <w:ind w:firstLine="480"/>
        <w:rPr>
          <w:rFonts w:ascii="Times New Roman" w:hAnsi="Times New Roman"/>
          <w:color w:val="auto"/>
        </w:rPr>
      </w:pPr>
      <w:r>
        <w:rPr>
          <w:rFonts w:hint="eastAsia" w:ascii="Times New Roman" w:hAnsi="Times New Roman"/>
          <w:color w:val="auto"/>
        </w:rPr>
        <w:t>本项目主要原料为塑料薄膜及边角料、无纺布及边角料等废塑料，对照《建设项目环境风险评价技术导则》（</w:t>
      </w:r>
      <w:r>
        <w:rPr>
          <w:rFonts w:ascii="Times New Roman" w:hAnsi="Times New Roman"/>
          <w:color w:val="auto"/>
        </w:rPr>
        <w:t>HJ169-2018）表 B.1 突发环境事件风险物质表可知，</w:t>
      </w:r>
      <w:r>
        <w:rPr>
          <w:rFonts w:hint="eastAsia" w:ascii="Times New Roman" w:hAnsi="Times New Roman"/>
          <w:color w:val="auto"/>
        </w:rPr>
        <w:t>本项目涉及表</w:t>
      </w:r>
      <w:r>
        <w:rPr>
          <w:rFonts w:ascii="Times New Roman" w:hAnsi="Times New Roman"/>
          <w:color w:val="auto"/>
        </w:rPr>
        <w:t xml:space="preserve"> B.1 中的</w:t>
      </w:r>
      <w:r>
        <w:rPr>
          <w:rFonts w:hint="eastAsia" w:ascii="Times New Roman" w:hAnsi="Times New Roman"/>
          <w:color w:val="auto"/>
        </w:rPr>
        <w:t>油类物质（废齿轮油、油烟处理收集的废油），</w:t>
      </w:r>
      <w:r>
        <w:rPr>
          <w:rFonts w:ascii="Times New Roman" w:hAnsi="Times New Roman"/>
          <w:color w:val="auto"/>
          <w:szCs w:val="24"/>
        </w:rPr>
        <w:t>厂区内涉及风险物质最大存在总量与其临界量的比值Q详见表</w:t>
      </w:r>
      <w:r>
        <w:rPr>
          <w:rFonts w:hint="eastAsia" w:ascii="Times New Roman" w:hAnsi="Times New Roman"/>
          <w:color w:val="auto"/>
          <w:szCs w:val="24"/>
        </w:rPr>
        <w:t>5-38。</w:t>
      </w:r>
    </w:p>
    <w:p>
      <w:pPr>
        <w:spacing w:line="240" w:lineRule="auto"/>
        <w:ind w:firstLine="0" w:firstLineChars="0"/>
        <w:jc w:val="center"/>
        <w:rPr>
          <w:rFonts w:ascii="Times New Roman" w:hAnsi="Times New Roman"/>
          <w:b/>
          <w:color w:val="auto"/>
          <w:sz w:val="21"/>
        </w:rPr>
      </w:pPr>
      <w:r>
        <w:rPr>
          <w:rFonts w:hint="eastAsia" w:ascii="Times New Roman" w:hAnsi="Times New Roman"/>
          <w:b/>
          <w:color w:val="auto"/>
          <w:sz w:val="21"/>
        </w:rPr>
        <w:t xml:space="preserve">表5-38 </w:t>
      </w:r>
      <w:r>
        <w:rPr>
          <w:rFonts w:ascii="Times New Roman" w:hAnsi="Times New Roman"/>
          <w:b/>
          <w:color w:val="auto"/>
          <w:sz w:val="21"/>
        </w:rPr>
        <w:t>厂区涉及风险物质比值Q</w:t>
      </w:r>
    </w:p>
    <w:tbl>
      <w:tblPr>
        <w:tblStyle w:val="8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981"/>
        <w:gridCol w:w="1670"/>
        <w:gridCol w:w="1712"/>
        <w:gridCol w:w="1575"/>
        <w:gridCol w:w="1478"/>
        <w:gridCol w:w="1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283" w:hRule="atLeast"/>
          <w:jc w:val="center"/>
        </w:trPr>
        <w:tc>
          <w:tcPr>
            <w:tcW w:w="981"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1670"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物质名称</w:t>
            </w:r>
          </w:p>
        </w:tc>
        <w:tc>
          <w:tcPr>
            <w:tcW w:w="1712"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CAS号</w:t>
            </w:r>
          </w:p>
        </w:tc>
        <w:tc>
          <w:tcPr>
            <w:tcW w:w="1575"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最大存储量</w:t>
            </w:r>
          </w:p>
        </w:tc>
        <w:tc>
          <w:tcPr>
            <w:tcW w:w="1478"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临界量</w:t>
            </w:r>
          </w:p>
        </w:tc>
        <w:tc>
          <w:tcPr>
            <w:tcW w:w="1592"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q/Q</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283" w:hRule="atLeast"/>
          <w:jc w:val="center"/>
        </w:trPr>
        <w:tc>
          <w:tcPr>
            <w:tcW w:w="981"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1670"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油类物质</w:t>
            </w:r>
          </w:p>
        </w:tc>
        <w:tc>
          <w:tcPr>
            <w:tcW w:w="1712"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w:t>
            </w:r>
          </w:p>
        </w:tc>
        <w:tc>
          <w:tcPr>
            <w:tcW w:w="1575"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0.9</w:t>
            </w:r>
          </w:p>
        </w:tc>
        <w:tc>
          <w:tcPr>
            <w:tcW w:w="1478"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2500</w:t>
            </w:r>
          </w:p>
        </w:tc>
        <w:tc>
          <w:tcPr>
            <w:tcW w:w="1592"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0.00</w:t>
            </w:r>
            <w:r>
              <w:rPr>
                <w:rFonts w:hint="eastAsia" w:ascii="Times New Roman" w:hAnsi="Times New Roman"/>
                <w:color w:val="auto"/>
                <w:sz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283" w:hRule="atLeast"/>
          <w:jc w:val="center"/>
        </w:trPr>
        <w:tc>
          <w:tcPr>
            <w:tcW w:w="7416" w:type="dxa"/>
            <w:gridSpan w:val="5"/>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合计</w:t>
            </w:r>
          </w:p>
        </w:tc>
        <w:tc>
          <w:tcPr>
            <w:tcW w:w="1592" w:type="dxa"/>
            <w:shd w:val="clear" w:color="auto" w:fill="FFFFFF"/>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0.00</w:t>
            </w:r>
            <w:r>
              <w:rPr>
                <w:rFonts w:hint="eastAsia" w:ascii="Times New Roman" w:hAnsi="Times New Roman"/>
                <w:color w:val="auto"/>
                <w:sz w:val="21"/>
              </w:rPr>
              <w:t>4</w:t>
            </w:r>
          </w:p>
        </w:tc>
      </w:tr>
    </w:tbl>
    <w:p>
      <w:pPr>
        <w:ind w:firstLine="480"/>
        <w:rPr>
          <w:rFonts w:ascii="Times New Roman" w:hAnsi="Times New Roman"/>
          <w:color w:val="auto"/>
        </w:rPr>
      </w:pPr>
      <w:r>
        <w:rPr>
          <w:rFonts w:ascii="Times New Roman" w:hAnsi="Times New Roman"/>
          <w:color w:val="auto"/>
          <w:szCs w:val="24"/>
        </w:rPr>
        <w:t>综上所述，Q值为0.00</w:t>
      </w:r>
      <w:r>
        <w:rPr>
          <w:rFonts w:hint="eastAsia" w:ascii="Times New Roman" w:hAnsi="Times New Roman"/>
          <w:color w:val="auto"/>
          <w:szCs w:val="24"/>
        </w:rPr>
        <w:t>4</w:t>
      </w:r>
      <w:r>
        <w:rPr>
          <w:rFonts w:ascii="Times New Roman" w:hAnsi="Times New Roman"/>
          <w:color w:val="auto"/>
          <w:szCs w:val="24"/>
        </w:rPr>
        <w:t>&lt;1，故本项目环境风险潜势为</w:t>
      </w:r>
      <w:r>
        <w:rPr>
          <w:rFonts w:hint="eastAsia" w:cs="宋体"/>
          <w:color w:val="auto"/>
          <w:szCs w:val="24"/>
        </w:rPr>
        <w:t>Ⅰ</w:t>
      </w:r>
      <w:r>
        <w:rPr>
          <w:rFonts w:ascii="Times New Roman" w:hAnsi="Times New Roman"/>
          <w:color w:val="auto"/>
          <w:szCs w:val="24"/>
        </w:rPr>
        <w:t>，评价工作等级为简单分析。</w:t>
      </w:r>
    </w:p>
    <w:p>
      <w:pPr>
        <w:pStyle w:val="4"/>
        <w:numPr>
          <w:ilvl w:val="0"/>
          <w:numId w:val="32"/>
        </w:numPr>
        <w:spacing w:beforeLines="0"/>
        <w:rPr>
          <w:rFonts w:ascii="Times New Roman" w:hAnsi="Times New Roman"/>
          <w:color w:val="auto"/>
          <w:sz w:val="24"/>
          <w:szCs w:val="24"/>
        </w:rPr>
      </w:pPr>
      <w:r>
        <w:rPr>
          <w:rFonts w:hint="eastAsia" w:ascii="Times New Roman" w:hAnsi="Times New Roman"/>
          <w:color w:val="auto"/>
          <w:sz w:val="24"/>
          <w:szCs w:val="24"/>
        </w:rPr>
        <w:t>评价工作等级划分</w:t>
      </w:r>
    </w:p>
    <w:p>
      <w:pPr>
        <w:ind w:firstLine="540" w:firstLineChars="225"/>
        <w:rPr>
          <w:rFonts w:ascii="Times New Roman" w:hAnsi="Times New Roman"/>
          <w:color w:val="auto"/>
        </w:rPr>
      </w:pPr>
      <w:r>
        <w:rPr>
          <w:rFonts w:hint="eastAsia" w:ascii="Times New Roman" w:hAnsi="Times New Roman"/>
          <w:color w:val="auto"/>
        </w:rPr>
        <w:t>环境风险评价</w:t>
      </w:r>
      <w:r>
        <w:rPr>
          <w:rFonts w:ascii="Times New Roman" w:hAnsi="Times New Roman"/>
          <w:color w:val="auto"/>
        </w:rPr>
        <w:t>工作等级划分为一级、二级、三级。根据建设项目涉及的物质及工艺系统危险性和所在地的环境敏感性确定环境风险潜势，按照表5-3</w:t>
      </w:r>
      <w:r>
        <w:rPr>
          <w:rFonts w:hint="eastAsia" w:ascii="Times New Roman" w:hAnsi="Times New Roman"/>
          <w:color w:val="auto"/>
        </w:rPr>
        <w:t>7</w:t>
      </w:r>
      <w:r>
        <w:rPr>
          <w:rFonts w:ascii="Times New Roman" w:hAnsi="Times New Roman"/>
          <w:color w:val="auto"/>
        </w:rPr>
        <w:t>确定评价工作等级。</w:t>
      </w:r>
    </w:p>
    <w:p>
      <w:pPr>
        <w:pStyle w:val="787"/>
        <w:spacing w:line="240" w:lineRule="auto"/>
        <w:ind w:firstLine="0" w:firstLineChars="0"/>
        <w:jc w:val="center"/>
        <w:rPr>
          <w:rFonts w:eastAsia="宋体"/>
          <w:b/>
          <w:color w:val="auto"/>
          <w:sz w:val="21"/>
          <w:szCs w:val="21"/>
        </w:rPr>
      </w:pPr>
      <w:r>
        <w:rPr>
          <w:rFonts w:hint="eastAsia" w:eastAsia="宋体"/>
          <w:b/>
          <w:color w:val="auto"/>
          <w:sz w:val="21"/>
          <w:szCs w:val="21"/>
        </w:rPr>
        <w:t>表5-39  评价工作等级划分</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1940"/>
        <w:gridCol w:w="893"/>
        <w:gridCol w:w="893"/>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eastAsia="宋体"/>
                <w:color w:val="auto"/>
                <w:kern w:val="2"/>
                <w:sz w:val="21"/>
                <w:szCs w:val="21"/>
              </w:rPr>
              <w:t>环境风险潜势</w:t>
            </w:r>
          </w:p>
        </w:tc>
        <w:tc>
          <w:tcPr>
            <w:tcW w:w="1073"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hint="eastAsia" w:ascii="宋体" w:hAnsi="宋体" w:eastAsia="宋体" w:cs="宋体"/>
                <w:color w:val="auto"/>
                <w:kern w:val="2"/>
                <w:sz w:val="21"/>
                <w:szCs w:val="21"/>
              </w:rPr>
              <w:t>Ⅳ</w:t>
            </w:r>
            <w:r>
              <w:rPr>
                <w:rFonts w:eastAsia="宋体"/>
                <w:color w:val="auto"/>
                <w:kern w:val="2"/>
                <w:sz w:val="21"/>
                <w:szCs w:val="21"/>
              </w:rPr>
              <w:t>、</w:t>
            </w:r>
            <w:r>
              <w:rPr>
                <w:rFonts w:hint="eastAsia" w:ascii="宋体" w:hAnsi="宋体" w:eastAsia="宋体" w:cs="宋体"/>
                <w:color w:val="auto"/>
                <w:kern w:val="2"/>
                <w:sz w:val="21"/>
                <w:szCs w:val="21"/>
              </w:rPr>
              <w:t>Ⅳ</w:t>
            </w:r>
            <w:r>
              <w:rPr>
                <w:rFonts w:eastAsia="宋体"/>
                <w:color w:val="auto"/>
                <w:kern w:val="2"/>
                <w:sz w:val="21"/>
                <w:szCs w:val="21"/>
                <w:vertAlign w:val="superscript"/>
              </w:rPr>
              <w:t>+</w:t>
            </w:r>
          </w:p>
        </w:tc>
        <w:tc>
          <w:tcPr>
            <w:tcW w:w="494"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hint="eastAsia" w:ascii="宋体" w:hAnsi="宋体" w:eastAsia="宋体" w:cs="宋体"/>
                <w:color w:val="auto"/>
                <w:kern w:val="2"/>
                <w:sz w:val="21"/>
                <w:szCs w:val="21"/>
              </w:rPr>
              <w:t>Ⅲ</w:t>
            </w:r>
          </w:p>
        </w:tc>
        <w:tc>
          <w:tcPr>
            <w:tcW w:w="494"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hint="eastAsia" w:ascii="宋体" w:hAnsi="宋体" w:eastAsia="宋体" w:cs="宋体"/>
                <w:color w:val="auto"/>
                <w:kern w:val="2"/>
                <w:sz w:val="21"/>
                <w:szCs w:val="21"/>
              </w:rPr>
              <w:t>Ⅱ</w:t>
            </w:r>
          </w:p>
        </w:tc>
        <w:tc>
          <w:tcPr>
            <w:tcW w:w="1225"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hint="eastAsia" w:ascii="宋体" w:hAnsi="宋体" w:eastAsia="宋体" w:cs="宋体"/>
                <w:color w:val="auto"/>
                <w:kern w:val="2"/>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eastAsia="宋体"/>
                <w:color w:val="auto"/>
                <w:kern w:val="2"/>
                <w:sz w:val="21"/>
                <w:szCs w:val="21"/>
              </w:rPr>
              <w:t>评价工作等级</w:t>
            </w:r>
          </w:p>
        </w:tc>
        <w:tc>
          <w:tcPr>
            <w:tcW w:w="1073"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eastAsia="宋体"/>
                <w:color w:val="auto"/>
                <w:kern w:val="2"/>
                <w:sz w:val="21"/>
                <w:szCs w:val="21"/>
              </w:rPr>
              <w:t>一</w:t>
            </w:r>
          </w:p>
        </w:tc>
        <w:tc>
          <w:tcPr>
            <w:tcW w:w="494"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eastAsia="宋体"/>
                <w:color w:val="auto"/>
                <w:kern w:val="2"/>
                <w:sz w:val="21"/>
                <w:szCs w:val="21"/>
              </w:rPr>
              <w:t>二</w:t>
            </w:r>
          </w:p>
        </w:tc>
        <w:tc>
          <w:tcPr>
            <w:tcW w:w="494"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eastAsia="宋体"/>
                <w:color w:val="auto"/>
                <w:kern w:val="2"/>
                <w:sz w:val="21"/>
                <w:szCs w:val="21"/>
              </w:rPr>
              <w:t>三</w:t>
            </w:r>
          </w:p>
        </w:tc>
        <w:tc>
          <w:tcPr>
            <w:tcW w:w="1225" w:type="pct"/>
            <w:vAlign w:val="center"/>
          </w:tcPr>
          <w:p>
            <w:pPr>
              <w:pStyle w:val="787"/>
              <w:keepNext w:val="0"/>
              <w:keepLines w:val="0"/>
              <w:suppressLineNumbers w:val="0"/>
              <w:spacing w:before="0" w:beforeAutospacing="0" w:after="0" w:afterAutospacing="0" w:line="240" w:lineRule="auto"/>
              <w:ind w:left="0" w:right="0" w:firstLine="0" w:firstLineChars="0"/>
              <w:jc w:val="center"/>
              <w:rPr>
                <w:rFonts w:eastAsia="宋体"/>
                <w:color w:val="auto"/>
                <w:kern w:val="2"/>
                <w:sz w:val="21"/>
                <w:szCs w:val="21"/>
              </w:rPr>
            </w:pPr>
            <w:r>
              <w:rPr>
                <w:rFonts w:eastAsia="宋体"/>
                <w:color w:val="auto"/>
                <w:kern w:val="2"/>
                <w:sz w:val="21"/>
                <w:szCs w:val="21"/>
              </w:rPr>
              <w:t>简单分析</w:t>
            </w:r>
          </w:p>
        </w:tc>
      </w:tr>
    </w:tbl>
    <w:p>
      <w:pPr>
        <w:ind w:firstLine="540" w:firstLineChars="225"/>
        <w:rPr>
          <w:rFonts w:ascii="Times New Roman" w:hAnsi="Times New Roman"/>
          <w:color w:val="auto"/>
        </w:rPr>
      </w:pPr>
      <w:r>
        <w:rPr>
          <w:rFonts w:ascii="Times New Roman" w:hAnsi="Times New Roman"/>
          <w:color w:val="auto"/>
        </w:rPr>
        <w:t>根据表5-3</w:t>
      </w:r>
      <w:r>
        <w:rPr>
          <w:rFonts w:hint="eastAsia" w:ascii="Times New Roman" w:hAnsi="Times New Roman"/>
          <w:color w:val="auto"/>
        </w:rPr>
        <w:t>7</w:t>
      </w:r>
      <w:r>
        <w:rPr>
          <w:rFonts w:ascii="Times New Roman" w:hAnsi="Times New Roman"/>
          <w:color w:val="auto"/>
        </w:rPr>
        <w:t>可知，项目风险潜势为</w:t>
      </w:r>
      <w:r>
        <w:rPr>
          <w:rFonts w:hint="eastAsia" w:cs="宋体"/>
          <w:color w:val="auto"/>
        </w:rPr>
        <w:t>Ⅰ</w:t>
      </w:r>
      <w:r>
        <w:rPr>
          <w:rFonts w:ascii="Times New Roman" w:hAnsi="Times New Roman"/>
          <w:color w:val="auto"/>
        </w:rPr>
        <w:t>，可开展简单分析。</w:t>
      </w:r>
    </w:p>
    <w:p>
      <w:pPr>
        <w:pStyle w:val="4"/>
        <w:numPr>
          <w:ilvl w:val="0"/>
          <w:numId w:val="32"/>
        </w:numPr>
        <w:spacing w:beforeLines="0"/>
        <w:rPr>
          <w:rFonts w:ascii="Times New Roman" w:hAnsi="Times New Roman"/>
          <w:color w:val="auto"/>
          <w:sz w:val="24"/>
          <w:szCs w:val="24"/>
        </w:rPr>
      </w:pPr>
      <w:r>
        <w:rPr>
          <w:rFonts w:hint="eastAsia" w:ascii="Times New Roman" w:hAnsi="Times New Roman"/>
          <w:color w:val="auto"/>
          <w:sz w:val="24"/>
          <w:szCs w:val="24"/>
        </w:rPr>
        <w:t>环境敏感目标概况</w:t>
      </w:r>
    </w:p>
    <w:p>
      <w:pPr>
        <w:ind w:firstLine="540" w:firstLineChars="225"/>
        <w:rPr>
          <w:rFonts w:ascii="Times New Roman" w:hAnsi="Times New Roman"/>
          <w:color w:val="auto"/>
        </w:rPr>
      </w:pPr>
      <w:r>
        <w:rPr>
          <w:rFonts w:ascii="Times New Roman" w:hAnsi="Times New Roman"/>
          <w:color w:val="auto"/>
        </w:rPr>
        <w:t>本项目环境敏感保护目标详见</w:t>
      </w:r>
      <w:r>
        <w:rPr>
          <w:rFonts w:hint="eastAsia" w:ascii="Times New Roman" w:hAnsi="Times New Roman"/>
          <w:color w:val="auto"/>
        </w:rPr>
        <w:t>2.5章节。</w:t>
      </w:r>
    </w:p>
    <w:p>
      <w:pPr>
        <w:pStyle w:val="4"/>
        <w:numPr>
          <w:ilvl w:val="0"/>
          <w:numId w:val="32"/>
        </w:numPr>
        <w:spacing w:beforeLines="0"/>
        <w:rPr>
          <w:rFonts w:ascii="Times New Roman" w:hAnsi="Times New Roman"/>
          <w:color w:val="auto"/>
          <w:sz w:val="24"/>
          <w:szCs w:val="24"/>
        </w:rPr>
      </w:pPr>
      <w:bookmarkStart w:id="86" w:name="_Toc335135615"/>
      <w:bookmarkStart w:id="87" w:name="_Toc323721044"/>
      <w:r>
        <w:rPr>
          <w:rFonts w:ascii="Times New Roman" w:hAnsi="Times New Roman"/>
          <w:color w:val="auto"/>
          <w:sz w:val="24"/>
          <w:szCs w:val="24"/>
        </w:rPr>
        <w:t>环境风险</w:t>
      </w:r>
      <w:bookmarkEnd w:id="86"/>
      <w:bookmarkEnd w:id="87"/>
      <w:r>
        <w:rPr>
          <w:rFonts w:ascii="Times New Roman" w:hAnsi="Times New Roman"/>
          <w:color w:val="auto"/>
          <w:sz w:val="24"/>
          <w:szCs w:val="24"/>
        </w:rPr>
        <w:t>识别</w:t>
      </w:r>
    </w:p>
    <w:p>
      <w:pPr>
        <w:pStyle w:val="200"/>
        <w:spacing w:line="360" w:lineRule="auto"/>
        <w:ind w:firstLine="480"/>
        <w:rPr>
          <w:rFonts w:ascii="Times New Roman" w:hAnsi="Times New Roman"/>
          <w:color w:val="auto"/>
        </w:rPr>
      </w:pPr>
      <w:r>
        <w:rPr>
          <w:rFonts w:ascii="Times New Roman" w:hAnsi="Times New Roman"/>
          <w:color w:val="auto"/>
        </w:rPr>
        <w:t>本次环评按照导则将项目厂区涉及生产设施划分如下几个单元进行风险分析。即生产车间、原材料仓库和产品仓库。</w:t>
      </w:r>
    </w:p>
    <w:p>
      <w:pPr>
        <w:pStyle w:val="200"/>
        <w:spacing w:line="360" w:lineRule="auto"/>
        <w:ind w:firstLine="480"/>
        <w:rPr>
          <w:rFonts w:ascii="Times New Roman" w:hAnsi="Times New Roman"/>
          <w:color w:val="auto"/>
        </w:rPr>
      </w:pPr>
      <w:r>
        <w:rPr>
          <w:rFonts w:hint="eastAsia" w:ascii="Times New Roman" w:hAnsi="Times New Roman" w:cs="宋体"/>
          <w:color w:val="auto"/>
        </w:rPr>
        <w:t>①</w:t>
      </w:r>
      <w:r>
        <w:rPr>
          <w:rFonts w:ascii="Times New Roman" w:hAnsi="Times New Roman"/>
          <w:color w:val="auto"/>
        </w:rPr>
        <w:t>可以引起火灾的因素较多，如电器设备多，维护管理和使用不当，明火管理不当、吸烟或施工操作不当等，可以说火灾的潜伏性和可能性是很大的，具有较大的危害性。</w:t>
      </w:r>
    </w:p>
    <w:p>
      <w:pPr>
        <w:pStyle w:val="200"/>
        <w:spacing w:line="360" w:lineRule="auto"/>
        <w:ind w:firstLine="480"/>
        <w:rPr>
          <w:rFonts w:ascii="Times New Roman" w:hAnsi="Times New Roman"/>
          <w:color w:val="auto"/>
        </w:rPr>
      </w:pPr>
      <w:r>
        <w:rPr>
          <w:rFonts w:hint="eastAsia" w:ascii="Times New Roman" w:hAnsi="Times New Roman" w:cs="宋体"/>
          <w:color w:val="auto"/>
        </w:rPr>
        <w:t>②</w:t>
      </w:r>
      <w:r>
        <w:rPr>
          <w:rFonts w:ascii="Times New Roman" w:hAnsi="Times New Roman"/>
          <w:color w:val="auto"/>
        </w:rPr>
        <w:t>原材料仓库</w:t>
      </w:r>
      <w:r>
        <w:rPr>
          <w:rFonts w:hint="eastAsia" w:ascii="Times New Roman" w:hAnsi="Times New Roman"/>
          <w:color w:val="auto"/>
        </w:rPr>
        <w:t>、危废仓库</w:t>
      </w:r>
      <w:r>
        <w:rPr>
          <w:rFonts w:ascii="Times New Roman" w:hAnsi="Times New Roman"/>
          <w:color w:val="auto"/>
        </w:rPr>
        <w:t>和产品仓库的建筑条件差，未有防火、防</w:t>
      </w:r>
      <w:r>
        <w:rPr>
          <w:rFonts w:hint="eastAsia" w:ascii="Times New Roman" w:hAnsi="Times New Roman"/>
          <w:color w:val="auto"/>
        </w:rPr>
        <w:t>晒</w:t>
      </w:r>
      <w:r>
        <w:rPr>
          <w:rFonts w:ascii="Times New Roman" w:hAnsi="Times New Roman"/>
          <w:color w:val="auto"/>
        </w:rPr>
        <w:t>、降温措施，使物品受热造成仓库内温度过高等，也是导致火灾事故的发生的重要因素之一。</w:t>
      </w:r>
    </w:p>
    <w:p>
      <w:pPr>
        <w:pStyle w:val="200"/>
        <w:spacing w:line="360" w:lineRule="auto"/>
        <w:ind w:firstLine="480"/>
        <w:rPr>
          <w:rFonts w:ascii="Times New Roman" w:hAnsi="Times New Roman"/>
          <w:color w:val="auto"/>
        </w:rPr>
      </w:pPr>
      <w:r>
        <w:rPr>
          <w:rFonts w:hint="eastAsia" w:ascii="Times New Roman" w:hAnsi="Times New Roman" w:cs="宋体"/>
          <w:color w:val="auto"/>
        </w:rPr>
        <w:t>③</w:t>
      </w:r>
      <w:r>
        <w:rPr>
          <w:rFonts w:ascii="Times New Roman" w:hAnsi="Times New Roman"/>
          <w:color w:val="auto"/>
        </w:rPr>
        <w:t>由于贮存装置防雷、防静电设施缺少或有缺陷，因雷击放电而产生火灾事故。</w:t>
      </w:r>
    </w:p>
    <w:p>
      <w:pPr>
        <w:ind w:firstLine="480"/>
        <w:rPr>
          <w:rFonts w:ascii="Times New Roman" w:hAnsi="Times New Roman"/>
          <w:color w:val="auto"/>
          <w:szCs w:val="24"/>
        </w:rPr>
      </w:pPr>
      <w:r>
        <w:rPr>
          <w:rFonts w:hint="eastAsia" w:ascii="Times New Roman" w:hAnsi="Times New Roman" w:cs="宋体"/>
          <w:color w:val="auto"/>
        </w:rPr>
        <w:t>④</w:t>
      </w:r>
      <w:r>
        <w:rPr>
          <w:rFonts w:ascii="Times New Roman" w:hAnsi="Times New Roman"/>
          <w:color w:val="auto"/>
        </w:rPr>
        <w:t>电气设备特别是照明和动力线路安装不当，或年久失修、绝缘老化、破损引起短路活化，照明灯具烤着可燃物，静电积聚产生放电活化，均有可能引起火灾事故。</w:t>
      </w:r>
    </w:p>
    <w:p>
      <w:pPr>
        <w:pStyle w:val="4"/>
        <w:numPr>
          <w:ilvl w:val="0"/>
          <w:numId w:val="32"/>
        </w:numPr>
        <w:spacing w:beforeLines="0"/>
        <w:rPr>
          <w:rFonts w:ascii="Times New Roman" w:hAnsi="Times New Roman"/>
          <w:color w:val="auto"/>
          <w:sz w:val="24"/>
          <w:szCs w:val="24"/>
        </w:rPr>
      </w:pPr>
      <w:r>
        <w:rPr>
          <w:rFonts w:ascii="Times New Roman" w:hAnsi="Times New Roman"/>
          <w:color w:val="auto"/>
          <w:sz w:val="24"/>
          <w:szCs w:val="24"/>
        </w:rPr>
        <w:t>风险防范措施</w:t>
      </w:r>
    </w:p>
    <w:p>
      <w:pPr>
        <w:pStyle w:val="200"/>
        <w:spacing w:line="360" w:lineRule="auto"/>
        <w:ind w:firstLine="482"/>
        <w:rPr>
          <w:rFonts w:ascii="Times New Roman" w:hAnsi="Times New Roman"/>
          <w:b/>
          <w:color w:val="auto"/>
        </w:rPr>
      </w:pPr>
      <w:bookmarkStart w:id="88" w:name="_Toc387993289"/>
      <w:bookmarkStart w:id="89" w:name="_Toc323721045"/>
      <w:bookmarkStart w:id="90" w:name="_Toc386561461"/>
      <w:bookmarkStart w:id="91" w:name="_Toc385589004"/>
      <w:r>
        <w:rPr>
          <w:rFonts w:ascii="Times New Roman" w:hAnsi="Times New Roman"/>
          <w:b/>
          <w:color w:val="auto"/>
        </w:rPr>
        <w:t>1、风险防范措施</w:t>
      </w:r>
      <w:bookmarkEnd w:id="88"/>
      <w:bookmarkEnd w:id="89"/>
      <w:bookmarkEnd w:id="90"/>
      <w:bookmarkEnd w:id="91"/>
      <w:r>
        <w:rPr>
          <w:rFonts w:ascii="Times New Roman" w:hAnsi="Times New Roman"/>
          <w:b/>
          <w:color w:val="auto"/>
        </w:rPr>
        <w:t>及要求</w:t>
      </w:r>
    </w:p>
    <w:p>
      <w:pPr>
        <w:pStyle w:val="200"/>
        <w:spacing w:line="360" w:lineRule="auto"/>
        <w:ind w:firstLine="480"/>
        <w:rPr>
          <w:rFonts w:ascii="Times New Roman" w:hAnsi="Times New Roman"/>
          <w:color w:val="auto"/>
        </w:rPr>
      </w:pPr>
      <w:r>
        <w:rPr>
          <w:rFonts w:ascii="Times New Roman" w:hAnsi="Times New Roman"/>
          <w:color w:val="auto"/>
        </w:rPr>
        <w:t>本项目的建设必然伴随着潜在的危险，若防范措施完善，则事故的发生概率必然会降低，但不会为零。一旦发生事故，需采取相应的应急措施，控制和减少事故危害。因此，提出以下风险防范措施，从根本上杜绝泄漏、爆炸、燃烧事故的发生，使风险发生概率降到最低。</w:t>
      </w:r>
    </w:p>
    <w:p>
      <w:pPr>
        <w:pStyle w:val="200"/>
        <w:spacing w:line="360" w:lineRule="auto"/>
        <w:ind w:firstLine="480"/>
        <w:rPr>
          <w:rFonts w:ascii="Times New Roman" w:hAnsi="Times New Roman"/>
          <w:color w:val="auto"/>
        </w:rPr>
      </w:pPr>
      <w:r>
        <w:rPr>
          <w:rFonts w:ascii="Times New Roman" w:hAnsi="Times New Roman"/>
          <w:color w:val="auto"/>
        </w:rPr>
        <w:t>（1）加强教育，强化管理</w:t>
      </w:r>
    </w:p>
    <w:p>
      <w:pPr>
        <w:pStyle w:val="200"/>
        <w:spacing w:line="360" w:lineRule="auto"/>
        <w:ind w:firstLine="480"/>
        <w:rPr>
          <w:rFonts w:ascii="Times New Roman" w:hAnsi="Times New Roman"/>
          <w:color w:val="auto"/>
        </w:rPr>
      </w:pPr>
      <w:r>
        <w:rPr>
          <w:rFonts w:ascii="Times New Roman" w:hAnsi="Times New Roman"/>
          <w:color w:val="auto"/>
        </w:rPr>
        <w:t>安全生产是企业立厂之本，对企业来说，一定要强化风险意识、加强安全管理，具体要求如下：</w:t>
      </w:r>
    </w:p>
    <w:p>
      <w:pPr>
        <w:pStyle w:val="200"/>
        <w:spacing w:line="360" w:lineRule="auto"/>
        <w:ind w:firstLine="480"/>
        <w:rPr>
          <w:rFonts w:ascii="Times New Roman" w:hAnsi="Times New Roman"/>
          <w:color w:val="auto"/>
        </w:rPr>
      </w:pPr>
      <w:r>
        <w:rPr>
          <w:rFonts w:hint="eastAsia" w:ascii="Times New Roman" w:hAnsi="Times New Roman" w:cs="宋体"/>
          <w:color w:val="auto"/>
        </w:rPr>
        <w:t>①</w:t>
      </w:r>
      <w:r>
        <w:rPr>
          <w:rFonts w:ascii="Times New Roman" w:hAnsi="Times New Roman"/>
          <w:color w:val="auto"/>
        </w:rPr>
        <w:t>必须将“安全第一，以防为主”作为公司经营的基本原则；</w:t>
      </w:r>
    </w:p>
    <w:p>
      <w:pPr>
        <w:pStyle w:val="200"/>
        <w:spacing w:line="360" w:lineRule="auto"/>
        <w:ind w:firstLine="480"/>
        <w:rPr>
          <w:rFonts w:ascii="Times New Roman" w:hAnsi="Times New Roman"/>
          <w:color w:val="auto"/>
        </w:rPr>
      </w:pPr>
      <w:r>
        <w:rPr>
          <w:rFonts w:hint="eastAsia" w:ascii="Times New Roman" w:hAnsi="Times New Roman" w:cs="宋体"/>
          <w:color w:val="auto"/>
        </w:rPr>
        <w:t>②</w:t>
      </w:r>
      <w:r>
        <w:rPr>
          <w:rFonts w:ascii="Times New Roman" w:hAnsi="Times New Roman"/>
          <w:color w:val="auto"/>
        </w:rPr>
        <w:t>必须进行广泛系统的培训，使所有操作人员熟悉自己的岗位，树立严谨规范的操作作风，并且在任何紧急状况下都能随时对工艺装置进行控制，并及时、独立、正确地实施相关应急措施。</w:t>
      </w:r>
    </w:p>
    <w:p>
      <w:pPr>
        <w:pStyle w:val="200"/>
        <w:spacing w:line="360" w:lineRule="auto"/>
        <w:ind w:firstLine="480"/>
        <w:rPr>
          <w:rFonts w:ascii="Times New Roman" w:hAnsi="Times New Roman"/>
          <w:color w:val="auto"/>
        </w:rPr>
      </w:pPr>
      <w:r>
        <w:rPr>
          <w:rFonts w:hint="eastAsia" w:ascii="Times New Roman" w:hAnsi="Times New Roman" w:cs="宋体"/>
          <w:color w:val="auto"/>
        </w:rPr>
        <w:t>③</w:t>
      </w:r>
      <w:r>
        <w:rPr>
          <w:rFonts w:ascii="Times New Roman" w:hAnsi="Times New Roman"/>
          <w:color w:val="auto"/>
        </w:rPr>
        <w:t>对公司职工进行消防培训，当事故发生后能在最短时间内集合，在佩带上相应的防护设备后，随同厂内技术人员进入泄漏地点。当情况比较严重时，应在组织自救的同时，通知城市救援中心和消防队，启动外界应急救援计划。</w:t>
      </w:r>
    </w:p>
    <w:p>
      <w:pPr>
        <w:pStyle w:val="200"/>
        <w:spacing w:line="360" w:lineRule="auto"/>
        <w:ind w:firstLine="480"/>
        <w:rPr>
          <w:rFonts w:ascii="Times New Roman" w:hAnsi="Times New Roman"/>
          <w:color w:val="auto"/>
        </w:rPr>
      </w:pPr>
      <w:r>
        <w:rPr>
          <w:rFonts w:hint="eastAsia" w:ascii="Times New Roman" w:hAnsi="Times New Roman" w:cs="宋体"/>
          <w:color w:val="auto"/>
        </w:rPr>
        <w:t>④</w:t>
      </w:r>
      <w:r>
        <w:rPr>
          <w:rFonts w:ascii="Times New Roman" w:hAnsi="Times New Roman"/>
          <w:color w:val="auto"/>
        </w:rPr>
        <w:t>加强公司职员的安全意识，严禁在厂区吸烟，防止因明火导致厂区火灾、爆炸。</w:t>
      </w:r>
    </w:p>
    <w:p>
      <w:pPr>
        <w:pStyle w:val="200"/>
        <w:spacing w:line="360" w:lineRule="auto"/>
        <w:ind w:firstLine="480"/>
        <w:rPr>
          <w:rFonts w:ascii="Times New Roman" w:hAnsi="Times New Roman"/>
          <w:color w:val="auto"/>
        </w:rPr>
      </w:pPr>
      <w:r>
        <w:rPr>
          <w:rFonts w:hint="eastAsia" w:ascii="Times New Roman" w:hAnsi="Times New Roman" w:cs="宋体"/>
          <w:color w:val="auto"/>
        </w:rPr>
        <w:t>⑤</w:t>
      </w:r>
      <w:r>
        <w:rPr>
          <w:rFonts w:ascii="Times New Roman" w:hAnsi="Times New Roman"/>
          <w:color w:val="auto"/>
        </w:rPr>
        <w:t>设立安全环保科，负责全厂的安全管理，应聘请具有丰富经验的人才担当负责人，每个车间和主要装置设置专职或兼职安全员，兼职安全员原则上由工艺员担任。</w:t>
      </w:r>
    </w:p>
    <w:p>
      <w:pPr>
        <w:pStyle w:val="200"/>
        <w:spacing w:line="360" w:lineRule="auto"/>
        <w:ind w:firstLine="480"/>
        <w:rPr>
          <w:rFonts w:ascii="Times New Roman" w:hAnsi="Times New Roman"/>
          <w:color w:val="auto"/>
        </w:rPr>
      </w:pPr>
      <w:r>
        <w:rPr>
          <w:rFonts w:hint="eastAsia" w:ascii="Times New Roman" w:hAnsi="Times New Roman" w:cs="宋体"/>
          <w:color w:val="auto"/>
        </w:rPr>
        <w:t>⑥</w:t>
      </w:r>
      <w:r>
        <w:rPr>
          <w:rFonts w:ascii="Times New Roman" w:hAnsi="Times New Roman"/>
          <w:color w:val="auto"/>
        </w:rPr>
        <w:t>公司设立安全生产领导小组，由公司主要领导亲自担任领导小组组长，各车间负责人担任小组组员，形成领导负总责，全公司参与的管理模式。</w:t>
      </w:r>
    </w:p>
    <w:p>
      <w:pPr>
        <w:pStyle w:val="200"/>
        <w:spacing w:line="360" w:lineRule="auto"/>
        <w:ind w:firstLine="480"/>
        <w:rPr>
          <w:rFonts w:ascii="Times New Roman" w:hAnsi="Times New Roman"/>
          <w:color w:val="auto"/>
        </w:rPr>
      </w:pPr>
      <w:r>
        <w:rPr>
          <w:rFonts w:hint="eastAsia" w:ascii="Times New Roman" w:hAnsi="Times New Roman" w:cs="宋体"/>
          <w:color w:val="auto"/>
        </w:rPr>
        <w:t>⑦</w:t>
      </w:r>
      <w:r>
        <w:rPr>
          <w:rFonts w:ascii="Times New Roman" w:hAnsi="Times New Roman"/>
          <w:color w:val="auto"/>
        </w:rPr>
        <w:t>按照《劳动法》有关规定，为职工提供劳动安全卫生条件和劳动防护用品。</w:t>
      </w:r>
    </w:p>
    <w:p>
      <w:pPr>
        <w:pStyle w:val="200"/>
        <w:spacing w:line="360" w:lineRule="auto"/>
        <w:ind w:firstLine="480"/>
        <w:rPr>
          <w:rFonts w:ascii="Times New Roman" w:hAnsi="Times New Roman"/>
          <w:color w:val="auto"/>
        </w:rPr>
      </w:pPr>
      <w:r>
        <w:rPr>
          <w:rFonts w:ascii="Times New Roman" w:hAnsi="Times New Roman"/>
          <w:color w:val="auto"/>
        </w:rPr>
        <w:t>（2）贮存过程风险防范措施</w:t>
      </w:r>
    </w:p>
    <w:p>
      <w:pPr>
        <w:pStyle w:val="200"/>
        <w:spacing w:line="360" w:lineRule="auto"/>
        <w:ind w:firstLine="480"/>
        <w:rPr>
          <w:rFonts w:ascii="Times New Roman" w:hAnsi="Times New Roman"/>
          <w:color w:val="auto"/>
        </w:rPr>
      </w:pPr>
      <w:r>
        <w:rPr>
          <w:rFonts w:ascii="Times New Roman" w:hAnsi="Times New Roman"/>
          <w:color w:val="auto"/>
        </w:rPr>
        <w:t>要求企业加强辅料的管理，设置防盗设施。同时应加强管理，由专人负责，非操作人员不得随意出入。加强防火，达到消防、安全等有关部门的要求。加强对职工的安全教育，制定严格的工作守则和个人卫生措施，以保证生产的正常运行和员工的身体健康。贮存过程事故风险主要是火灾爆炸事故，是安全生产的重要方面。另外，贮存场所还需采取以下措施：</w:t>
      </w:r>
    </w:p>
    <w:p>
      <w:pPr>
        <w:pStyle w:val="200"/>
        <w:spacing w:line="360" w:lineRule="auto"/>
        <w:ind w:firstLine="480"/>
        <w:rPr>
          <w:rFonts w:ascii="Times New Roman" w:hAnsi="Times New Roman"/>
          <w:color w:val="auto"/>
        </w:rPr>
      </w:pPr>
      <w:r>
        <w:rPr>
          <w:rFonts w:hint="eastAsia" w:ascii="Times New Roman" w:hAnsi="Times New Roman" w:cs="宋体"/>
          <w:color w:val="auto"/>
        </w:rPr>
        <w:t>①</w:t>
      </w:r>
      <w:r>
        <w:rPr>
          <w:rFonts w:ascii="Times New Roman" w:hAnsi="Times New Roman"/>
          <w:color w:val="auto"/>
        </w:rPr>
        <w:t>设立事故应急池，</w:t>
      </w:r>
      <w:r>
        <w:rPr>
          <w:rFonts w:hint="eastAsia" w:ascii="Times New Roman" w:hAnsi="Times New Roman"/>
          <w:color w:val="auto"/>
        </w:rPr>
        <w:t>大小应不小于40m</w:t>
      </w:r>
      <w:r>
        <w:rPr>
          <w:rFonts w:hint="eastAsia" w:ascii="Times New Roman" w:hAnsi="Times New Roman"/>
          <w:color w:val="auto"/>
          <w:vertAlign w:val="superscript"/>
        </w:rPr>
        <w:t>3</w:t>
      </w:r>
      <w:r>
        <w:rPr>
          <w:rFonts w:hint="eastAsia" w:ascii="Times New Roman" w:hAnsi="Times New Roman"/>
          <w:color w:val="auto"/>
        </w:rPr>
        <w:t>，</w:t>
      </w:r>
      <w:r>
        <w:rPr>
          <w:rFonts w:ascii="Times New Roman" w:hAnsi="Times New Roman"/>
          <w:color w:val="auto"/>
        </w:rPr>
        <w:t>确保事故情况下的消防水可以纳入纳管。</w:t>
      </w:r>
    </w:p>
    <w:p>
      <w:pPr>
        <w:pStyle w:val="200"/>
        <w:spacing w:line="360" w:lineRule="auto"/>
        <w:ind w:firstLine="480"/>
        <w:rPr>
          <w:rFonts w:ascii="Times New Roman" w:hAnsi="Times New Roman"/>
          <w:color w:val="auto"/>
        </w:rPr>
      </w:pPr>
      <w:r>
        <w:rPr>
          <w:rFonts w:hint="eastAsia" w:ascii="Times New Roman" w:hAnsi="Times New Roman" w:cs="宋体"/>
          <w:color w:val="auto"/>
        </w:rPr>
        <w:t>②</w:t>
      </w:r>
      <w:r>
        <w:rPr>
          <w:rFonts w:ascii="Times New Roman" w:hAnsi="Times New Roman"/>
          <w:color w:val="auto"/>
        </w:rPr>
        <w:t>管理人员必须经过专业知识培训，熟悉贮存物品的特性、事故处理办法和防护知识，同时，必须配备有关的个人防护用品。</w:t>
      </w:r>
    </w:p>
    <w:p>
      <w:pPr>
        <w:pStyle w:val="200"/>
        <w:spacing w:line="360" w:lineRule="auto"/>
        <w:ind w:firstLine="480"/>
        <w:rPr>
          <w:rFonts w:ascii="Times New Roman" w:hAnsi="Times New Roman"/>
          <w:color w:val="auto"/>
        </w:rPr>
      </w:pPr>
      <w:r>
        <w:rPr>
          <w:rFonts w:hint="eastAsia" w:ascii="Times New Roman" w:hAnsi="Times New Roman" w:cs="宋体"/>
          <w:color w:val="auto"/>
        </w:rPr>
        <w:t>③</w:t>
      </w:r>
      <w:r>
        <w:rPr>
          <w:rFonts w:ascii="Times New Roman" w:hAnsi="Times New Roman"/>
          <w:color w:val="auto"/>
        </w:rPr>
        <w:t>原料仓库、生产车间、成品仓库的布置必须符合《建筑设计防火规范》中相应的消防、防火防爆要求。</w:t>
      </w:r>
    </w:p>
    <w:p>
      <w:pPr>
        <w:pStyle w:val="200"/>
        <w:spacing w:line="360" w:lineRule="auto"/>
        <w:ind w:firstLine="480"/>
        <w:rPr>
          <w:rFonts w:ascii="Times New Roman" w:hAnsi="Times New Roman"/>
          <w:color w:val="auto"/>
        </w:rPr>
      </w:pPr>
      <w:r>
        <w:rPr>
          <w:rFonts w:hint="eastAsia" w:ascii="Times New Roman" w:hAnsi="Times New Roman" w:cs="宋体"/>
          <w:color w:val="auto"/>
        </w:rPr>
        <w:t>④</w:t>
      </w:r>
      <w:r>
        <w:rPr>
          <w:rFonts w:ascii="Times New Roman" w:hAnsi="Times New Roman"/>
          <w:color w:val="auto"/>
        </w:rPr>
        <w:t>生产车间、原料仓库中配备足量的泡沫、干粉等灭火器。</w:t>
      </w:r>
    </w:p>
    <w:p>
      <w:pPr>
        <w:pStyle w:val="200"/>
        <w:spacing w:line="360" w:lineRule="auto"/>
        <w:ind w:firstLine="480"/>
        <w:rPr>
          <w:rFonts w:ascii="Times New Roman" w:hAnsi="Times New Roman"/>
          <w:color w:val="auto"/>
        </w:rPr>
      </w:pPr>
      <w:r>
        <w:rPr>
          <w:rFonts w:ascii="Times New Roman" w:hAnsi="Times New Roman"/>
          <w:color w:val="auto"/>
        </w:rPr>
        <w:t>（</w:t>
      </w:r>
      <w:r>
        <w:rPr>
          <w:rFonts w:hint="eastAsia" w:ascii="Times New Roman" w:hAnsi="Times New Roman"/>
          <w:color w:val="auto"/>
        </w:rPr>
        <w:t>3</w:t>
      </w:r>
      <w:r>
        <w:rPr>
          <w:rFonts w:ascii="Times New Roman" w:hAnsi="Times New Roman"/>
          <w:color w:val="auto"/>
        </w:rPr>
        <w:t>）生产过程风险防范措施</w:t>
      </w:r>
    </w:p>
    <w:p>
      <w:pPr>
        <w:pStyle w:val="200"/>
        <w:spacing w:line="360" w:lineRule="auto"/>
        <w:ind w:firstLine="480"/>
        <w:rPr>
          <w:rFonts w:ascii="Times New Roman" w:hAnsi="Times New Roman"/>
          <w:color w:val="auto"/>
        </w:rPr>
      </w:pPr>
      <w:r>
        <w:rPr>
          <w:rFonts w:ascii="Times New Roman" w:hAnsi="Times New Roman"/>
          <w:color w:val="auto"/>
        </w:rPr>
        <w:t>生产过程事故风险防范是安全生产的核心，尽可能降低事故概率。</w:t>
      </w:r>
    </w:p>
    <w:p>
      <w:pPr>
        <w:pStyle w:val="200"/>
        <w:spacing w:line="360" w:lineRule="auto"/>
        <w:ind w:firstLine="480"/>
        <w:rPr>
          <w:rFonts w:ascii="Times New Roman" w:hAnsi="Times New Roman"/>
          <w:color w:val="auto"/>
        </w:rPr>
      </w:pPr>
      <w:r>
        <w:rPr>
          <w:rFonts w:hint="eastAsia" w:ascii="Times New Roman" w:hAnsi="Times New Roman" w:cs="宋体"/>
          <w:color w:val="auto"/>
        </w:rPr>
        <w:t>①</w:t>
      </w:r>
      <w:r>
        <w:rPr>
          <w:rFonts w:ascii="Times New Roman" w:hAnsi="Times New Roman"/>
          <w:color w:val="auto"/>
        </w:rPr>
        <w:t>火灾爆炸风险以及事故性泄漏常与装置设备故障相关联。企业在该项目生产和安全管理中要密切注意事故易发部位，做好运行监督检查与维修保养，防患于未然。</w:t>
      </w:r>
    </w:p>
    <w:p>
      <w:pPr>
        <w:pStyle w:val="200"/>
        <w:spacing w:line="360" w:lineRule="auto"/>
        <w:ind w:firstLine="480"/>
        <w:rPr>
          <w:rFonts w:ascii="Times New Roman" w:hAnsi="Times New Roman"/>
          <w:color w:val="auto"/>
        </w:rPr>
      </w:pPr>
      <w:r>
        <w:rPr>
          <w:rFonts w:hint="eastAsia" w:ascii="Times New Roman" w:hAnsi="Times New Roman" w:cs="宋体"/>
          <w:color w:val="auto"/>
        </w:rPr>
        <w:t>②</w:t>
      </w:r>
      <w:r>
        <w:rPr>
          <w:rFonts w:ascii="Times New Roman" w:hAnsi="Times New Roman"/>
          <w:color w:val="auto"/>
        </w:rPr>
        <w:t>工程设计中充分考虑易燃易爆化学品安全因素，反应、物料输送等关键岗位建议通过设备安全控制连锁措施降低风险性。</w:t>
      </w:r>
    </w:p>
    <w:p>
      <w:pPr>
        <w:pStyle w:val="200"/>
        <w:spacing w:line="360" w:lineRule="auto"/>
        <w:ind w:firstLine="480"/>
        <w:rPr>
          <w:rFonts w:ascii="Times New Roman" w:hAnsi="Times New Roman"/>
          <w:color w:val="auto"/>
        </w:rPr>
      </w:pPr>
      <w:r>
        <w:rPr>
          <w:rFonts w:hint="eastAsia" w:ascii="Times New Roman" w:hAnsi="Times New Roman" w:cs="宋体"/>
          <w:color w:val="auto"/>
        </w:rPr>
        <w:t>③</w:t>
      </w:r>
      <w:r>
        <w:rPr>
          <w:rFonts w:ascii="Times New Roman" w:hAnsi="Times New Roman"/>
          <w:color w:val="auto"/>
        </w:rPr>
        <w:t>必须组织专门人员每天每班多次进行周期性巡回检查，有跑冒滴漏或其他异常现象的应及时检修，必要时按照“生产服从安全”原则停车检修，严禁带病或不正常运转。</w:t>
      </w:r>
    </w:p>
    <w:p>
      <w:pPr>
        <w:pStyle w:val="200"/>
        <w:spacing w:line="360" w:lineRule="auto"/>
        <w:ind w:firstLine="480"/>
        <w:rPr>
          <w:rFonts w:ascii="Times New Roman" w:hAnsi="Times New Roman"/>
          <w:color w:val="auto"/>
        </w:rPr>
      </w:pPr>
      <w:r>
        <w:rPr>
          <w:rFonts w:ascii="Times New Roman" w:hAnsi="Times New Roman"/>
          <w:color w:val="auto"/>
        </w:rPr>
        <w:t>（</w:t>
      </w:r>
      <w:r>
        <w:rPr>
          <w:rFonts w:hint="eastAsia" w:ascii="Times New Roman" w:hAnsi="Times New Roman"/>
          <w:color w:val="auto"/>
        </w:rPr>
        <w:t>4</w:t>
      </w:r>
      <w:r>
        <w:rPr>
          <w:rFonts w:ascii="Times New Roman" w:hAnsi="Times New Roman"/>
          <w:color w:val="auto"/>
        </w:rPr>
        <w:t>）末端处置非正常排放事故</w:t>
      </w:r>
    </w:p>
    <w:p>
      <w:pPr>
        <w:pStyle w:val="200"/>
        <w:spacing w:line="360" w:lineRule="auto"/>
        <w:ind w:firstLine="480"/>
        <w:rPr>
          <w:rFonts w:ascii="Times New Roman" w:hAnsi="Times New Roman"/>
          <w:color w:val="auto"/>
        </w:rPr>
      </w:pPr>
      <w:r>
        <w:rPr>
          <w:rFonts w:hint="eastAsia" w:ascii="Times New Roman" w:hAnsi="Times New Roman" w:cs="宋体"/>
          <w:color w:val="auto"/>
        </w:rPr>
        <w:t>①</w:t>
      </w:r>
      <w:r>
        <w:rPr>
          <w:rFonts w:ascii="Times New Roman" w:hAnsi="Times New Roman"/>
          <w:color w:val="auto"/>
        </w:rPr>
        <w:t>为确保处理效率，在车间设备检修期间，末端处理系统也应同时进行检修，日常应有专人负责进行维修。</w:t>
      </w:r>
    </w:p>
    <w:p>
      <w:pPr>
        <w:pStyle w:val="200"/>
        <w:spacing w:line="360" w:lineRule="auto"/>
        <w:ind w:firstLine="480"/>
        <w:rPr>
          <w:rFonts w:ascii="Times New Roman" w:hAnsi="Times New Roman"/>
          <w:color w:val="auto"/>
        </w:rPr>
      </w:pPr>
      <w:r>
        <w:rPr>
          <w:rFonts w:hint="eastAsia" w:ascii="Times New Roman" w:hAnsi="Times New Roman"/>
          <w:color w:val="auto"/>
        </w:rPr>
        <w:t>②</w:t>
      </w:r>
      <w:r>
        <w:rPr>
          <w:rFonts w:ascii="Times New Roman" w:hAnsi="Times New Roman"/>
          <w:color w:val="auto"/>
        </w:rPr>
        <w:t>各车间、生产工段应制定严格的废水排放制度，确保清污分流。</w:t>
      </w:r>
    </w:p>
    <w:p>
      <w:pPr>
        <w:pStyle w:val="238"/>
        <w:adjustRightInd/>
        <w:snapToGrid/>
        <w:spacing w:line="360" w:lineRule="auto"/>
        <w:ind w:firstLine="480" w:firstLineChars="200"/>
        <w:jc w:val="both"/>
        <w:rPr>
          <w:rFonts w:eastAsia="宋体"/>
          <w:snapToGrid w:val="0"/>
          <w:color w:val="auto"/>
        </w:rPr>
      </w:pPr>
      <w:r>
        <w:rPr>
          <w:rFonts w:hint="eastAsia" w:eastAsia="宋体"/>
          <w:snapToGrid w:val="0"/>
          <w:color w:val="auto"/>
        </w:rPr>
        <w:t>③</w:t>
      </w:r>
      <w:r>
        <w:rPr>
          <w:rFonts w:eastAsia="宋体"/>
          <w:snapToGrid w:val="0"/>
          <w:color w:val="auto"/>
        </w:rPr>
        <w:t>建设单位应对环保设施与生产设备实行电控联动，即当环保设施发生故障或达不到预期效果时应立即停止生产，待废气装置正常运转后，再恢复生产。</w:t>
      </w:r>
    </w:p>
    <w:p>
      <w:pPr>
        <w:pStyle w:val="4"/>
        <w:numPr>
          <w:ilvl w:val="0"/>
          <w:numId w:val="32"/>
        </w:numPr>
        <w:spacing w:beforeLines="0"/>
        <w:rPr>
          <w:rFonts w:ascii="Times New Roman" w:hAnsi="Times New Roman"/>
          <w:color w:val="auto"/>
          <w:sz w:val="24"/>
          <w:szCs w:val="24"/>
        </w:rPr>
      </w:pPr>
      <w:bookmarkStart w:id="92" w:name="_Toc415517107"/>
      <w:bookmarkStart w:id="93" w:name="_Toc323721046"/>
      <w:bookmarkStart w:id="94" w:name="_Toc335135617"/>
      <w:r>
        <w:rPr>
          <w:rFonts w:ascii="Times New Roman" w:hAnsi="Times New Roman"/>
          <w:color w:val="auto"/>
          <w:sz w:val="24"/>
          <w:szCs w:val="24"/>
        </w:rPr>
        <w:t>突发环境事件应急预案</w:t>
      </w:r>
      <w:bookmarkEnd w:id="92"/>
    </w:p>
    <w:bookmarkEnd w:id="93"/>
    <w:bookmarkEnd w:id="94"/>
    <w:p>
      <w:pPr>
        <w:pStyle w:val="238"/>
        <w:adjustRightInd/>
        <w:snapToGrid/>
        <w:spacing w:line="360" w:lineRule="auto"/>
        <w:ind w:firstLine="480" w:firstLineChars="200"/>
        <w:jc w:val="both"/>
        <w:rPr>
          <w:rFonts w:eastAsia="宋体"/>
          <w:color w:val="auto"/>
        </w:rPr>
      </w:pPr>
      <w:r>
        <w:rPr>
          <w:rFonts w:eastAsia="宋体"/>
          <w:snapToGrid w:val="0"/>
          <w:color w:val="auto"/>
        </w:rPr>
        <w:t>根据</w:t>
      </w:r>
      <w:r>
        <w:rPr>
          <w:rFonts w:hint="eastAsia" w:eastAsia="宋体"/>
          <w:snapToGrid w:val="0"/>
          <w:color w:val="auto"/>
        </w:rPr>
        <w:t>《企业突发环境事件风险分级方法》 (HJ 941-2018)</w:t>
      </w:r>
      <w:r>
        <w:rPr>
          <w:rFonts w:eastAsia="宋体"/>
          <w:snapToGrid w:val="0"/>
          <w:color w:val="auto"/>
        </w:rPr>
        <w:t>、《浙江</w:t>
      </w:r>
      <w:r>
        <w:rPr>
          <w:rFonts w:eastAsia="宋体"/>
          <w:color w:val="auto"/>
        </w:rPr>
        <w:t>省突发环境事件应急预案编制导则》等相关文件规定，企业应另行编制突发环境事件应急预案，并报环保部门备案。</w:t>
      </w:r>
      <w:bookmarkStart w:id="95" w:name="_Toc415517108"/>
    </w:p>
    <w:p>
      <w:pPr>
        <w:pStyle w:val="4"/>
        <w:numPr>
          <w:ilvl w:val="0"/>
          <w:numId w:val="32"/>
        </w:numPr>
        <w:spacing w:beforeLines="0"/>
        <w:rPr>
          <w:rFonts w:ascii="Times New Roman" w:hAnsi="Times New Roman"/>
          <w:color w:val="auto"/>
          <w:sz w:val="24"/>
          <w:szCs w:val="24"/>
        </w:rPr>
      </w:pPr>
      <w:r>
        <w:rPr>
          <w:rFonts w:ascii="Times New Roman" w:hAnsi="Times New Roman"/>
          <w:color w:val="auto"/>
          <w:sz w:val="24"/>
          <w:szCs w:val="24"/>
        </w:rPr>
        <w:t>风险评价结论</w:t>
      </w:r>
      <w:bookmarkEnd w:id="95"/>
    </w:p>
    <w:p>
      <w:pPr>
        <w:pStyle w:val="238"/>
        <w:adjustRightInd/>
        <w:snapToGrid/>
        <w:spacing w:line="360" w:lineRule="auto"/>
        <w:ind w:firstLine="480" w:firstLineChars="200"/>
        <w:jc w:val="both"/>
        <w:rPr>
          <w:rFonts w:eastAsia="宋体"/>
          <w:color w:val="auto"/>
        </w:rPr>
      </w:pPr>
      <w:r>
        <w:rPr>
          <w:rFonts w:eastAsia="宋体"/>
          <w:color w:val="auto"/>
        </w:rPr>
        <w:t>经物质及生产设施危险性分析，本项目无重大风险源。本项目所用的原材料由供货厂家负责运送到厂，到厂后有专用储存区并有专人负责管理，在加强厂区防火管理、完善事故应急预案的基础上，事故发生概率很低，经过妥善的风险防范措施，本项目环境风险在可接受的范围内。企业应着手建立较完备的事故应急系统，按《浙江省企业事业单位突发环境事件应急预案备案管理实施办法（试行）》的函（浙环函(2015)195号）编制环境突发事故应急预案。</w:t>
      </w:r>
    </w:p>
    <w:p>
      <w:pPr>
        <w:pStyle w:val="238"/>
        <w:adjustRightInd/>
        <w:snapToGrid/>
        <w:ind w:firstLine="422" w:firstLineChars="200"/>
        <w:rPr>
          <w:rFonts w:eastAsia="宋体"/>
          <w:b/>
          <w:color w:val="auto"/>
          <w:sz w:val="21"/>
        </w:rPr>
      </w:pPr>
      <w:r>
        <w:rPr>
          <w:rFonts w:eastAsia="宋体"/>
          <w:b/>
          <w:color w:val="auto"/>
          <w:sz w:val="21"/>
        </w:rPr>
        <w:t>表</w:t>
      </w:r>
      <w:r>
        <w:rPr>
          <w:rFonts w:hint="eastAsia" w:eastAsia="宋体"/>
          <w:b/>
          <w:color w:val="auto"/>
          <w:sz w:val="21"/>
        </w:rPr>
        <w:t>5-40  建设项目环境风险简单分析内容表</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1701"/>
        <w:gridCol w:w="1842"/>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建设项目名称</w:t>
            </w:r>
          </w:p>
        </w:tc>
        <w:tc>
          <w:tcPr>
            <w:tcW w:w="5670" w:type="dxa"/>
            <w:gridSpan w:val="3"/>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eastAsia="宋体"/>
                <w:color w:val="auto"/>
                <w:sz w:val="21"/>
              </w:rPr>
              <w:t>温州旭财新材料有限公司年再生利用3.2万吨废塑料生产项目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建设地点</w:t>
            </w:r>
          </w:p>
        </w:tc>
        <w:tc>
          <w:tcPr>
            <w:tcW w:w="1701"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浙江省</w:t>
            </w:r>
          </w:p>
        </w:tc>
        <w:tc>
          <w:tcPr>
            <w:tcW w:w="1842"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温州市</w:t>
            </w:r>
          </w:p>
        </w:tc>
        <w:tc>
          <w:tcPr>
            <w:tcW w:w="2127"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龙港市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地理坐标</w:t>
            </w:r>
          </w:p>
        </w:tc>
        <w:tc>
          <w:tcPr>
            <w:tcW w:w="5670" w:type="dxa"/>
            <w:gridSpan w:val="3"/>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经度：</w:t>
            </w:r>
            <w:r>
              <w:rPr>
                <w:rFonts w:eastAsia="宋体"/>
                <w:color w:val="auto"/>
                <w:sz w:val="21"/>
              </w:rPr>
              <w:t>120.61922371</w:t>
            </w:r>
            <w:r>
              <w:rPr>
                <w:rFonts w:hint="eastAsia" w:eastAsia="宋体"/>
                <w:color w:val="auto"/>
                <w:sz w:val="21"/>
              </w:rPr>
              <w:t>，纬度：</w:t>
            </w:r>
            <w:r>
              <w:rPr>
                <w:rFonts w:eastAsia="宋体"/>
                <w:color w:val="auto"/>
                <w:sz w:val="21"/>
              </w:rPr>
              <w:t>27.50411153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主要危险物质及分布</w:t>
            </w:r>
          </w:p>
        </w:tc>
        <w:tc>
          <w:tcPr>
            <w:tcW w:w="5670" w:type="dxa"/>
            <w:gridSpan w:val="3"/>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8"/>
              <w:keepNext w:val="0"/>
              <w:keepLines w:val="0"/>
              <w:suppressLineNumbers w:val="0"/>
              <w:spacing w:before="0" w:beforeAutospacing="0" w:after="0" w:afterAutospacing="0"/>
              <w:ind w:left="0" w:right="0"/>
              <w:rPr>
                <w:rFonts w:eastAsia="宋体"/>
                <w:color w:val="auto"/>
                <w:sz w:val="21"/>
              </w:rPr>
            </w:pPr>
            <w:r>
              <w:rPr>
                <w:rFonts w:hint="eastAsia" w:eastAsia="宋体"/>
                <w:color w:val="auto"/>
                <w:sz w:val="21"/>
              </w:rPr>
              <w:t>环境影响途径及危害后果</w:t>
            </w:r>
          </w:p>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（大气、地表水、地下水等）</w:t>
            </w:r>
          </w:p>
        </w:tc>
        <w:tc>
          <w:tcPr>
            <w:tcW w:w="5670" w:type="dxa"/>
            <w:gridSpan w:val="3"/>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因管理、操作不当等原因，</w:t>
            </w:r>
            <w:r>
              <w:rPr>
                <w:rFonts w:eastAsia="宋体"/>
                <w:color w:val="auto"/>
                <w:sz w:val="21"/>
              </w:rPr>
              <w:t>生产车间、原材料仓库</w:t>
            </w:r>
            <w:r>
              <w:rPr>
                <w:rFonts w:hint="eastAsia" w:eastAsia="宋体"/>
                <w:color w:val="auto"/>
                <w:sz w:val="21"/>
              </w:rPr>
              <w:t>、危废仓库</w:t>
            </w:r>
            <w:r>
              <w:rPr>
                <w:rFonts w:eastAsia="宋体"/>
                <w:color w:val="auto"/>
                <w:sz w:val="21"/>
              </w:rPr>
              <w:t>和产品仓库</w:t>
            </w:r>
            <w:r>
              <w:rPr>
                <w:rFonts w:hint="eastAsia" w:eastAsia="宋体"/>
                <w:color w:val="auto"/>
                <w:sz w:val="21"/>
              </w:rPr>
              <w:t>引起火灾事故。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hint="eastAsia" w:eastAsia="宋体"/>
                <w:color w:val="auto"/>
                <w:sz w:val="21"/>
              </w:rPr>
              <w:t>风险防范措施要求</w:t>
            </w:r>
          </w:p>
        </w:tc>
        <w:tc>
          <w:tcPr>
            <w:tcW w:w="5670" w:type="dxa"/>
            <w:gridSpan w:val="3"/>
            <w:vAlign w:val="center"/>
          </w:tcPr>
          <w:p>
            <w:pPr>
              <w:pStyle w:val="238"/>
              <w:keepNext w:val="0"/>
              <w:keepLines w:val="0"/>
              <w:suppressLineNumbers w:val="0"/>
              <w:adjustRightInd/>
              <w:snapToGrid/>
              <w:spacing w:before="0" w:beforeAutospacing="0" w:after="0" w:afterAutospacing="0"/>
              <w:ind w:left="0" w:right="0"/>
              <w:rPr>
                <w:rFonts w:eastAsia="宋体"/>
                <w:color w:val="auto"/>
                <w:sz w:val="21"/>
              </w:rPr>
            </w:pPr>
            <w:r>
              <w:rPr>
                <w:rFonts w:eastAsia="宋体"/>
                <w:color w:val="auto"/>
                <w:sz w:val="21"/>
              </w:rPr>
              <w:t>强化管理</w:t>
            </w:r>
            <w:r>
              <w:rPr>
                <w:rFonts w:hint="eastAsia" w:eastAsia="宋体"/>
                <w:color w:val="auto"/>
                <w:sz w:val="21"/>
              </w:rPr>
              <w:t>；</w:t>
            </w:r>
            <w:r>
              <w:rPr>
                <w:rFonts w:eastAsia="宋体"/>
                <w:color w:val="auto"/>
                <w:sz w:val="21"/>
              </w:rPr>
              <w:t>设立事故应急池</w:t>
            </w:r>
            <w:r>
              <w:rPr>
                <w:rFonts w:hint="eastAsia" w:eastAsia="宋体"/>
                <w:color w:val="auto"/>
                <w:sz w:val="21"/>
              </w:rPr>
              <w:t>；</w:t>
            </w:r>
            <w:r>
              <w:rPr>
                <w:rFonts w:eastAsia="宋体"/>
                <w:color w:val="auto"/>
                <w:sz w:val="21"/>
              </w:rPr>
              <w:t>配备足量的泡沫、干粉等灭火器</w:t>
            </w:r>
            <w:r>
              <w:rPr>
                <w:rFonts w:hint="eastAsia" w:eastAsia="宋体"/>
                <w:color w:val="auto"/>
                <w:sz w:val="21"/>
              </w:rPr>
              <w:t>；专人负责检修管理等</w:t>
            </w:r>
            <w:r>
              <w:rPr>
                <w:rFonts w:eastAsia="宋体"/>
                <w:color w:val="auto"/>
                <w:sz w:val="21"/>
              </w:rPr>
              <w:t>。</w:t>
            </w:r>
          </w:p>
        </w:tc>
      </w:tr>
    </w:tbl>
    <w:p>
      <w:pPr>
        <w:pStyle w:val="4"/>
        <w:numPr>
          <w:ilvl w:val="0"/>
          <w:numId w:val="31"/>
        </w:numPr>
        <w:spacing w:beforeLines="0"/>
        <w:rPr>
          <w:rFonts w:ascii="Times New Roman" w:hAnsi="Times New Roman"/>
          <w:color w:val="auto"/>
          <w:sz w:val="24"/>
          <w:szCs w:val="24"/>
        </w:rPr>
      </w:pPr>
      <w:r>
        <w:rPr>
          <w:rFonts w:ascii="Times New Roman" w:hAnsi="Times New Roman"/>
          <w:color w:val="auto"/>
          <w:sz w:val="24"/>
          <w:szCs w:val="24"/>
        </w:rPr>
        <w:t>土壤环境影响分析</w:t>
      </w:r>
    </w:p>
    <w:p>
      <w:pPr>
        <w:widowControl/>
        <w:ind w:firstLine="480"/>
        <w:rPr>
          <w:rFonts w:ascii="Times New Roman" w:hAnsi="Times New Roman"/>
          <w:color w:val="auto"/>
          <w:szCs w:val="24"/>
        </w:rPr>
      </w:pPr>
      <w:r>
        <w:rPr>
          <w:rFonts w:ascii="Times New Roman" w:hAnsi="Times New Roman"/>
          <w:color w:val="auto"/>
          <w:szCs w:val="24"/>
        </w:rPr>
        <w:t xml:space="preserve">根据《环境影响评价技术导则 </w:t>
      </w:r>
      <w:r>
        <w:rPr>
          <w:rFonts w:hint="eastAsia" w:ascii="Times New Roman" w:hAnsi="Times New Roman"/>
          <w:color w:val="auto"/>
          <w:szCs w:val="24"/>
        </w:rPr>
        <w:t>土</w:t>
      </w:r>
      <w:r>
        <w:rPr>
          <w:rFonts w:ascii="Times New Roman" w:hAnsi="Times New Roman"/>
          <w:color w:val="auto"/>
          <w:szCs w:val="24"/>
        </w:rPr>
        <w:t>壤环境》（HJ964-2018），土壤环境评价工作等级的划分</w:t>
      </w:r>
      <w:r>
        <w:rPr>
          <w:rFonts w:hint="eastAsia" w:ascii="Times New Roman" w:hAnsi="Times New Roman"/>
          <w:color w:val="auto"/>
          <w:szCs w:val="24"/>
        </w:rPr>
        <w:t>根据土壤环境影响评价项目类别、占地规模与敏感程度</w:t>
      </w:r>
      <w:r>
        <w:rPr>
          <w:rFonts w:ascii="Times New Roman" w:hAnsi="Times New Roman"/>
          <w:color w:val="auto"/>
          <w:szCs w:val="24"/>
        </w:rPr>
        <w:t>。</w:t>
      </w:r>
    </w:p>
    <w:p>
      <w:pPr>
        <w:ind w:firstLine="496"/>
        <w:rPr>
          <w:rFonts w:ascii="Times New Roman" w:hAnsi="Times New Roman"/>
          <w:color w:val="auto"/>
          <w:spacing w:val="4"/>
          <w:szCs w:val="24"/>
        </w:rPr>
      </w:pPr>
      <w:r>
        <w:rPr>
          <w:rFonts w:ascii="Times New Roman" w:hAnsi="Times New Roman"/>
          <w:color w:val="auto"/>
          <w:spacing w:val="4"/>
          <w:szCs w:val="24"/>
        </w:rPr>
        <w:t>本项目</w:t>
      </w:r>
      <w:r>
        <w:rPr>
          <w:rFonts w:hint="eastAsia" w:ascii="Times New Roman" w:hAnsi="Times New Roman"/>
          <w:color w:val="auto"/>
          <w:spacing w:val="4"/>
          <w:szCs w:val="24"/>
        </w:rPr>
        <w:t>土壤</w:t>
      </w:r>
      <w:r>
        <w:rPr>
          <w:rFonts w:ascii="Times New Roman" w:hAnsi="Times New Roman"/>
          <w:color w:val="auto"/>
          <w:spacing w:val="4"/>
          <w:szCs w:val="24"/>
        </w:rPr>
        <w:t>环境影响评价工作等级划分依据见表</w:t>
      </w:r>
      <w:r>
        <w:rPr>
          <w:rFonts w:hint="eastAsia" w:ascii="Times New Roman" w:hAnsi="Times New Roman"/>
          <w:color w:val="auto"/>
          <w:spacing w:val="4"/>
          <w:szCs w:val="24"/>
        </w:rPr>
        <w:t>5</w:t>
      </w:r>
      <w:r>
        <w:rPr>
          <w:rFonts w:ascii="Times New Roman" w:hAnsi="Times New Roman"/>
          <w:color w:val="auto"/>
          <w:spacing w:val="4"/>
          <w:szCs w:val="24"/>
        </w:rPr>
        <w:t>-</w:t>
      </w:r>
      <w:r>
        <w:rPr>
          <w:rFonts w:hint="eastAsia" w:ascii="Times New Roman" w:hAnsi="Times New Roman"/>
          <w:color w:val="auto"/>
          <w:spacing w:val="4"/>
          <w:szCs w:val="24"/>
        </w:rPr>
        <w:t>41</w:t>
      </w:r>
      <w:r>
        <w:rPr>
          <w:rFonts w:ascii="Times New Roman" w:hAnsi="Times New Roman"/>
          <w:color w:val="auto"/>
          <w:spacing w:val="4"/>
          <w:szCs w:val="24"/>
        </w:rPr>
        <w:t>和表</w:t>
      </w:r>
      <w:r>
        <w:rPr>
          <w:rFonts w:hint="eastAsia" w:ascii="Times New Roman" w:hAnsi="Times New Roman"/>
          <w:color w:val="auto"/>
          <w:spacing w:val="4"/>
          <w:szCs w:val="24"/>
        </w:rPr>
        <w:t>5</w:t>
      </w:r>
      <w:r>
        <w:rPr>
          <w:rFonts w:ascii="Times New Roman" w:hAnsi="Times New Roman"/>
          <w:color w:val="auto"/>
          <w:spacing w:val="4"/>
          <w:szCs w:val="24"/>
        </w:rPr>
        <w:t>-</w:t>
      </w:r>
      <w:r>
        <w:rPr>
          <w:rFonts w:hint="eastAsia" w:ascii="Times New Roman" w:hAnsi="Times New Roman"/>
          <w:color w:val="auto"/>
          <w:spacing w:val="4"/>
          <w:szCs w:val="24"/>
        </w:rPr>
        <w:t>42</w:t>
      </w:r>
      <w:r>
        <w:rPr>
          <w:rFonts w:ascii="Times New Roman" w:hAnsi="Times New Roman"/>
          <w:color w:val="auto"/>
          <w:spacing w:val="4"/>
          <w:szCs w:val="24"/>
        </w:rPr>
        <w:t>。</w:t>
      </w:r>
    </w:p>
    <w:p>
      <w:pPr>
        <w:ind w:firstLine="496"/>
        <w:rPr>
          <w:rFonts w:ascii="Times New Roman" w:hAnsi="Times New Roman"/>
          <w:color w:val="auto"/>
          <w:spacing w:val="4"/>
          <w:szCs w:val="24"/>
        </w:rPr>
      </w:pPr>
    </w:p>
    <w:p>
      <w:pPr>
        <w:ind w:firstLine="496"/>
        <w:rPr>
          <w:rFonts w:ascii="Times New Roman" w:hAnsi="Times New Roman"/>
          <w:color w:val="auto"/>
          <w:spacing w:val="4"/>
          <w:szCs w:val="24"/>
        </w:rPr>
      </w:pPr>
    </w:p>
    <w:p>
      <w:pPr>
        <w:ind w:firstLine="496"/>
        <w:rPr>
          <w:rFonts w:ascii="Times New Roman" w:hAnsi="Times New Roman"/>
          <w:color w:val="auto"/>
          <w:spacing w:val="4"/>
          <w:szCs w:val="24"/>
        </w:rPr>
      </w:pPr>
    </w:p>
    <w:p>
      <w:pPr>
        <w:spacing w:line="240" w:lineRule="auto"/>
        <w:ind w:firstLine="0" w:firstLineChars="0"/>
        <w:jc w:val="center"/>
        <w:rPr>
          <w:rFonts w:ascii="Times New Roman" w:hAnsi="Times New Roman"/>
          <w:b/>
          <w:color w:val="auto"/>
          <w:sz w:val="21"/>
        </w:rPr>
      </w:pPr>
      <w:r>
        <w:rPr>
          <w:rFonts w:ascii="Times New Roman" w:hAnsi="Times New Roman"/>
          <w:b/>
          <w:color w:val="auto"/>
          <w:sz w:val="21"/>
        </w:rPr>
        <w:t>5-</w:t>
      </w:r>
      <w:r>
        <w:rPr>
          <w:rFonts w:hint="eastAsia" w:ascii="Times New Roman" w:hAnsi="Times New Roman"/>
          <w:b/>
          <w:color w:val="auto"/>
          <w:sz w:val="21"/>
        </w:rPr>
        <w:t>41</w:t>
      </w:r>
      <w:r>
        <w:rPr>
          <w:rFonts w:ascii="Times New Roman" w:hAnsi="Times New Roman"/>
          <w:b/>
          <w:color w:val="auto"/>
          <w:sz w:val="21"/>
        </w:rPr>
        <w:t xml:space="preserve"> 污染影响型敏感程度分级表</w:t>
      </w:r>
    </w:p>
    <w:p>
      <w:pPr>
        <w:ind w:firstLine="480"/>
        <w:rPr>
          <w:rFonts w:ascii="Times New Roman" w:hAnsi="Times New Roman"/>
          <w:color w:val="auto"/>
          <w:spacing w:val="4"/>
          <w:szCs w:val="24"/>
        </w:rPr>
      </w:pPr>
      <w:r>
        <w:rPr>
          <w:rFonts w:ascii="Times New Roman" w:hAnsi="Times New Roman"/>
          <w:color w:val="auto"/>
          <w:szCs w:val="24"/>
        </w:rPr>
        <w:drawing>
          <wp:inline distT="0" distB="0" distL="0" distR="0">
            <wp:extent cx="5267325" cy="971550"/>
            <wp:effectExtent l="1905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30" cstate="print"/>
                    <a:srcRect/>
                    <a:stretch>
                      <a:fillRect/>
                    </a:stretch>
                  </pic:blipFill>
                  <pic:spPr>
                    <a:xfrm>
                      <a:off x="0" y="0"/>
                      <a:ext cx="5267325" cy="971550"/>
                    </a:xfrm>
                    <a:prstGeom prst="rect">
                      <a:avLst/>
                    </a:prstGeom>
                    <a:noFill/>
                    <a:ln w="9525">
                      <a:noFill/>
                      <a:miter lim="800000"/>
                      <a:headEnd/>
                      <a:tailEnd/>
                    </a:ln>
                  </pic:spPr>
                </pic:pic>
              </a:graphicData>
            </a:graphic>
          </wp:inline>
        </w:drawing>
      </w:r>
    </w:p>
    <w:p>
      <w:pPr>
        <w:spacing w:line="240" w:lineRule="auto"/>
        <w:ind w:firstLine="0" w:firstLineChars="0"/>
        <w:jc w:val="center"/>
        <w:rPr>
          <w:rFonts w:ascii="Times New Roman" w:hAnsi="Times New Roman"/>
          <w:b/>
          <w:color w:val="auto"/>
          <w:sz w:val="21"/>
        </w:rPr>
      </w:pPr>
      <w:r>
        <w:rPr>
          <w:rFonts w:ascii="Times New Roman" w:hAnsi="Times New Roman"/>
          <w:b/>
          <w:color w:val="auto"/>
          <w:sz w:val="21"/>
        </w:rPr>
        <w:t>5-</w:t>
      </w:r>
      <w:r>
        <w:rPr>
          <w:rFonts w:hint="eastAsia" w:ascii="Times New Roman" w:hAnsi="Times New Roman"/>
          <w:b/>
          <w:color w:val="auto"/>
          <w:sz w:val="21"/>
        </w:rPr>
        <w:t xml:space="preserve">42 </w:t>
      </w:r>
      <w:r>
        <w:rPr>
          <w:rFonts w:ascii="Times New Roman" w:hAnsi="Times New Roman"/>
          <w:b/>
          <w:color w:val="auto"/>
          <w:sz w:val="21"/>
        </w:rPr>
        <w:t>污染影响型评价工作等级划分表</w:t>
      </w:r>
    </w:p>
    <w:p>
      <w:pPr>
        <w:ind w:firstLine="480"/>
        <w:rPr>
          <w:rFonts w:ascii="Times New Roman" w:hAnsi="Times New Roman"/>
          <w:color w:val="auto"/>
          <w:spacing w:val="4"/>
          <w:szCs w:val="24"/>
        </w:rPr>
      </w:pPr>
      <w:r>
        <w:rPr>
          <w:rFonts w:ascii="Times New Roman" w:hAnsi="Times New Roman"/>
          <w:color w:val="auto"/>
          <w:szCs w:val="24"/>
        </w:rPr>
        <w:drawing>
          <wp:inline distT="0" distB="0" distL="0" distR="0">
            <wp:extent cx="5276850" cy="1362075"/>
            <wp:effectExtent l="19050" t="0" r="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31" cstate="print"/>
                    <a:srcRect/>
                    <a:stretch>
                      <a:fillRect/>
                    </a:stretch>
                  </pic:blipFill>
                  <pic:spPr>
                    <a:xfrm>
                      <a:off x="0" y="0"/>
                      <a:ext cx="5276850" cy="1362075"/>
                    </a:xfrm>
                    <a:prstGeom prst="rect">
                      <a:avLst/>
                    </a:prstGeom>
                    <a:noFill/>
                    <a:ln w="9525">
                      <a:noFill/>
                      <a:miter lim="800000"/>
                      <a:headEnd/>
                      <a:tailEnd/>
                    </a:ln>
                  </pic:spPr>
                </pic:pic>
              </a:graphicData>
            </a:graphic>
          </wp:inline>
        </w:drawing>
      </w:r>
    </w:p>
    <w:p>
      <w:pPr>
        <w:ind w:firstLine="480"/>
        <w:rPr>
          <w:rFonts w:ascii="Times New Roman" w:hAnsi="Times New Roman"/>
          <w:color w:val="auto"/>
        </w:rPr>
      </w:pPr>
      <w:r>
        <w:rPr>
          <w:rFonts w:ascii="Times New Roman" w:hAnsi="Times New Roman"/>
          <w:color w:val="auto"/>
        </w:rPr>
        <w:t>根据《环境影响评价技术导则—土壤环境（试行）》（HJ610--2018)附录A（规范性附录）土壤环境影响评价项目类别，</w:t>
      </w:r>
      <w:r>
        <w:rPr>
          <w:rFonts w:hint="eastAsia" w:ascii="Times New Roman" w:hAnsi="Times New Roman"/>
          <w:color w:val="auto"/>
        </w:rPr>
        <w:t>本</w:t>
      </w:r>
      <w:r>
        <w:rPr>
          <w:rFonts w:ascii="Times New Roman" w:hAnsi="Times New Roman"/>
          <w:color w:val="auto"/>
        </w:rPr>
        <w:t>项目属于其中</w:t>
      </w:r>
      <w:r>
        <w:rPr>
          <w:rFonts w:hint="eastAsia" w:ascii="Times New Roman" w:hAnsi="Times New Roman"/>
          <w:color w:val="auto"/>
          <w:szCs w:val="24"/>
        </w:rPr>
        <w:t>“</w:t>
      </w:r>
      <w:r>
        <w:rPr>
          <w:rFonts w:hint="eastAsia" w:ascii="Times New Roman" w:hAnsi="Times New Roman"/>
          <w:color w:val="auto"/>
        </w:rPr>
        <w:t>环境和公共管理业”中的“废旧资源加工、再生利用”类</w:t>
      </w:r>
      <w:r>
        <w:rPr>
          <w:rFonts w:ascii="Times New Roman" w:hAnsi="Times New Roman"/>
          <w:color w:val="auto"/>
        </w:rPr>
        <w:t>，土壤环境影响评价类别为</w:t>
      </w:r>
      <w:r>
        <w:rPr>
          <w:rFonts w:hint="eastAsia" w:ascii="Times New Roman" w:hAnsi="Times New Roman"/>
          <w:color w:val="auto"/>
        </w:rPr>
        <w:t>II</w:t>
      </w:r>
      <w:r>
        <w:rPr>
          <w:rFonts w:ascii="Times New Roman" w:hAnsi="Times New Roman"/>
          <w:color w:val="auto"/>
        </w:rPr>
        <w:t>I类；根据《环境影响评价技术导则—土壤环境（试行）》（HJ610--2018)中污染影响型敏感程度分级表，</w:t>
      </w:r>
      <w:r>
        <w:rPr>
          <w:rFonts w:ascii="Times New Roman" w:hAnsi="Times New Roman"/>
          <w:color w:val="auto"/>
          <w:szCs w:val="24"/>
        </w:rPr>
        <w:t>本项目位于</w:t>
      </w:r>
      <w:r>
        <w:rPr>
          <w:rFonts w:ascii="Times New Roman" w:hAnsi="Times New Roman"/>
          <w:color w:val="auto"/>
        </w:rPr>
        <w:t>温州市龙港</w:t>
      </w:r>
      <w:r>
        <w:rPr>
          <w:rFonts w:hint="eastAsia" w:ascii="Times New Roman" w:hAnsi="Times New Roman"/>
          <w:color w:val="auto"/>
        </w:rPr>
        <w:t>临港产业基地启动区</w:t>
      </w:r>
      <w:r>
        <w:rPr>
          <w:rFonts w:ascii="Times New Roman" w:hAnsi="Times New Roman"/>
          <w:color w:val="auto"/>
        </w:rPr>
        <w:t>，属于工业区，</w:t>
      </w:r>
      <w:r>
        <w:rPr>
          <w:rFonts w:hint="eastAsia" w:ascii="Times New Roman" w:hAnsi="Times New Roman"/>
          <w:color w:val="auto"/>
        </w:rPr>
        <w:t>50m内无土壤环境保护目标，</w:t>
      </w:r>
      <w:r>
        <w:rPr>
          <w:rFonts w:ascii="Times New Roman" w:hAnsi="Times New Roman"/>
          <w:color w:val="auto"/>
          <w:szCs w:val="24"/>
        </w:rPr>
        <w:t>土壤环境敏感程度为</w:t>
      </w:r>
      <w:r>
        <w:rPr>
          <w:rFonts w:hint="eastAsia" w:ascii="Times New Roman" w:hAnsi="Times New Roman"/>
          <w:color w:val="auto"/>
          <w:szCs w:val="24"/>
        </w:rPr>
        <w:t>不</w:t>
      </w:r>
      <w:r>
        <w:rPr>
          <w:rFonts w:ascii="Times New Roman" w:hAnsi="Times New Roman"/>
          <w:color w:val="auto"/>
          <w:szCs w:val="24"/>
        </w:rPr>
        <w:t>敏感</w:t>
      </w:r>
      <w:r>
        <w:rPr>
          <w:rFonts w:ascii="Times New Roman" w:hAnsi="Times New Roman"/>
          <w:color w:val="auto"/>
        </w:rPr>
        <w:t>；</w:t>
      </w:r>
      <w:r>
        <w:rPr>
          <w:rFonts w:hint="eastAsia" w:ascii="Times New Roman" w:hAnsi="Times New Roman"/>
          <w:color w:val="auto"/>
        </w:rPr>
        <w:t>本</w:t>
      </w:r>
      <w:r>
        <w:rPr>
          <w:rFonts w:ascii="Times New Roman" w:hAnsi="Times New Roman"/>
          <w:color w:val="auto"/>
        </w:rPr>
        <w:t>项目占地面积约为</w:t>
      </w:r>
      <w:r>
        <w:rPr>
          <w:rFonts w:hint="eastAsia" w:ascii="Times New Roman" w:hAnsi="Times New Roman"/>
          <w:color w:val="auto"/>
        </w:rPr>
        <w:t>900</w:t>
      </w:r>
      <w:r>
        <w:rPr>
          <w:rFonts w:ascii="Times New Roman" w:hAnsi="Times New Roman"/>
          <w:color w:val="auto"/>
        </w:rPr>
        <w:t>m</w:t>
      </w:r>
      <w:r>
        <w:rPr>
          <w:rFonts w:ascii="Times New Roman" w:hAnsi="Times New Roman"/>
          <w:color w:val="auto"/>
          <w:vertAlign w:val="superscript"/>
        </w:rPr>
        <w:t>2</w:t>
      </w:r>
      <w:r>
        <w:rPr>
          <w:rFonts w:ascii="Times New Roman" w:hAnsi="Times New Roman"/>
          <w:color w:val="auto"/>
        </w:rPr>
        <w:t>≤5hm</w:t>
      </w:r>
      <w:r>
        <w:rPr>
          <w:rFonts w:ascii="Times New Roman" w:hAnsi="Times New Roman"/>
          <w:color w:val="auto"/>
          <w:vertAlign w:val="superscript"/>
        </w:rPr>
        <w:t>2</w:t>
      </w:r>
      <w:r>
        <w:rPr>
          <w:rFonts w:ascii="Times New Roman" w:hAnsi="Times New Roman"/>
          <w:color w:val="auto"/>
        </w:rPr>
        <w:t>，故建设项目占地规模为小型用地。结合上述条件，对照《环境影响评价技术导则—土壤环境（试行）》（HJ610--2018)中评价工作等级划分依据，本项目</w:t>
      </w:r>
      <w:r>
        <w:rPr>
          <w:rFonts w:hint="eastAsia" w:ascii="Times New Roman" w:hAnsi="Times New Roman"/>
          <w:color w:val="auto"/>
        </w:rPr>
        <w:t>可不开展土壤环境影响评价工作</w:t>
      </w:r>
      <w:r>
        <w:rPr>
          <w:rFonts w:ascii="Times New Roman" w:hAnsi="Times New Roman"/>
          <w:color w:val="auto"/>
        </w:rPr>
        <w:t>。</w:t>
      </w: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238"/>
        <w:adjustRightInd/>
        <w:snapToGrid/>
        <w:spacing w:line="360" w:lineRule="auto"/>
        <w:ind w:firstLine="480" w:firstLineChars="200"/>
        <w:jc w:val="both"/>
        <w:rPr>
          <w:rFonts w:eastAsia="宋体"/>
          <w:color w:val="auto"/>
        </w:rPr>
      </w:pPr>
    </w:p>
    <w:p>
      <w:pPr>
        <w:pStyle w:val="438"/>
        <w:spacing w:before="240" w:line="360" w:lineRule="auto"/>
        <w:ind w:left="0" w:firstLine="0"/>
        <w:rPr>
          <w:color w:val="auto"/>
          <w:kern w:val="44"/>
        </w:rPr>
      </w:pPr>
      <w:bookmarkStart w:id="96" w:name="_Toc37350071"/>
      <w:r>
        <w:rPr>
          <w:color w:val="auto"/>
          <w:kern w:val="44"/>
        </w:rPr>
        <w:t>环境保护措施及其可行性论证</w:t>
      </w:r>
      <w:bookmarkEnd w:id="96"/>
    </w:p>
    <w:p>
      <w:pPr>
        <w:pStyle w:val="592"/>
        <w:numPr>
          <w:ilvl w:val="0"/>
          <w:numId w:val="33"/>
        </w:numPr>
        <w:rPr>
          <w:color w:val="auto"/>
        </w:rPr>
      </w:pPr>
      <w:bookmarkStart w:id="97" w:name="_Toc37350072"/>
      <w:bookmarkStart w:id="98" w:name="_Toc196900463"/>
      <w:bookmarkStart w:id="99" w:name="_Toc48452391"/>
      <w:r>
        <w:rPr>
          <w:color w:val="auto"/>
        </w:rPr>
        <w:t>废气治理措施</w:t>
      </w:r>
      <w:bookmarkEnd w:id="97"/>
    </w:p>
    <w:p>
      <w:pPr>
        <w:pStyle w:val="4"/>
        <w:numPr>
          <w:ilvl w:val="0"/>
          <w:numId w:val="34"/>
        </w:numPr>
        <w:spacing w:beforeLines="0"/>
        <w:rPr>
          <w:rFonts w:ascii="Times New Roman" w:hAnsi="Times New Roman"/>
          <w:color w:val="auto"/>
          <w:sz w:val="24"/>
          <w:szCs w:val="24"/>
        </w:rPr>
      </w:pPr>
      <w:r>
        <w:rPr>
          <w:rFonts w:ascii="Times New Roman" w:hAnsi="Times New Roman"/>
          <w:color w:val="auto"/>
          <w:sz w:val="24"/>
          <w:szCs w:val="24"/>
        </w:rPr>
        <w:t>本项目拟采取的废气治理措施</w:t>
      </w:r>
    </w:p>
    <w:p>
      <w:pPr>
        <w:ind w:firstLine="480"/>
        <w:rPr>
          <w:rFonts w:ascii="Times New Roman" w:hAnsi="Times New Roman"/>
          <w:color w:val="auto"/>
          <w:spacing w:val="-4"/>
        </w:rPr>
      </w:pPr>
      <w:r>
        <w:rPr>
          <w:rFonts w:ascii="Times New Roman" w:hAnsi="Times New Roman"/>
          <w:color w:val="auto"/>
          <w:szCs w:val="24"/>
        </w:rPr>
        <w:t>（1）</w:t>
      </w:r>
      <w:r>
        <w:rPr>
          <w:rFonts w:ascii="Times New Roman" w:hAnsi="Times New Roman"/>
          <w:color w:val="auto"/>
          <w:spacing w:val="-4"/>
        </w:rPr>
        <w:t>本项目</w:t>
      </w:r>
      <w:r>
        <w:rPr>
          <w:rFonts w:hint="eastAsia" w:ascii="Times New Roman" w:hAnsi="Times New Roman"/>
          <w:color w:val="auto"/>
          <w:spacing w:val="-4"/>
        </w:rPr>
        <w:t>造粒车间</w:t>
      </w:r>
      <w:r>
        <w:rPr>
          <w:rFonts w:ascii="Times New Roman" w:hAnsi="Times New Roman"/>
          <w:color w:val="auto"/>
          <w:spacing w:val="-4"/>
        </w:rPr>
        <w:t>各挤出机机头上方设置集气罩，业主单位应委托有资质的单位设计并安装集气罩，收集效率不低于</w:t>
      </w:r>
      <w:r>
        <w:rPr>
          <w:rFonts w:hint="eastAsia" w:ascii="Times New Roman" w:hAnsi="Times New Roman"/>
          <w:color w:val="auto"/>
          <w:spacing w:val="-4"/>
        </w:rPr>
        <w:t>90</w:t>
      </w:r>
      <w:r>
        <w:rPr>
          <w:rFonts w:ascii="Times New Roman" w:hAnsi="Times New Roman"/>
          <w:color w:val="auto"/>
          <w:spacing w:val="-4"/>
        </w:rPr>
        <w:t>%。废气收集后经</w:t>
      </w:r>
      <w:r>
        <w:rPr>
          <w:rFonts w:ascii="Times New Roman" w:hAnsi="Times New Roman"/>
          <w:color w:val="auto"/>
        </w:rPr>
        <w:t>喷射塔+</w:t>
      </w:r>
      <w:r>
        <w:rPr>
          <w:rFonts w:hint="eastAsia" w:ascii="Times New Roman" w:hAnsi="Times New Roman"/>
          <w:color w:val="auto"/>
        </w:rPr>
        <w:t>油烟净化器+</w:t>
      </w:r>
      <w:r>
        <w:rPr>
          <w:rFonts w:ascii="Times New Roman" w:hAnsi="Times New Roman"/>
          <w:color w:val="auto"/>
        </w:rPr>
        <w:t>UV光氧+活性炭装置</w:t>
      </w:r>
      <w:r>
        <w:rPr>
          <w:rFonts w:hint="eastAsia" w:ascii="Times New Roman" w:hAnsi="Times New Roman"/>
          <w:color w:val="auto"/>
          <w:spacing w:val="-4"/>
        </w:rPr>
        <w:t>净化后通过20m高的排气筒高空排放。</w:t>
      </w:r>
    </w:p>
    <w:p>
      <w:pPr>
        <w:ind w:firstLine="464"/>
        <w:rPr>
          <w:rFonts w:ascii="Times New Roman" w:hAnsi="Times New Roman"/>
          <w:color w:val="auto"/>
          <w:spacing w:val="-4"/>
        </w:rPr>
      </w:pPr>
      <w:r>
        <w:rPr>
          <w:rFonts w:hint="eastAsia" w:ascii="Times New Roman" w:hAnsi="Times New Roman"/>
          <w:color w:val="auto"/>
          <w:spacing w:val="-4"/>
        </w:rPr>
        <w:t>（2）破碎</w:t>
      </w:r>
      <w:r>
        <w:rPr>
          <w:rFonts w:ascii="Times New Roman" w:hAnsi="Times New Roman"/>
          <w:color w:val="auto"/>
        </w:rPr>
        <w:t>粉尘收集经布袋除尘处理后</w:t>
      </w:r>
      <w:r>
        <w:rPr>
          <w:rFonts w:hint="eastAsia" w:ascii="Times New Roman" w:hAnsi="Times New Roman"/>
          <w:color w:val="auto"/>
        </w:rPr>
        <w:t>高空排放（</w:t>
      </w:r>
      <w:r>
        <w:rPr>
          <w:rFonts w:ascii="Times New Roman" w:hAnsi="Times New Roman"/>
          <w:color w:val="auto"/>
        </w:rPr>
        <w:t>2</w:t>
      </w:r>
      <w:r>
        <w:rPr>
          <w:rFonts w:hint="eastAsia" w:ascii="Times New Roman" w:hAnsi="Times New Roman"/>
          <w:color w:val="auto"/>
        </w:rPr>
        <w:t>0</w:t>
      </w:r>
      <w:r>
        <w:rPr>
          <w:rFonts w:ascii="Times New Roman" w:hAnsi="Times New Roman"/>
          <w:color w:val="auto"/>
        </w:rPr>
        <w:t>m），废气收集率不小于 85%，除尘效率不低于 9</w:t>
      </w:r>
      <w:r>
        <w:rPr>
          <w:rFonts w:hint="eastAsia" w:ascii="Times New Roman" w:hAnsi="Times New Roman"/>
          <w:color w:val="auto"/>
        </w:rPr>
        <w:t>9</w:t>
      </w:r>
      <w:r>
        <w:rPr>
          <w:rFonts w:ascii="Times New Roman" w:hAnsi="Times New Roman"/>
          <w:color w:val="auto"/>
        </w:rPr>
        <w:t>%。</w:t>
      </w:r>
    </w:p>
    <w:bookmarkEnd w:id="98"/>
    <w:bookmarkEnd w:id="99"/>
    <w:p>
      <w:pPr>
        <w:ind w:firstLine="480"/>
        <w:rPr>
          <w:rFonts w:ascii="Times New Roman" w:hAnsi="Times New Roman"/>
          <w:color w:val="auto"/>
        </w:rPr>
      </w:pPr>
      <w:r>
        <w:rPr>
          <w:rFonts w:ascii="Times New Roman" w:hAnsi="Times New Roman"/>
          <w:color w:val="auto"/>
          <w:szCs w:val="24"/>
        </w:rPr>
        <w:t>（</w:t>
      </w:r>
      <w:r>
        <w:rPr>
          <w:rFonts w:hint="eastAsia" w:ascii="Times New Roman" w:hAnsi="Times New Roman"/>
          <w:color w:val="auto"/>
          <w:szCs w:val="24"/>
        </w:rPr>
        <w:t>3</w:t>
      </w:r>
      <w:r>
        <w:rPr>
          <w:rFonts w:ascii="Times New Roman" w:hAnsi="Times New Roman"/>
          <w:color w:val="auto"/>
          <w:szCs w:val="24"/>
        </w:rPr>
        <w:t>）</w:t>
      </w:r>
      <w:r>
        <w:rPr>
          <w:rFonts w:ascii="Times New Roman" w:hAnsi="Times New Roman"/>
          <w:bCs/>
          <w:color w:val="auto"/>
        </w:rPr>
        <w:t>生产车间</w:t>
      </w:r>
      <w:r>
        <w:rPr>
          <w:rFonts w:ascii="Times New Roman" w:hAnsi="Times New Roman"/>
          <w:color w:val="auto"/>
        </w:rPr>
        <w:t>应</w:t>
      </w:r>
      <w:r>
        <w:rPr>
          <w:rFonts w:ascii="Times New Roman" w:hAnsi="Times New Roman"/>
          <w:bCs/>
          <w:color w:val="auto"/>
        </w:rPr>
        <w:t>加强通风，全面通风换气量应按《工业企业设计卫生标准》（GBZ1-2010）规定确定风量，并建议以排风为主（下送上排）确定进风口和排风口位置</w:t>
      </w:r>
      <w:r>
        <w:rPr>
          <w:rFonts w:ascii="Times New Roman" w:hAnsi="Times New Roman"/>
          <w:color w:val="auto"/>
        </w:rPr>
        <w:t>。</w:t>
      </w:r>
    </w:p>
    <w:p>
      <w:pPr>
        <w:ind w:firstLine="480"/>
        <w:rPr>
          <w:rFonts w:ascii="Times New Roman" w:hAnsi="Times New Roman"/>
          <w:color w:val="auto"/>
        </w:rPr>
      </w:pPr>
      <w:r>
        <w:rPr>
          <w:rFonts w:hint="eastAsia" w:ascii="Times New Roman" w:hAnsi="Times New Roman"/>
          <w:color w:val="auto"/>
        </w:rPr>
        <w:t>（4）加强管理，作业时车间密闭，定期检查废气收集及处理设备，产生的废气收集排放至废气收集处理系统，减少无组织排放。</w:t>
      </w:r>
    </w:p>
    <w:p>
      <w:pPr>
        <w:pStyle w:val="4"/>
        <w:numPr>
          <w:ilvl w:val="0"/>
          <w:numId w:val="34"/>
        </w:numPr>
        <w:spacing w:beforeLines="0"/>
        <w:rPr>
          <w:rFonts w:ascii="Times New Roman" w:hAnsi="Times New Roman"/>
          <w:color w:val="auto"/>
          <w:sz w:val="24"/>
          <w:szCs w:val="24"/>
        </w:rPr>
      </w:pPr>
      <w:r>
        <w:rPr>
          <w:rFonts w:ascii="Times New Roman" w:hAnsi="Times New Roman"/>
          <w:color w:val="auto"/>
          <w:sz w:val="24"/>
          <w:szCs w:val="24"/>
        </w:rPr>
        <w:t>经济、技术可行性分析</w:t>
      </w:r>
    </w:p>
    <w:p>
      <w:pPr>
        <w:ind w:firstLine="480"/>
        <w:rPr>
          <w:rFonts w:ascii="Times New Roman" w:hAnsi="Times New Roman"/>
          <w:color w:val="auto"/>
        </w:rPr>
      </w:pPr>
      <w:r>
        <w:rPr>
          <w:rFonts w:ascii="Times New Roman" w:hAnsi="Times New Roman"/>
          <w:color w:val="auto"/>
          <w:szCs w:val="28"/>
        </w:rPr>
        <w:t>按照《浙江省挥发性有机物污染整治方案》等相关要求，对于低浓度VOCs废气，有回收价值时宜采用吸附技术回收处理，无回收价值时优先采用吸附浓缩－燃烧技术处理，也可采用活性炭体技术或生物处理技术等净化处理后达标排放。</w:t>
      </w:r>
      <w:r>
        <w:rPr>
          <w:rFonts w:ascii="Times New Roman" w:hAnsi="Times New Roman"/>
          <w:color w:val="auto"/>
        </w:rPr>
        <w:t>本项目的有机废气主要为非甲烷总烃，对于此类废气，根据其排风量、温度、浓度及本身化学物理性质，处理方法一般有液体吸收法、活性炭吸附法、催化燃烧、焚烧法、蓄热焚烧法、UV光解法等方法。</w:t>
      </w:r>
    </w:p>
    <w:p>
      <w:pPr>
        <w:ind w:firstLine="480"/>
        <w:rPr>
          <w:rFonts w:ascii="Times New Roman" w:hAnsi="Times New Roman"/>
          <w:color w:val="auto"/>
        </w:rPr>
      </w:pPr>
      <w:r>
        <w:rPr>
          <w:rFonts w:ascii="Times New Roman" w:hAnsi="Times New Roman"/>
          <w:color w:val="auto"/>
        </w:rPr>
        <w:t>（1）液体吸收法</w:t>
      </w:r>
    </w:p>
    <w:p>
      <w:pPr>
        <w:ind w:firstLine="480"/>
        <w:rPr>
          <w:rFonts w:ascii="Times New Roman" w:hAnsi="Times New Roman"/>
          <w:color w:val="auto"/>
        </w:rPr>
      </w:pPr>
      <w:r>
        <w:rPr>
          <w:rFonts w:ascii="Times New Roman" w:hAnsi="Times New Roman"/>
          <w:color w:val="auto"/>
        </w:rPr>
        <w:t>吸收法是以液体为吸收剂，通过洗涤吸收装置使废气中的有害成分被液体吸收，从而达到净化废气的目的。吸收法工艺较简单，但存在污水处理的问题，易形成二次污染。</w:t>
      </w:r>
    </w:p>
    <w:p>
      <w:pPr>
        <w:ind w:firstLine="480"/>
        <w:rPr>
          <w:rFonts w:ascii="Times New Roman" w:hAnsi="Times New Roman"/>
          <w:color w:val="auto"/>
        </w:rPr>
      </w:pPr>
      <w:r>
        <w:rPr>
          <w:rFonts w:ascii="Times New Roman" w:hAnsi="Times New Roman"/>
          <w:color w:val="auto"/>
        </w:rPr>
        <w:t>（2）活性炭吸附法</w:t>
      </w:r>
    </w:p>
    <w:p>
      <w:pPr>
        <w:ind w:firstLine="480"/>
        <w:rPr>
          <w:rFonts w:ascii="Times New Roman" w:hAnsi="Times New Roman"/>
          <w:color w:val="auto"/>
        </w:rPr>
      </w:pPr>
      <w:r>
        <w:rPr>
          <w:rFonts w:ascii="Times New Roman" w:hAnsi="Times New Roman"/>
          <w:color w:val="auto"/>
        </w:rPr>
        <w:t>活性炭吸附法是利用活性炭内部的微孔，将废气中的一种或几种组分浓集在固体表面，从而与其它组分分开。对于挥发性有机组份的处理活性炭吸附是一种经济有效的工艺，它有高的吸附效率，大的适应范围。操作时间长了之后活性炭吸附剂会逐渐饱和，需要进行再生或进行更换。</w:t>
      </w:r>
    </w:p>
    <w:p>
      <w:pPr>
        <w:ind w:firstLine="480"/>
        <w:rPr>
          <w:rFonts w:ascii="Times New Roman" w:hAnsi="Times New Roman"/>
          <w:color w:val="auto"/>
        </w:rPr>
      </w:pPr>
      <w:r>
        <w:rPr>
          <w:rFonts w:ascii="Times New Roman" w:hAnsi="Times New Roman"/>
          <w:color w:val="auto"/>
        </w:rPr>
        <w:t>（3）催化燃烧法</w:t>
      </w:r>
    </w:p>
    <w:p>
      <w:pPr>
        <w:ind w:firstLine="480"/>
        <w:rPr>
          <w:rFonts w:ascii="Times New Roman" w:hAnsi="Times New Roman"/>
          <w:color w:val="auto"/>
        </w:rPr>
      </w:pPr>
      <w:r>
        <w:rPr>
          <w:rFonts w:ascii="Times New Roman" w:hAnsi="Times New Roman"/>
          <w:color w:val="auto"/>
        </w:rPr>
        <w:t>催化燃烧是典型的气-固相催化反应，其实质是活性氧参与的深度氧化作用。在催化燃烧过程中，催化剂的作用是降低活化能，同时催化剂表面具有吸附作用，使反应物分子富集于表面提高了反应速率，加快了反应的进行。借助催化剂可使有机废气在较低的起燃温度条件下，发生无焰燃烧，并氧化分解为CO</w:t>
      </w:r>
      <w:r>
        <w:rPr>
          <w:rFonts w:ascii="Times New Roman" w:hAnsi="Times New Roman"/>
          <w:color w:val="auto"/>
          <w:vertAlign w:val="subscript"/>
        </w:rPr>
        <w:t>2</w:t>
      </w:r>
      <w:r>
        <w:rPr>
          <w:rFonts w:ascii="Times New Roman" w:hAnsi="Times New Roman"/>
          <w:color w:val="auto"/>
        </w:rPr>
        <w:t>和H</w:t>
      </w:r>
      <w:r>
        <w:rPr>
          <w:rFonts w:ascii="Times New Roman" w:hAnsi="Times New Roman"/>
          <w:color w:val="auto"/>
          <w:vertAlign w:val="subscript"/>
        </w:rPr>
        <w:t>2</w:t>
      </w:r>
      <w:r>
        <w:rPr>
          <w:rFonts w:ascii="Times New Roman" w:hAnsi="Times New Roman"/>
          <w:color w:val="auto"/>
        </w:rPr>
        <w:t>O，同时放出大量热能。该工艺具有处理效率高，无二次污染。但该工艺投资较大，对有机废气的有机物的浓度有一定的要求及经营管理与操作水平要求较高等缺点。因此在选用中受到了相应的限制。</w:t>
      </w:r>
    </w:p>
    <w:p>
      <w:pPr>
        <w:ind w:firstLine="480"/>
        <w:rPr>
          <w:rFonts w:ascii="Times New Roman" w:hAnsi="Times New Roman"/>
          <w:color w:val="auto"/>
        </w:rPr>
      </w:pPr>
      <w:r>
        <w:rPr>
          <w:rFonts w:ascii="Times New Roman" w:hAnsi="Times New Roman"/>
          <w:color w:val="auto"/>
        </w:rPr>
        <w:t>（4）焚烧及蓄热焚烧法</w:t>
      </w:r>
    </w:p>
    <w:p>
      <w:pPr>
        <w:ind w:firstLine="480"/>
        <w:rPr>
          <w:rFonts w:ascii="Times New Roman" w:hAnsi="Times New Roman"/>
          <w:color w:val="auto"/>
        </w:rPr>
      </w:pPr>
      <w:r>
        <w:rPr>
          <w:rFonts w:ascii="Times New Roman" w:hAnsi="Times New Roman"/>
          <w:color w:val="auto"/>
        </w:rPr>
        <w:t>焚烧法和蓄热焚烧法主要是利用高温下所有有机气体都可以燃烧转化为二氧化碳和水的原理，对有机废气进行高温燃烧分解成无毒害的H2O、CO</w:t>
      </w:r>
      <w:r>
        <w:rPr>
          <w:rFonts w:ascii="Times New Roman" w:hAnsi="Times New Roman"/>
          <w:color w:val="auto"/>
          <w:vertAlign w:val="subscript"/>
        </w:rPr>
        <w:t>2</w:t>
      </w:r>
      <w:r>
        <w:rPr>
          <w:rFonts w:ascii="Times New Roman" w:hAnsi="Times New Roman"/>
          <w:color w:val="auto"/>
        </w:rPr>
        <w:t>等。</w:t>
      </w:r>
    </w:p>
    <w:p>
      <w:pPr>
        <w:ind w:firstLine="480"/>
        <w:rPr>
          <w:rFonts w:ascii="Times New Roman" w:hAnsi="Times New Roman"/>
          <w:color w:val="auto"/>
        </w:rPr>
      </w:pPr>
      <w:r>
        <w:rPr>
          <w:rFonts w:ascii="Times New Roman" w:hAnsi="Times New Roman"/>
          <w:color w:val="auto"/>
        </w:rPr>
        <w:t>（5）冷凝法</w:t>
      </w:r>
    </w:p>
    <w:p>
      <w:pPr>
        <w:ind w:firstLine="480"/>
        <w:rPr>
          <w:rFonts w:ascii="Times New Roman" w:hAnsi="Times New Roman"/>
          <w:color w:val="auto"/>
        </w:rPr>
      </w:pPr>
      <w:r>
        <w:rPr>
          <w:rFonts w:ascii="Times New Roman" w:hAnsi="Times New Roman"/>
          <w:color w:val="auto"/>
        </w:rPr>
        <w:t>冷凝主要是利用废气中的有机物的不同冷凝成分来将有机物分离出来。</w:t>
      </w:r>
    </w:p>
    <w:p>
      <w:pPr>
        <w:ind w:firstLine="480"/>
        <w:rPr>
          <w:rFonts w:ascii="Times New Roman" w:hAnsi="Times New Roman"/>
          <w:color w:val="auto"/>
        </w:rPr>
      </w:pPr>
      <w:r>
        <w:rPr>
          <w:rFonts w:ascii="Times New Roman" w:hAnsi="Times New Roman"/>
          <w:color w:val="auto"/>
        </w:rPr>
        <w:t>（6）UV光解法</w:t>
      </w:r>
    </w:p>
    <w:p>
      <w:pPr>
        <w:ind w:firstLine="480"/>
        <w:rPr>
          <w:rFonts w:ascii="Times New Roman" w:hAnsi="Times New Roman"/>
          <w:bCs/>
          <w:color w:val="auto"/>
        </w:rPr>
      </w:pPr>
      <w:r>
        <w:rPr>
          <w:rFonts w:ascii="Times New Roman" w:hAnsi="Times New Roman"/>
          <w:color w:val="auto"/>
        </w:rPr>
        <w:t>UV光解法即采用</w:t>
      </w:r>
      <w:r>
        <w:rPr>
          <w:rFonts w:ascii="Times New Roman" w:hAnsi="Times New Roman"/>
          <w:bCs/>
          <w:color w:val="auto"/>
        </w:rPr>
        <w:t>催化氧化法处理工艺，一般催化剂采用半导体，如二氧化钛催化剂等。紫外UV-B光通过照射二氧化钛产生光离子来处理废气，当紫外光照射到纳米光催化剂（通常采用锐钛矿结构纳米级的二氧化钛）上，吸收的光谱与光源基本相对应，纳米光催化剂被激活，造成电子跃迁，形成电子-空穴对。而空穴对有极强的活性，使吸附在催化剂表面的H</w:t>
      </w:r>
      <w:r>
        <w:rPr>
          <w:rFonts w:ascii="Times New Roman" w:hAnsi="Times New Roman"/>
          <w:bCs/>
          <w:color w:val="auto"/>
          <w:vertAlign w:val="subscript"/>
        </w:rPr>
        <w:t>2</w:t>
      </w:r>
      <w:r>
        <w:rPr>
          <w:rFonts w:ascii="Times New Roman" w:hAnsi="Times New Roman"/>
          <w:bCs/>
          <w:color w:val="auto"/>
        </w:rPr>
        <w:t>O分子作用，结合生成氢氧自由基OH，而电子则使O</w:t>
      </w:r>
      <w:r>
        <w:rPr>
          <w:rFonts w:ascii="Times New Roman" w:hAnsi="Times New Roman"/>
          <w:bCs/>
          <w:color w:val="auto"/>
          <w:vertAlign w:val="subscript"/>
        </w:rPr>
        <w:t>2</w:t>
      </w:r>
      <w:r>
        <w:rPr>
          <w:rFonts w:ascii="Times New Roman" w:hAnsi="Times New Roman"/>
          <w:bCs/>
          <w:color w:val="auto"/>
        </w:rPr>
        <w:t>分子还原成活性氧离子，从而具备极强的氧化-还原反应。将在催化剂表面气体中的各种污染物摧毁，分解成无害的物质。</w:t>
      </w:r>
    </w:p>
    <w:p>
      <w:pPr>
        <w:ind w:firstLine="480"/>
        <w:rPr>
          <w:rFonts w:ascii="Times New Roman" w:hAnsi="Times New Roman"/>
          <w:bCs/>
          <w:color w:val="auto"/>
        </w:rPr>
      </w:pPr>
      <w:r>
        <w:rPr>
          <w:rFonts w:ascii="Times New Roman" w:hAnsi="Times New Roman"/>
          <w:bCs/>
          <w:color w:val="auto"/>
        </w:rPr>
        <w:t>（7）活性炭法</w:t>
      </w:r>
    </w:p>
    <w:p>
      <w:pPr>
        <w:ind w:firstLine="480"/>
        <w:rPr>
          <w:rFonts w:ascii="Times New Roman" w:hAnsi="Times New Roman"/>
          <w:bCs/>
          <w:color w:val="auto"/>
        </w:rPr>
      </w:pPr>
      <w:r>
        <w:rPr>
          <w:rFonts w:ascii="Times New Roman" w:hAnsi="Times New Roman"/>
          <w:bCs/>
          <w:color w:val="auto"/>
        </w:rPr>
        <w:t>介质阻挡放电过程中，等离子体内部产生富含极高化学活性的粒子，如电子、离子、自由基和激发态分子等。废气中的污染物质与这些具有较高能量的活性基团发生反应，最终转化为CO</w:t>
      </w:r>
      <w:r>
        <w:rPr>
          <w:rFonts w:ascii="Times New Roman" w:hAnsi="Times New Roman"/>
          <w:bCs/>
          <w:color w:val="auto"/>
          <w:vertAlign w:val="subscript"/>
        </w:rPr>
        <w:t>2</w:t>
      </w:r>
      <w:r>
        <w:rPr>
          <w:rFonts w:ascii="Times New Roman" w:hAnsi="Times New Roman"/>
          <w:bCs/>
          <w:color w:val="auto"/>
        </w:rPr>
        <w:t>和H</w:t>
      </w:r>
      <w:r>
        <w:rPr>
          <w:rFonts w:ascii="Times New Roman" w:hAnsi="Times New Roman"/>
          <w:bCs/>
          <w:color w:val="auto"/>
          <w:vertAlign w:val="subscript"/>
        </w:rPr>
        <w:t>2</w:t>
      </w:r>
      <w:r>
        <w:rPr>
          <w:rFonts w:ascii="Times New Roman" w:hAnsi="Times New Roman"/>
          <w:bCs/>
          <w:color w:val="auto"/>
        </w:rPr>
        <w:t>O等物质，从而达到净化废气的目的。</w:t>
      </w:r>
    </w:p>
    <w:p>
      <w:pPr>
        <w:pStyle w:val="42"/>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有机废气处理主要方法比较见下表6-1。</w:t>
      </w:r>
    </w:p>
    <w:p>
      <w:pPr>
        <w:pStyle w:val="42"/>
        <w:spacing w:line="360" w:lineRule="auto"/>
        <w:ind w:firstLine="480" w:firstLineChars="200"/>
        <w:rPr>
          <w:rFonts w:ascii="Times New Roman" w:hAnsi="Times New Roman" w:cs="Times New Roman"/>
          <w:color w:val="auto"/>
          <w:sz w:val="24"/>
        </w:rPr>
      </w:pPr>
    </w:p>
    <w:p>
      <w:pPr>
        <w:pStyle w:val="42"/>
        <w:spacing w:line="360" w:lineRule="auto"/>
        <w:ind w:firstLine="480" w:firstLineChars="200"/>
        <w:rPr>
          <w:rFonts w:ascii="Times New Roman" w:hAnsi="Times New Roman" w:cs="Times New Roman"/>
          <w:color w:val="auto"/>
          <w:sz w:val="24"/>
        </w:rPr>
      </w:pPr>
    </w:p>
    <w:p>
      <w:pPr>
        <w:pStyle w:val="42"/>
        <w:spacing w:line="360" w:lineRule="auto"/>
        <w:ind w:firstLine="480" w:firstLineChars="200"/>
        <w:rPr>
          <w:rFonts w:ascii="Times New Roman" w:hAnsi="Times New Roman" w:cs="Times New Roman"/>
          <w:color w:val="auto"/>
          <w:sz w:val="24"/>
        </w:rPr>
      </w:pPr>
    </w:p>
    <w:p>
      <w:pPr>
        <w:pStyle w:val="42"/>
        <w:spacing w:line="360" w:lineRule="auto"/>
        <w:ind w:firstLine="480" w:firstLineChars="200"/>
        <w:rPr>
          <w:rFonts w:ascii="Times New Roman" w:hAnsi="Times New Roman" w:cs="Times New Roman"/>
          <w:color w:val="auto"/>
          <w:sz w:val="24"/>
        </w:rPr>
      </w:pPr>
    </w:p>
    <w:p>
      <w:pPr>
        <w:numPr>
          <w:ilvl w:val="0"/>
          <w:numId w:val="35"/>
        </w:numPr>
        <w:spacing w:line="240" w:lineRule="auto"/>
        <w:ind w:firstLineChars="0"/>
        <w:jc w:val="center"/>
        <w:rPr>
          <w:rFonts w:ascii="Times New Roman" w:hAnsi="Times New Roman"/>
          <w:b/>
          <w:color w:val="auto"/>
          <w:sz w:val="21"/>
        </w:rPr>
      </w:pPr>
      <w:r>
        <w:rPr>
          <w:rFonts w:ascii="Times New Roman" w:hAnsi="Times New Roman"/>
          <w:b/>
          <w:color w:val="auto"/>
          <w:sz w:val="21"/>
        </w:rPr>
        <w:t>废气处理技术比较</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649"/>
        <w:gridCol w:w="1784"/>
        <w:gridCol w:w="1636"/>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52"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处理技术</w:t>
            </w:r>
          </w:p>
        </w:tc>
        <w:tc>
          <w:tcPr>
            <w:tcW w:w="2649"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原理</w:t>
            </w:r>
          </w:p>
        </w:tc>
        <w:tc>
          <w:tcPr>
            <w:tcW w:w="1784"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适用范围</w:t>
            </w:r>
          </w:p>
        </w:tc>
        <w:tc>
          <w:tcPr>
            <w:tcW w:w="163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优点</w:t>
            </w:r>
          </w:p>
        </w:tc>
        <w:tc>
          <w:tcPr>
            <w:tcW w:w="179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52"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bCs/>
                <w:color w:val="auto"/>
                <w:kern w:val="0"/>
              </w:rPr>
              <w:t>燃烧法</w:t>
            </w:r>
          </w:p>
        </w:tc>
        <w:tc>
          <w:tcPr>
            <w:tcW w:w="2649"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在高温下恶臭物质与燃料气充分混和，实现完全燃烧</w:t>
            </w:r>
          </w:p>
        </w:tc>
        <w:tc>
          <w:tcPr>
            <w:tcW w:w="1784"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适用于处理高浓度、小气量的可燃性气体</w:t>
            </w:r>
          </w:p>
        </w:tc>
        <w:tc>
          <w:tcPr>
            <w:tcW w:w="163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净化效率高，恶臭物质被彻底氧化分解</w:t>
            </w:r>
          </w:p>
        </w:tc>
        <w:tc>
          <w:tcPr>
            <w:tcW w:w="179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设备易腐蚀，消耗燃料，处理成本高，易形成二次污染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52"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bCs/>
                <w:color w:val="auto"/>
                <w:kern w:val="0"/>
              </w:rPr>
              <w:t>吸附法</w:t>
            </w:r>
          </w:p>
        </w:tc>
        <w:tc>
          <w:tcPr>
            <w:tcW w:w="2649"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利用吸附剂的吸附功能使恶臭物质由气相转移至固相</w:t>
            </w:r>
          </w:p>
        </w:tc>
        <w:tc>
          <w:tcPr>
            <w:tcW w:w="1784"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适用于处理低浓度，高净化要求的恶臭气体</w:t>
            </w:r>
          </w:p>
        </w:tc>
        <w:tc>
          <w:tcPr>
            <w:tcW w:w="163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净化效率很高，可以处理多组分恶臭气体</w:t>
            </w:r>
          </w:p>
        </w:tc>
        <w:tc>
          <w:tcPr>
            <w:tcW w:w="179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吸附剂费用昂贵，再生较困难，要求待处理的恶臭气体有较低的温度和含尘量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52"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color w:val="auto"/>
              </w:rPr>
              <w:fldChar w:fldCharType="begin"/>
            </w:r>
            <w:r>
              <w:rPr>
                <w:color w:val="auto"/>
              </w:rPr>
              <w:instrText xml:space="preserve"> HYPERLINK "http://www.sdpld.com/showjishu.asp?id=19" \t "_blank" </w:instrText>
            </w:r>
            <w:r>
              <w:rPr>
                <w:color w:val="auto"/>
              </w:rPr>
              <w:fldChar w:fldCharType="separate"/>
            </w:r>
            <w:r>
              <w:rPr>
                <w:rFonts w:ascii="Times New Roman" w:hAnsi="Times New Roman" w:cs="Times New Roman"/>
                <w:bCs/>
                <w:color w:val="auto"/>
                <w:kern w:val="0"/>
              </w:rPr>
              <w:t>活性炭体技术</w:t>
            </w:r>
            <w:r>
              <w:rPr>
                <w:rFonts w:ascii="Times New Roman" w:hAnsi="Times New Roman" w:cs="Times New Roman"/>
                <w:bCs/>
                <w:color w:val="auto"/>
                <w:kern w:val="0"/>
              </w:rPr>
              <w:fldChar w:fldCharType="end"/>
            </w:r>
          </w:p>
        </w:tc>
        <w:tc>
          <w:tcPr>
            <w:tcW w:w="2649"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介质阻挡放电过程中，等离子体内部产生富含极高化学活性的粒子，如电子、离子、自由基和激发态分子等。废气中的污染物质与这些具有较高能量的活性基团发生反应，最终转化为CO</w:t>
            </w:r>
            <w:r>
              <w:rPr>
                <w:rFonts w:ascii="Times New Roman" w:hAnsi="Times New Roman" w:cs="Times New Roman"/>
                <w:color w:val="auto"/>
                <w:kern w:val="0"/>
                <w:vertAlign w:val="subscript"/>
              </w:rPr>
              <w:t>2</w:t>
            </w:r>
            <w:r>
              <w:rPr>
                <w:rFonts w:ascii="Times New Roman" w:hAnsi="Times New Roman" w:cs="Times New Roman"/>
                <w:color w:val="auto"/>
                <w:kern w:val="0"/>
              </w:rPr>
              <w:t>和H</w:t>
            </w:r>
            <w:r>
              <w:rPr>
                <w:rFonts w:ascii="Times New Roman" w:hAnsi="Times New Roman" w:cs="Times New Roman"/>
                <w:color w:val="auto"/>
                <w:kern w:val="0"/>
                <w:vertAlign w:val="subscript"/>
              </w:rPr>
              <w:t>2</w:t>
            </w:r>
            <w:r>
              <w:rPr>
                <w:rFonts w:ascii="Times New Roman" w:hAnsi="Times New Roman" w:cs="Times New Roman"/>
                <w:color w:val="auto"/>
                <w:kern w:val="0"/>
              </w:rPr>
              <w:t>O等物质，从而达到净化废气的目的。</w:t>
            </w:r>
          </w:p>
        </w:tc>
        <w:tc>
          <w:tcPr>
            <w:tcW w:w="1784"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适用范围广，净化效率高，尤其适用于其它方法难以处理的多组分恶臭气体，如化工、医药等行业。</w:t>
            </w:r>
          </w:p>
        </w:tc>
        <w:tc>
          <w:tcPr>
            <w:tcW w:w="163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电子能量高，几乎可以和所有的恶臭气体分子作用；运行费用低；反应快，设备启动、停止十分迅速，随用随开。</w:t>
            </w:r>
          </w:p>
        </w:tc>
        <w:tc>
          <w:tcPr>
            <w:tcW w:w="179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kern w:val="0"/>
              </w:rPr>
              <w:t>一次性投资较高。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52" w:type="dxa"/>
            <w:vAlign w:val="center"/>
          </w:tcPr>
          <w:p>
            <w:pPr>
              <w:pStyle w:val="42"/>
              <w:keepNext w:val="0"/>
              <w:keepLines w:val="0"/>
              <w:suppressLineNumbers w:val="0"/>
              <w:spacing w:before="0" w:beforeAutospacing="0" w:after="0" w:afterAutospacing="0"/>
              <w:ind w:left="0" w:right="0"/>
              <w:rPr>
                <w:rFonts w:ascii="Times New Roman" w:hAnsi="Times New Roman" w:cs="Times New Roman"/>
                <w:color w:val="auto"/>
              </w:rPr>
            </w:pPr>
            <w:r>
              <w:rPr>
                <w:rFonts w:ascii="Times New Roman" w:hAnsi="Times New Roman" w:cs="Times New Roman"/>
                <w:color w:val="auto"/>
              </w:rPr>
              <w:t>UV光催化净化法</w:t>
            </w:r>
          </w:p>
        </w:tc>
        <w:tc>
          <w:tcPr>
            <w:tcW w:w="2649"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采用高能UV紫外线，在光解净化设备内，裂解氧化有机废气分子链，改变物质结构，将高分子污染物裂解、氧化为低分子无害物质。</w:t>
            </w:r>
          </w:p>
        </w:tc>
        <w:tc>
          <w:tcPr>
            <w:tcW w:w="1784"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使用范围广，净化效率高。</w:t>
            </w:r>
          </w:p>
        </w:tc>
        <w:tc>
          <w:tcPr>
            <w:tcW w:w="163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日常维护简单，稳定性高，运行成本低，无二次污染。</w:t>
            </w:r>
          </w:p>
        </w:tc>
        <w:tc>
          <w:tcPr>
            <w:tcW w:w="1796" w:type="dxa"/>
            <w:vAlign w:val="center"/>
          </w:tcPr>
          <w:p>
            <w:pPr>
              <w:pStyle w:val="42"/>
              <w:keepNext w:val="0"/>
              <w:keepLines w:val="0"/>
              <w:suppressLineNumbers w:val="0"/>
              <w:spacing w:before="0" w:beforeAutospacing="0" w:after="0" w:afterAutospacing="0"/>
              <w:ind w:left="0" w:right="0"/>
              <w:jc w:val="center"/>
              <w:rPr>
                <w:rFonts w:ascii="Times New Roman" w:hAnsi="Times New Roman" w:cs="Times New Roman"/>
                <w:color w:val="auto"/>
              </w:rPr>
            </w:pPr>
            <w:r>
              <w:rPr>
                <w:rFonts w:ascii="Times New Roman" w:hAnsi="Times New Roman" w:cs="Times New Roman"/>
                <w:color w:val="auto"/>
              </w:rPr>
              <w:t>一次性投资较高。</w:t>
            </w:r>
          </w:p>
        </w:tc>
      </w:tr>
    </w:tbl>
    <w:p>
      <w:pPr>
        <w:ind w:firstLine="480"/>
        <w:rPr>
          <w:rFonts w:ascii="Times New Roman" w:hAnsi="Times New Roman"/>
          <w:color w:val="auto"/>
        </w:rPr>
      </w:pPr>
      <w:r>
        <w:rPr>
          <w:rFonts w:ascii="Times New Roman" w:hAnsi="Times New Roman"/>
          <w:color w:val="auto"/>
        </w:rPr>
        <w:t>针对本项目废气浓度不高、风量较大的特点，以及建设单位自身要求，本项目</w:t>
      </w:r>
      <w:r>
        <w:rPr>
          <w:rFonts w:hint="eastAsia" w:ascii="Times New Roman" w:hAnsi="Times New Roman"/>
          <w:color w:val="auto"/>
        </w:rPr>
        <w:t>造粒</w:t>
      </w:r>
      <w:r>
        <w:rPr>
          <w:rFonts w:ascii="Times New Roman" w:hAnsi="Times New Roman"/>
          <w:color w:val="auto"/>
        </w:rPr>
        <w:t>有机废气采用</w:t>
      </w:r>
      <w:r>
        <w:rPr>
          <w:rFonts w:ascii="Times New Roman" w:hAnsi="Times New Roman"/>
          <w:color w:val="auto"/>
          <w:spacing w:val="-4"/>
        </w:rPr>
        <w:t>UV光</w:t>
      </w:r>
      <w:r>
        <w:rPr>
          <w:rFonts w:hint="eastAsia" w:ascii="Times New Roman" w:hAnsi="Times New Roman"/>
          <w:color w:val="auto"/>
          <w:spacing w:val="-4"/>
        </w:rPr>
        <w:t>氧+活性炭</w:t>
      </w:r>
      <w:r>
        <w:rPr>
          <w:rFonts w:ascii="Times New Roman" w:hAnsi="Times New Roman"/>
          <w:color w:val="auto"/>
        </w:rPr>
        <w:t>净化处理，建设单位需要委托有资质的工程设计单位进行设计施工。</w:t>
      </w:r>
    </w:p>
    <w:p>
      <w:pPr>
        <w:adjustRightInd w:val="0"/>
        <w:snapToGrid w:val="0"/>
        <w:ind w:firstLine="480"/>
        <w:rPr>
          <w:rFonts w:ascii="Times New Roman" w:hAnsi="Times New Roman"/>
          <w:snapToGrid w:val="0"/>
          <w:color w:val="auto"/>
        </w:rPr>
      </w:pPr>
      <w:r>
        <w:rPr>
          <w:rFonts w:hint="eastAsia" w:ascii="Times New Roman" w:hAnsi="Times New Roman"/>
          <w:snapToGrid w:val="0"/>
          <w:color w:val="auto"/>
        </w:rPr>
        <w:t>光催化氧化法即采用催化氧化法处理工艺，一般催化剂采用半导体，如二氧化钛催化剂等。紫外</w:t>
      </w:r>
      <w:r>
        <w:rPr>
          <w:rFonts w:ascii="Times New Roman" w:hAnsi="Times New Roman"/>
          <w:snapToGrid w:val="0"/>
          <w:color w:val="auto"/>
        </w:rPr>
        <w:t xml:space="preserve"> UV-B 光通过照射二氧化钛产生光离子来处理废气，当紫外光照射到纳米</w:t>
      </w:r>
      <w:r>
        <w:rPr>
          <w:rFonts w:hint="eastAsia" w:ascii="Times New Roman" w:hAnsi="Times New Roman"/>
          <w:snapToGrid w:val="0"/>
          <w:color w:val="auto"/>
        </w:rPr>
        <w:t>光催化剂（通常采用锐钛矿结构纳米级的二氧化钛）上，吸收的光谱与光源基本相对应，纳米光催化剂被激活，造成电子跃迁，形成电子</w:t>
      </w:r>
      <w:r>
        <w:rPr>
          <w:rFonts w:ascii="Times New Roman" w:hAnsi="Times New Roman"/>
          <w:snapToGrid w:val="0"/>
          <w:color w:val="auto"/>
        </w:rPr>
        <w:t>-空穴对。而空穴对有极强的活性，使</w:t>
      </w:r>
      <w:r>
        <w:rPr>
          <w:rFonts w:hint="eastAsia" w:ascii="Times New Roman" w:hAnsi="Times New Roman"/>
          <w:snapToGrid w:val="0"/>
          <w:color w:val="auto"/>
        </w:rPr>
        <w:t>吸附在催化剂表面的</w:t>
      </w:r>
      <w:r>
        <w:rPr>
          <w:rFonts w:ascii="Times New Roman" w:hAnsi="Times New Roman"/>
          <w:snapToGrid w:val="0"/>
          <w:color w:val="auto"/>
        </w:rPr>
        <w:t xml:space="preserve"> H</w:t>
      </w:r>
      <w:r>
        <w:rPr>
          <w:rFonts w:ascii="Times New Roman" w:hAnsi="Times New Roman"/>
          <w:snapToGrid w:val="0"/>
          <w:color w:val="auto"/>
          <w:vertAlign w:val="subscript"/>
        </w:rPr>
        <w:t>2</w:t>
      </w:r>
      <w:r>
        <w:rPr>
          <w:rFonts w:ascii="Times New Roman" w:hAnsi="Times New Roman"/>
          <w:snapToGrid w:val="0"/>
          <w:color w:val="auto"/>
        </w:rPr>
        <w:t>O 分子作用，结合生成氢氧自由基OH，而电子则使 O</w:t>
      </w:r>
      <w:r>
        <w:rPr>
          <w:rFonts w:ascii="Times New Roman" w:hAnsi="Times New Roman"/>
          <w:snapToGrid w:val="0"/>
          <w:color w:val="auto"/>
          <w:vertAlign w:val="subscript"/>
        </w:rPr>
        <w:t>2</w:t>
      </w:r>
      <w:r>
        <w:rPr>
          <w:rFonts w:ascii="Times New Roman" w:hAnsi="Times New Roman"/>
          <w:snapToGrid w:val="0"/>
          <w:color w:val="auto"/>
        </w:rPr>
        <w:t>分子还</w:t>
      </w:r>
      <w:r>
        <w:rPr>
          <w:rFonts w:hint="eastAsia" w:ascii="Times New Roman" w:hAnsi="Times New Roman"/>
          <w:snapToGrid w:val="0"/>
          <w:color w:val="auto"/>
        </w:rPr>
        <w:t>原成活性氧离子，从而具备极强的氧化</w:t>
      </w:r>
      <w:r>
        <w:rPr>
          <w:rFonts w:ascii="Times New Roman" w:hAnsi="Times New Roman"/>
          <w:snapToGrid w:val="0"/>
          <w:color w:val="auto"/>
        </w:rPr>
        <w:t>-还原反应。将在催化剂表面气体中的各种污染</w:t>
      </w:r>
      <w:r>
        <w:rPr>
          <w:rFonts w:hint="eastAsia" w:ascii="Times New Roman" w:hAnsi="Times New Roman"/>
          <w:snapToGrid w:val="0"/>
          <w:color w:val="auto"/>
        </w:rPr>
        <w:t>物摧毁，分解成无害的物质。</w:t>
      </w:r>
    </w:p>
    <w:p>
      <w:pPr>
        <w:adjustRightInd w:val="0"/>
        <w:snapToGrid w:val="0"/>
        <w:ind w:firstLine="480"/>
        <w:rPr>
          <w:rFonts w:ascii="Times New Roman" w:hAnsi="Times New Roman"/>
          <w:color w:val="auto"/>
        </w:rPr>
      </w:pPr>
      <w:r>
        <w:rPr>
          <w:rFonts w:hint="eastAsia" w:ascii="Times New Roman" w:hAnsi="Times New Roman"/>
          <w:color w:val="auto"/>
        </w:rPr>
        <w:t>活性炭是一种很细小的炭粒</w:t>
      </w:r>
      <w:r>
        <w:rPr>
          <w:rFonts w:ascii="Times New Roman" w:hAnsi="Times New Roman"/>
          <w:color w:val="auto"/>
        </w:rPr>
        <w:t xml:space="preserve"> 有很大的表面积，而且炭粒中还有更细小的孔——毛</w:t>
      </w:r>
      <w:r>
        <w:rPr>
          <w:rFonts w:hint="eastAsia" w:ascii="Times New Roman" w:hAnsi="Times New Roman"/>
          <w:color w:val="auto"/>
        </w:rPr>
        <w:t>细管。这种毛细管具有很强的吸附能力，由于炭粒的表面积很大，所以能与气体（杂质）充分接触。当这些气体（杂质）碰到毛细管被吸附，起净化作用。</w:t>
      </w:r>
    </w:p>
    <w:p>
      <w:pPr>
        <w:adjustRightInd w:val="0"/>
        <w:snapToGrid w:val="0"/>
        <w:ind w:firstLine="480"/>
        <w:rPr>
          <w:rFonts w:ascii="Times New Roman" w:hAnsi="Times New Roman"/>
          <w:color w:val="auto"/>
        </w:rPr>
      </w:pPr>
      <w:r>
        <w:rPr>
          <w:rFonts w:hint="eastAsia" w:ascii="Times New Roman" w:hAnsi="Times New Roman"/>
          <w:color w:val="auto"/>
        </w:rPr>
        <w:t>②处理工艺流程</w:t>
      </w:r>
    </w:p>
    <w:p>
      <w:pPr>
        <w:adjustRightInd w:val="0"/>
        <w:snapToGrid w:val="0"/>
        <w:ind w:firstLine="480"/>
        <w:rPr>
          <w:rFonts w:ascii="Times New Roman" w:hAnsi="Times New Roman"/>
          <w:color w:val="auto"/>
        </w:rPr>
      </w:pPr>
      <w:r>
        <w:rPr>
          <w:rFonts w:hint="eastAsia" w:ascii="Times New Roman" w:hAnsi="Times New Roman"/>
          <w:color w:val="auto"/>
        </w:rPr>
        <w:t>本项目有机废气处理工艺流程如下：</w:t>
      </w:r>
    </w:p>
    <w:p>
      <w:pPr>
        <w:adjustRightInd w:val="0"/>
        <w:snapToGrid w:val="0"/>
        <w:ind w:firstLine="0" w:firstLineChars="0"/>
        <w:rPr>
          <w:rFonts w:ascii="Times New Roman" w:hAnsi="Times New Roman"/>
          <w:color w:val="auto"/>
        </w:rPr>
      </w:pPr>
      <w:r>
        <w:rPr>
          <w:rFonts w:hint="default" w:ascii="Times New Roman" w:hAnsi="Times New Roman" w:eastAsia="宋体" w:cs="Times New Roman"/>
          <w:color w:val="auto"/>
          <w:kern w:val="2"/>
          <w:sz w:val="24"/>
          <w:szCs w:val="21"/>
          <w:lang w:val="en-US" w:eastAsia="zh-CN" w:bidi="ar"/>
        </w:rPr>
        <w:pict>
          <v:group id="_x0000_s6011" o:spid="_x0000_s6011" o:spt="203" style="position:absolute;left:0pt;margin-left:0.35pt;margin-top:0pt;height:65.3pt;width:432.1pt;mso-wrap-distance-left:9pt;mso-wrap-distance-right:9pt;z-index:-251658240;mso-width-relative:page;mso-height-relative:page;" coordorigin="1810,3660" coordsize="8642,1306" wrapcoords="21592 -2 0 0 0 21600 21592 21602 8 21602 21600 21600 21600 0 8 -2 21592 -2" editas="canvas">
            <o:lock v:ext="edit"/>
            <v:shape id="_x0000_s6012" o:spid="_x0000_s6012" o:spt="75" type="#_x0000_t75" style="position:absolute;left:1810;top:3660;height:1306;width:8642;" filled="f" o:preferrelative="f" stroked="f" coordsize="21600,21600">
              <v:path/>
              <v:fill on="f" focussize="0,0"/>
              <v:stroke on="f" joinstyle="miter"/>
              <v:imagedata o:title=""/>
              <o:lock v:ext="edit" text="t" aspectratio="t"/>
            </v:shape>
            <v:shape id="_x0000_s6013" o:spid="_x0000_s6013" o:spt="32" type="#_x0000_t32" style="position:absolute;left:3187;top:4005;height:4;width:496;" o:connectortype="straight" filled="f" coordsize="21600,21600">
              <v:path arrowok="t"/>
              <v:fill on="f" focussize="0,0"/>
              <v:stroke endarrow="block"/>
              <v:imagedata o:title=""/>
              <o:lock v:ext="edit"/>
            </v:shape>
            <v:shape id="_x0000_s6014" o:spid="_x0000_s6014" o:spt="32" type="#_x0000_t32" style="position:absolute;left:6163;top:3991;height:5;width:499;" o:connectortype="straight" filled="f" coordsize="21600,21600">
              <v:path arrowok="t"/>
              <v:fill on="f" focussize="0,0"/>
              <v:stroke endarrow="block"/>
              <v:imagedata o:title=""/>
              <o:lock v:ext="edit"/>
            </v:shape>
            <v:shape id="_x0000_s6015" o:spid="_x0000_s6015" o:spt="202" type="#_x0000_t202" style="position:absolute;left:1810;top:3817;height:425;width:1377;"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造粒废气</w:t>
                    </w:r>
                  </w:p>
                </w:txbxContent>
              </v:textbox>
            </v:shape>
            <v:shape id="_x0000_s6016" o:spid="_x0000_s6016" o:spt="202" type="#_x0000_t202" style="position:absolute;left:3683;top:3814;height:425;width:96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集气罩</w:t>
                    </w:r>
                  </w:p>
                </w:txbxContent>
              </v:textbox>
            </v:shape>
            <v:shape id="_x0000_s6017" o:spid="_x0000_s6017" o:spt="202" type="#_x0000_t202" style="position:absolute;left:5147;top:3817;height:425;width:1016;"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喷淋塔</w:t>
                    </w:r>
                  </w:p>
                </w:txbxContent>
              </v:textbox>
            </v:shape>
            <v:shape id="_x0000_s6018" o:spid="_x0000_s6018" o:spt="202" type="#_x0000_t202" style="position:absolute;left:6662;top:3817;height:425;width:1091;"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光催化</w:t>
                    </w:r>
                  </w:p>
                </w:txbxContent>
              </v:textbox>
            </v:shape>
            <v:shape id="_x0000_s6019" o:spid="_x0000_s6019" o:spt="32" type="#_x0000_t32" style="position:absolute;left:4651;top:4001;height:4;width:496;" o:connectortype="straight" filled="f" coordsize="21600,21600">
              <v:path arrowok="t"/>
              <v:fill on="f" focussize="0,0"/>
              <v:stroke endarrow="block"/>
              <v:imagedata o:title=""/>
              <o:lock v:ext="edit"/>
            </v:shape>
            <v:shape id="_x0000_s6020" o:spid="_x0000_s6020" o:spt="202" type="#_x0000_t202" style="position:absolute;left:8279;top:3817;height:425;width:96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活性炭吸附</w:t>
                    </w:r>
                  </w:p>
                </w:txbxContent>
              </v:textbox>
            </v:shape>
            <v:shape id="_x0000_s6021" o:spid="_x0000_s6021" o:spt="32" type="#_x0000_t32" style="position:absolute;left:7753;top:4030;height:1;width:526;" o:connectortype="straight" filled="f" coordsize="21600,21600">
              <v:path arrowok="t"/>
              <v:fill on="f" focussize="0,0"/>
              <v:stroke endarrow="block"/>
              <v:imagedata o:title=""/>
              <o:lock v:ext="edit"/>
            </v:shape>
            <v:shape id="_x0000_s6022" o:spid="_x0000_s6022" o:spt="202" type="#_x0000_t202" style="position:absolute;left:9484;top:3660;height:1306;width:968;" fillcolor="#DBE5F1" filled="f" stroked="f" coordsize="21600,21600">
              <v:path/>
              <v:fill on="f" focussize="0,0"/>
              <v:stroke on="f"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20m高排气筒排放</w:t>
                    </w:r>
                  </w:p>
                </w:txbxContent>
              </v:textbox>
            </v:shape>
            <v:shape id="_x0000_s6023" o:spid="_x0000_s6023" o:spt="32" type="#_x0000_t32" style="position:absolute;left:9247;top:4031;height:1;width:526;" o:connectortype="straight" filled="f" coordsize="21600,21600">
              <v:path arrowok="t"/>
              <v:fill on="f" focussize="0,0"/>
              <v:stroke endarrow="block"/>
              <v:imagedata o:title=""/>
              <o:lock v:ext="edit"/>
            </v:shape>
            <w10:wrap type="tight"/>
            <w10:anchorlock/>
          </v:group>
        </w:pict>
      </w:r>
    </w:p>
    <w:p>
      <w:pPr>
        <w:adjustRightInd w:val="0"/>
        <w:snapToGrid w:val="0"/>
        <w:ind w:firstLine="480"/>
        <w:rPr>
          <w:rFonts w:ascii="Times New Roman" w:hAnsi="Times New Roman"/>
          <w:color w:val="auto"/>
        </w:rPr>
      </w:pPr>
      <w:r>
        <w:rPr>
          <w:rFonts w:hint="eastAsia" w:ascii="Times New Roman" w:hAnsi="Times New Roman"/>
          <w:color w:val="auto"/>
        </w:rPr>
        <w:t>首先，造粒过程中塑料熔融产生的废气经集气罩收集后，由支管汇集至废气总管，</w:t>
      </w:r>
    </w:p>
    <w:p>
      <w:pPr>
        <w:adjustRightInd w:val="0"/>
        <w:snapToGrid w:val="0"/>
        <w:ind w:firstLine="0" w:firstLineChars="0"/>
        <w:rPr>
          <w:rFonts w:ascii="Times New Roman" w:hAnsi="Times New Roman"/>
          <w:color w:val="auto"/>
        </w:rPr>
      </w:pPr>
      <w:r>
        <w:rPr>
          <w:rFonts w:hint="eastAsia" w:ascii="Times New Roman" w:hAnsi="Times New Roman"/>
          <w:color w:val="auto"/>
        </w:rPr>
        <w:t>最终进入屋顶的处理设施。有机废气先进入光催化氧化设备内，在催化剂和紫外光的作用下部分使有机废气分解，未分解的有机废气再进入末端活性炭吸附设备内，有机废气与活性炭接触后被吸附，使得尾气能得到充分的净化处理，达标排放。</w:t>
      </w:r>
    </w:p>
    <w:p>
      <w:pPr>
        <w:adjustRightInd w:val="0"/>
        <w:snapToGrid w:val="0"/>
        <w:ind w:firstLine="465" w:firstLineChars="0"/>
        <w:rPr>
          <w:rFonts w:ascii="Times New Roman" w:hAnsi="Times New Roman"/>
          <w:color w:val="auto"/>
        </w:rPr>
      </w:pPr>
      <w:r>
        <w:rPr>
          <w:rFonts w:hint="eastAsia" w:ascii="Times New Roman" w:hAnsi="Times New Roman"/>
          <w:color w:val="auto"/>
        </w:rPr>
        <w:t>③废气收集排放达标性分析</w:t>
      </w:r>
    </w:p>
    <w:p>
      <w:pPr>
        <w:adjustRightInd w:val="0"/>
        <w:snapToGrid w:val="0"/>
        <w:ind w:firstLine="465" w:firstLineChars="0"/>
        <w:rPr>
          <w:rFonts w:ascii="Times New Roman" w:hAnsi="Times New Roman"/>
          <w:color w:val="auto"/>
        </w:rPr>
      </w:pPr>
      <w:r>
        <w:rPr>
          <w:rFonts w:hint="eastAsia" w:ascii="Times New Roman" w:hAnsi="Times New Roman"/>
          <w:color w:val="auto"/>
        </w:rPr>
        <w:t>根据业主提供的相关资料，每条造粒生产线需配备3个集气罩，每个集气罩宽度约0.5m，风量约1200m</w:t>
      </w:r>
      <w:r>
        <w:rPr>
          <w:rFonts w:hint="eastAsia" w:ascii="Times New Roman" w:hAnsi="Times New Roman"/>
          <w:color w:val="auto"/>
          <w:vertAlign w:val="superscript"/>
        </w:rPr>
        <w:t>3</w:t>
      </w:r>
      <w:r>
        <w:rPr>
          <w:rFonts w:hint="eastAsia" w:ascii="Times New Roman" w:hAnsi="Times New Roman"/>
          <w:color w:val="auto"/>
        </w:rPr>
        <w:t>/h，故每条所需风量约3600m</w:t>
      </w:r>
      <w:r>
        <w:rPr>
          <w:rFonts w:hint="eastAsia" w:ascii="Times New Roman" w:hAnsi="Times New Roman"/>
          <w:color w:val="auto"/>
          <w:vertAlign w:val="superscript"/>
        </w:rPr>
        <w:t>3</w:t>
      </w:r>
      <w:r>
        <w:rPr>
          <w:rFonts w:hint="eastAsia" w:ascii="Times New Roman" w:hAnsi="Times New Roman"/>
          <w:color w:val="auto"/>
        </w:rPr>
        <w:t>/h，6条生产线同时开启需21600m</w:t>
      </w:r>
      <w:r>
        <w:rPr>
          <w:rFonts w:hint="eastAsia" w:ascii="Times New Roman" w:hAnsi="Times New Roman"/>
          <w:color w:val="auto"/>
          <w:vertAlign w:val="superscript"/>
        </w:rPr>
        <w:t>3</w:t>
      </w:r>
      <w:r>
        <w:rPr>
          <w:rFonts w:hint="eastAsia" w:ascii="Times New Roman" w:hAnsi="Times New Roman"/>
          <w:color w:val="auto"/>
        </w:rPr>
        <w:t>/h，故企业风量设置应不低于21600m</w:t>
      </w:r>
      <w:r>
        <w:rPr>
          <w:rFonts w:hint="eastAsia" w:ascii="Times New Roman" w:hAnsi="Times New Roman"/>
          <w:color w:val="auto"/>
          <w:vertAlign w:val="superscript"/>
        </w:rPr>
        <w:t>3</w:t>
      </w:r>
      <w:r>
        <w:rPr>
          <w:rFonts w:hint="eastAsia" w:ascii="Times New Roman" w:hAnsi="Times New Roman"/>
          <w:color w:val="auto"/>
        </w:rPr>
        <w:t>/h，企业拟设置风量</w:t>
      </w:r>
      <w:r>
        <w:rPr>
          <w:rFonts w:ascii="Times New Roman" w:hAnsi="Times New Roman"/>
          <w:color w:val="auto"/>
          <w:spacing w:val="-4"/>
        </w:rPr>
        <w:t>30000 m</w:t>
      </w:r>
      <w:r>
        <w:rPr>
          <w:rFonts w:ascii="Times New Roman" w:hAnsi="Times New Roman"/>
          <w:color w:val="auto"/>
          <w:spacing w:val="-4"/>
          <w:vertAlign w:val="superscript"/>
        </w:rPr>
        <w:t>３</w:t>
      </w:r>
      <w:r>
        <w:rPr>
          <w:rFonts w:ascii="Times New Roman" w:hAnsi="Times New Roman"/>
          <w:color w:val="auto"/>
          <w:spacing w:val="-4"/>
        </w:rPr>
        <w:t>/h</w:t>
      </w:r>
      <w:r>
        <w:rPr>
          <w:rFonts w:hint="eastAsia" w:ascii="Times New Roman" w:hAnsi="Times New Roman"/>
          <w:color w:val="auto"/>
          <w:spacing w:val="-4"/>
        </w:rPr>
        <w:t>，可满足要求</w:t>
      </w:r>
      <w:r>
        <w:rPr>
          <w:rFonts w:hint="eastAsia" w:ascii="Times New Roman" w:hAnsi="Times New Roman"/>
          <w:color w:val="auto"/>
        </w:rPr>
        <w:t>。</w:t>
      </w:r>
    </w:p>
    <w:p>
      <w:pPr>
        <w:adjustRightInd w:val="0"/>
        <w:snapToGrid w:val="0"/>
        <w:ind w:firstLine="465" w:firstLineChars="0"/>
        <w:rPr>
          <w:rFonts w:ascii="Times New Roman" w:hAnsi="Times New Roman"/>
          <w:color w:val="auto"/>
        </w:rPr>
      </w:pPr>
      <w:r>
        <w:rPr>
          <w:rFonts w:hint="eastAsia" w:ascii="Times New Roman" w:hAnsi="Times New Roman"/>
          <w:color w:val="auto"/>
        </w:rPr>
        <w:t>根据工程分析，挤出造粒废气经采取上述废气处理工艺处理后，各有机废气及氨的排放浓度能满足《合成树脂工业污染物排放标准》（</w:t>
      </w:r>
      <w:r>
        <w:rPr>
          <w:rFonts w:ascii="Times New Roman" w:hAnsi="Times New Roman"/>
          <w:color w:val="auto"/>
        </w:rPr>
        <w:t>GB31572-2015）中的特别排放限值要求</w:t>
      </w:r>
      <w:r>
        <w:rPr>
          <w:rFonts w:hint="eastAsia" w:ascii="Times New Roman" w:hAnsi="Times New Roman"/>
          <w:color w:val="auto"/>
        </w:rPr>
        <w:t>。经收集处理后的挤出造粒废气对周边环境空气的影响很小，空气环境仍能</w:t>
      </w:r>
    </w:p>
    <w:p>
      <w:pPr>
        <w:adjustRightInd w:val="0"/>
        <w:snapToGrid w:val="0"/>
        <w:ind w:firstLine="0" w:firstLineChars="0"/>
        <w:rPr>
          <w:rFonts w:ascii="Times New Roman" w:hAnsi="Times New Roman"/>
          <w:color w:val="auto"/>
        </w:rPr>
      </w:pPr>
      <w:r>
        <w:rPr>
          <w:rFonts w:hint="eastAsia" w:ascii="Times New Roman" w:hAnsi="Times New Roman"/>
          <w:color w:val="auto"/>
        </w:rPr>
        <w:t>满足</w:t>
      </w:r>
      <w:r>
        <w:rPr>
          <w:rFonts w:ascii="Times New Roman" w:hAnsi="Times New Roman"/>
          <w:color w:val="auto"/>
        </w:rPr>
        <w:t xml:space="preserve"> 2 类区要求，符合《废塑料回收与再生利用污染控制技术规范》的相关规定。只要</w:t>
      </w:r>
      <w:r>
        <w:rPr>
          <w:rFonts w:hint="eastAsia" w:ascii="Times New Roman" w:hAnsi="Times New Roman"/>
          <w:color w:val="auto"/>
        </w:rPr>
        <w:t>落实相应的废气处理设施，且加强维护管理，避免非正常排放，本项目废气可以做到稳定达标排放。</w:t>
      </w:r>
    </w:p>
    <w:p>
      <w:pPr>
        <w:pStyle w:val="592"/>
        <w:numPr>
          <w:ilvl w:val="0"/>
          <w:numId w:val="33"/>
        </w:numPr>
        <w:rPr>
          <w:color w:val="auto"/>
        </w:rPr>
      </w:pPr>
      <w:bookmarkStart w:id="100" w:name="_Toc37350073"/>
      <w:r>
        <w:rPr>
          <w:rFonts w:hint="eastAsia"/>
          <w:color w:val="auto"/>
        </w:rPr>
        <w:t>废水</w:t>
      </w:r>
      <w:r>
        <w:rPr>
          <w:color w:val="auto"/>
        </w:rPr>
        <w:t>污染防治措施</w:t>
      </w:r>
      <w:bookmarkEnd w:id="100"/>
    </w:p>
    <w:p>
      <w:pPr>
        <w:adjustRightInd w:val="0"/>
        <w:snapToGrid w:val="0"/>
        <w:ind w:firstLine="480"/>
        <w:rPr>
          <w:rFonts w:ascii="Times New Roman" w:hAnsi="Times New Roman"/>
          <w:color w:val="auto"/>
          <w:kern w:val="0"/>
          <w:szCs w:val="24"/>
        </w:rPr>
      </w:pPr>
      <w:r>
        <w:rPr>
          <w:rFonts w:ascii="Times New Roman" w:hAnsi="Times New Roman"/>
          <w:color w:val="auto"/>
          <w:kern w:val="0"/>
          <w:szCs w:val="24"/>
        </w:rPr>
        <w:t>（1）</w:t>
      </w:r>
      <w:r>
        <w:rPr>
          <w:rFonts w:hint="eastAsia" w:ascii="Times New Roman" w:hAnsi="Times New Roman"/>
          <w:color w:val="auto"/>
          <w:kern w:val="0"/>
          <w:szCs w:val="24"/>
        </w:rPr>
        <w:t>冷却</w:t>
      </w:r>
      <w:r>
        <w:rPr>
          <w:rFonts w:ascii="Times New Roman" w:hAnsi="Times New Roman"/>
          <w:color w:val="auto"/>
          <w:kern w:val="0"/>
          <w:szCs w:val="24"/>
        </w:rPr>
        <w:t>水</w:t>
      </w:r>
    </w:p>
    <w:p>
      <w:pPr>
        <w:adjustRightInd w:val="0"/>
        <w:snapToGrid w:val="0"/>
        <w:ind w:firstLine="480"/>
        <w:rPr>
          <w:rFonts w:ascii="Times New Roman" w:hAnsi="Times New Roman"/>
          <w:color w:val="auto"/>
        </w:rPr>
      </w:pPr>
      <w:r>
        <w:rPr>
          <w:rFonts w:hint="eastAsia" w:ascii="Times New Roman" w:hAnsi="Times New Roman"/>
          <w:color w:val="auto"/>
        </w:rPr>
        <w:t>①造粒冷却水</w:t>
      </w:r>
    </w:p>
    <w:p>
      <w:pPr>
        <w:adjustRightInd w:val="0"/>
        <w:snapToGrid w:val="0"/>
        <w:ind w:firstLine="480"/>
        <w:rPr>
          <w:rFonts w:ascii="Times New Roman" w:hAnsi="Times New Roman"/>
          <w:color w:val="auto"/>
        </w:rPr>
      </w:pPr>
      <w:r>
        <w:rPr>
          <w:rFonts w:hint="eastAsia" w:ascii="Times New Roman" w:hAnsi="Times New Roman"/>
          <w:color w:val="auto"/>
        </w:rPr>
        <w:t>造粒冷却水和喷射塔废水循环使用，不外排。</w:t>
      </w:r>
    </w:p>
    <w:p>
      <w:pPr>
        <w:adjustRightInd w:val="0"/>
        <w:snapToGrid w:val="0"/>
        <w:ind w:firstLine="480"/>
        <w:rPr>
          <w:rFonts w:ascii="Times New Roman" w:hAnsi="Times New Roman"/>
          <w:color w:val="auto"/>
          <w:szCs w:val="24"/>
        </w:rPr>
      </w:pPr>
      <w:r>
        <w:rPr>
          <w:rFonts w:ascii="Times New Roman" w:hAnsi="Times New Roman"/>
          <w:color w:val="auto"/>
        </w:rPr>
        <w:t>循环可行分析：冷却水槽循环使用，主要是为了减低产品的温度，对水质要求不高，</w:t>
      </w:r>
      <w:r>
        <w:rPr>
          <w:rFonts w:hint="eastAsia" w:ascii="Times New Roman" w:hAnsi="Times New Roman"/>
          <w:color w:val="auto"/>
        </w:rPr>
        <w:t>且熔融挤出的条状塑料较清洁，对冷却水水质基本无影响，故</w:t>
      </w:r>
      <w:r>
        <w:rPr>
          <w:rFonts w:ascii="Times New Roman" w:hAnsi="Times New Roman"/>
          <w:color w:val="auto"/>
        </w:rPr>
        <w:t>无外排，定期补充。废气处理设施中的</w:t>
      </w:r>
      <w:r>
        <w:rPr>
          <w:rFonts w:hint="eastAsia" w:ascii="Times New Roman" w:hAnsi="Times New Roman"/>
          <w:color w:val="auto"/>
        </w:rPr>
        <w:t>喷射</w:t>
      </w:r>
      <w:r>
        <w:rPr>
          <w:rFonts w:ascii="Times New Roman" w:hAnsi="Times New Roman"/>
          <w:color w:val="auto"/>
        </w:rPr>
        <w:t>塔主要是降低废气的温度</w:t>
      </w:r>
      <w:r>
        <w:rPr>
          <w:rFonts w:hint="eastAsia" w:ascii="Times New Roman" w:hAnsi="Times New Roman"/>
          <w:color w:val="auto"/>
        </w:rPr>
        <w:t>和吸收少量氨</w:t>
      </w:r>
      <w:r>
        <w:rPr>
          <w:rFonts w:ascii="Times New Roman" w:hAnsi="Times New Roman"/>
          <w:color w:val="auto"/>
        </w:rPr>
        <w:t>，对水质要求不高，循环使用，无外排，定期补充。</w:t>
      </w:r>
    </w:p>
    <w:p>
      <w:pPr>
        <w:ind w:firstLine="480"/>
        <w:rPr>
          <w:rFonts w:ascii="Times New Roman" w:hAnsi="Times New Roman"/>
          <w:color w:val="auto"/>
          <w:szCs w:val="24"/>
        </w:rPr>
      </w:pPr>
      <w:r>
        <w:rPr>
          <w:rFonts w:ascii="Times New Roman" w:hAnsi="Times New Roman"/>
          <w:color w:val="auto"/>
          <w:szCs w:val="24"/>
        </w:rPr>
        <w:t>（</w:t>
      </w:r>
      <w:r>
        <w:rPr>
          <w:rFonts w:hint="eastAsia" w:ascii="Times New Roman" w:hAnsi="Times New Roman"/>
          <w:color w:val="auto"/>
          <w:szCs w:val="24"/>
        </w:rPr>
        <w:t>2</w:t>
      </w:r>
      <w:r>
        <w:rPr>
          <w:rFonts w:ascii="Times New Roman" w:hAnsi="Times New Roman"/>
          <w:color w:val="auto"/>
          <w:szCs w:val="24"/>
        </w:rPr>
        <w:t>）生活污水</w:t>
      </w:r>
    </w:p>
    <w:p>
      <w:pPr>
        <w:ind w:firstLine="480"/>
        <w:rPr>
          <w:rFonts w:ascii="Times New Roman" w:hAnsi="Times New Roman"/>
          <w:color w:val="auto"/>
          <w:szCs w:val="24"/>
        </w:rPr>
      </w:pP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r>
        <w:rPr>
          <w:rStyle w:val="782"/>
          <w:rFonts w:hint="default" w:ascii="Times New Roman" w:hAnsi="Times New Roman"/>
          <w:color w:val="auto"/>
        </w:rPr>
        <w:t>污水处理厂出水执行《城镇污水处理厂污染物排放标准》（</w:t>
      </w:r>
      <w:r>
        <w:rPr>
          <w:rStyle w:val="789"/>
          <w:rFonts w:hint="default" w:ascii="Times New Roman" w:hAnsi="Times New Roman" w:eastAsia="宋体"/>
          <w:color w:val="auto"/>
        </w:rPr>
        <w:t>GB18918-2002</w:t>
      </w:r>
      <w:r>
        <w:rPr>
          <w:rStyle w:val="782"/>
          <w:rFonts w:hint="default" w:ascii="Times New Roman" w:hAnsi="Times New Roman"/>
          <w:color w:val="auto"/>
        </w:rPr>
        <w:t>）二级排放标准</w:t>
      </w:r>
      <w:r>
        <w:rPr>
          <w:rFonts w:hint="eastAsia" w:ascii="Times New Roman" w:hAnsi="Times New Roman"/>
          <w:color w:val="auto"/>
        </w:rPr>
        <w:t>。</w:t>
      </w:r>
    </w:p>
    <w:p>
      <w:pPr>
        <w:ind w:firstLine="0" w:firstLineChars="0"/>
        <w:jc w:val="center"/>
        <w:rPr>
          <w:rFonts w:ascii="Times New Roman" w:hAnsi="Times New Roman"/>
          <w:b/>
          <w:color w:val="auto"/>
          <w:szCs w:val="24"/>
          <w:u w:val="single"/>
        </w:rPr>
      </w:pPr>
      <w:r>
        <w:rPr>
          <w:rFonts w:hint="default" w:ascii="Times New Roman" w:hAnsi="Times New Roman" w:eastAsia="宋体" w:cs="Times New Roman"/>
          <w:color w:val="auto"/>
          <w:kern w:val="2"/>
          <w:sz w:val="24"/>
          <w:szCs w:val="21"/>
          <w:lang w:val="en-US" w:eastAsia="zh-CN" w:bidi="ar"/>
        </w:rPr>
        <w:pict>
          <v:group id="_x0000_s6024" o:spid="_x0000_s6024" o:spt="203" style="position:absolute;left:0pt;margin-left:0pt;margin-top:0pt;height:33.55pt;width:432.1pt;mso-wrap-distance-left:9pt;mso-wrap-distance-right:9pt;z-index:-251658240;mso-width-relative:page;mso-height-relative:page;" coordorigin="1810,3660" coordsize="8642,671" wrapcoords="21592 -2 0 0 0 21600 21592 21602 8 21602 21600 21600 21600 0 8 -2 21592 -2" editas="canvas">
            <o:lock v:ext="edit"/>
            <v:shape id="_x0000_s6025" o:spid="_x0000_s6025" o:spt="75" type="#_x0000_t75" style="position:absolute;left:1810;top:3660;height:671;width:8642;" filled="f" o:preferrelative="f" stroked="f" coordsize="21600,21600">
              <v:path/>
              <v:fill on="f" focussize="0,0"/>
              <v:stroke on="f" joinstyle="miter"/>
              <v:imagedata o:title=""/>
              <o:lock v:ext="edit" text="t" aspectratio="t"/>
            </v:shape>
            <v:shape id="_x0000_s6026" o:spid="_x0000_s6026" o:spt="32" type="#_x0000_t32" style="position:absolute;left:3171;top:4009;height:4;width:496;" o:connectortype="straight" filled="f" coordsize="21600,21600">
              <v:path arrowok="t"/>
              <v:fill on="f" focussize="0,0"/>
              <v:stroke endarrow="block"/>
              <v:imagedata o:title=""/>
              <o:lock v:ext="edit"/>
            </v:shape>
            <v:shape id="_x0000_s6027" o:spid="_x0000_s6027" o:spt="32" type="#_x0000_t32" style="position:absolute;left:6422;top:4029;height:5;width:249;" o:connectortype="straight" filled="f" coordsize="21600,21600">
              <v:path arrowok="t"/>
              <v:fill on="f" focussize="0,0"/>
              <v:stroke endarrow="block"/>
              <v:imagedata o:title=""/>
              <o:lock v:ext="edit"/>
            </v:shape>
            <v:shape id="_x0000_s6028" o:spid="_x0000_s6028" o:spt="202" type="#_x0000_t202" style="position:absolute;left:1843;top:3800;height:425;width:132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生活污水</w:t>
                    </w:r>
                  </w:p>
                </w:txbxContent>
              </v:textbox>
            </v:shape>
            <v:shape id="_x0000_s6029" o:spid="_x0000_s6029" o:spt="202" type="#_x0000_t202" style="position:absolute;left:3667;top:3816;height:425;width:968;"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化粪池</w:t>
                    </w:r>
                  </w:p>
                </w:txbxContent>
              </v:textbox>
            </v:shape>
            <v:shape id="_x0000_s6030" o:spid="_x0000_s6030" o:spt="202" type="#_x0000_t202" style="position:absolute;left:5178;top:3814;height:425;width:1255;"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center"/>
                      <w:rPr>
                        <w:b/>
                        <w:bCs w:val="0"/>
                        <w:sz w:val="21"/>
                        <w:szCs w:val="21"/>
                        <w:lang w:val="en-US"/>
                      </w:rPr>
                    </w:pPr>
                    <w:r>
                      <w:rPr>
                        <w:rFonts w:hint="eastAsia" w:ascii="宋体" w:hAnsi="宋体" w:eastAsia="宋体" w:cs="Times New Roman"/>
                        <w:b/>
                        <w:bCs w:val="0"/>
                        <w:color w:val="000000"/>
                        <w:kern w:val="2"/>
                        <w:sz w:val="21"/>
                        <w:szCs w:val="21"/>
                        <w:lang w:val="en-US" w:eastAsia="zh-CN" w:bidi="ar"/>
                      </w:rPr>
                      <w:t>污水管网</w:t>
                    </w:r>
                  </w:p>
                </w:txbxContent>
              </v:textbox>
            </v:shape>
            <v:shape id="_x0000_s6031" o:spid="_x0000_s6031" o:spt="202" type="#_x0000_t202" style="position:absolute;left:6671;top:3816;height:425;width:3503;" fillcolor="#DBE5F1" filled="t" coordsize="21600,21600">
              <v:path/>
              <v:fill on="t" focussize="0,0"/>
              <v:stroke joinstyle="miter"/>
              <v:imagedata o:title=""/>
              <o:lock v:ext="edit"/>
              <v:textbox>
                <w:txbxContent>
                  <w:p>
                    <w:pPr>
                      <w:keepNext w:val="0"/>
                      <w:keepLines w:val="0"/>
                      <w:widowControl w:val="0"/>
                      <w:suppressLineNumbers w:val="0"/>
                      <w:spacing w:before="0" w:beforeAutospacing="0" w:after="0" w:afterAutospacing="0" w:line="360" w:lineRule="auto"/>
                      <w:ind w:left="0" w:right="0" w:firstLine="0" w:firstLineChars="0"/>
                      <w:jc w:val="both"/>
                      <w:rPr>
                        <w:b/>
                        <w:bCs w:val="0"/>
                        <w:sz w:val="18"/>
                        <w:szCs w:val="18"/>
                        <w:lang w:val="en-US"/>
                      </w:rPr>
                    </w:pPr>
                    <w:r>
                      <w:rPr>
                        <w:rFonts w:hint="eastAsia" w:ascii="宋体" w:hAnsi="宋体" w:eastAsia="宋体" w:cs="Times New Roman"/>
                        <w:b/>
                        <w:bCs w:val="0"/>
                        <w:color w:val="000000"/>
                        <w:kern w:val="2"/>
                        <w:sz w:val="18"/>
                        <w:szCs w:val="18"/>
                        <w:lang w:val="en-US" w:eastAsia="zh-CN" w:bidi="ar"/>
                      </w:rPr>
                      <w:t>苍南县临港产业基地启动区污水处理厂</w:t>
                    </w:r>
                  </w:p>
                </w:txbxContent>
              </v:textbox>
            </v:shape>
            <v:shape id="_x0000_s6032" o:spid="_x0000_s6032" o:spt="32" type="#_x0000_t32" style="position:absolute;left:4668;top:4013;height:4;width:496;" o:connectortype="straight" filled="f" coordsize="21600,21600">
              <v:path arrowok="t"/>
              <v:fill on="f" focussize="0,0"/>
              <v:stroke endarrow="block"/>
              <v:imagedata o:title=""/>
              <o:lock v:ext="edit"/>
            </v:shape>
            <w10:wrap type="tight"/>
            <w10:anchorlock/>
          </v:group>
        </w:pict>
      </w:r>
      <w:r>
        <w:rPr>
          <w:rFonts w:ascii="Times New Roman" w:hAnsi="Times New Roman"/>
          <w:b/>
          <w:color w:val="auto"/>
          <w:szCs w:val="24"/>
          <w:u w:val="single"/>
        </w:rPr>
        <w:t>图6-</w:t>
      </w:r>
      <w:r>
        <w:rPr>
          <w:rFonts w:hint="eastAsia" w:ascii="Times New Roman" w:hAnsi="Times New Roman"/>
          <w:b/>
          <w:color w:val="auto"/>
          <w:szCs w:val="24"/>
          <w:u w:val="single"/>
        </w:rPr>
        <w:t>2</w:t>
      </w:r>
      <w:r>
        <w:rPr>
          <w:rFonts w:ascii="Times New Roman" w:hAnsi="Times New Roman"/>
          <w:b/>
          <w:color w:val="auto"/>
          <w:szCs w:val="24"/>
          <w:u w:val="single"/>
        </w:rPr>
        <w:t>项目生活污水处理工艺流程图</w:t>
      </w:r>
    </w:p>
    <w:p>
      <w:pPr>
        <w:ind w:firstLine="480"/>
        <w:rPr>
          <w:rFonts w:ascii="Times New Roman" w:hAnsi="Times New Roman"/>
          <w:color w:val="auto"/>
        </w:rPr>
      </w:pPr>
      <w:bookmarkStart w:id="101" w:name="_Toc323721028"/>
      <w:r>
        <w:rPr>
          <w:rFonts w:hint="eastAsia" w:ascii="Times New Roman" w:hAnsi="Times New Roman"/>
          <w:color w:val="auto"/>
        </w:rPr>
        <w:t>（3）废水管道、排放口要求</w:t>
      </w:r>
    </w:p>
    <w:p>
      <w:pPr>
        <w:ind w:firstLine="480"/>
        <w:rPr>
          <w:rFonts w:ascii="Times New Roman" w:hAnsi="Times New Roman"/>
          <w:color w:val="auto"/>
        </w:rPr>
      </w:pPr>
      <w:r>
        <w:rPr>
          <w:rFonts w:hint="eastAsia" w:ascii="Times New Roman" w:hAnsi="Times New Roman"/>
          <w:color w:val="auto"/>
        </w:rPr>
        <w:t>本项目废水管线采取明管套明沟（渠）或架空敷设，废水管道（沟、渠）满足防腐、防渗要求。严格执行清污分流、雨污分流，采用便于区分的沟渠或管道系统，分质转移输送。为了减少废水的跑冒滴漏，建议项目对管道进行防渗、防腐处理；同时做好收集系统的维护工作，以避免渠道受腐蚀而泄露，防止废水渗入地下水和清下水系统。渠上应盖石板，管道连接处设置开孔向上的三通，便于环保部门的采样和监督。一旦区域污水收集管网出现爆裂、污水泵站出现故障等风险事故情况，公司须立即启用应急预案，用事故应急池收集不能入管的废水。若区域污水收集管网或污水泵站短期内不能排除故障，企业应无条件停产，避免可能出现的废水直排区域地表水体的污染事故。</w:t>
      </w:r>
    </w:p>
    <w:p>
      <w:pPr>
        <w:pStyle w:val="592"/>
        <w:numPr>
          <w:ilvl w:val="0"/>
          <w:numId w:val="33"/>
        </w:numPr>
        <w:rPr>
          <w:color w:val="auto"/>
        </w:rPr>
      </w:pPr>
      <w:bookmarkStart w:id="102" w:name="_Toc37350074"/>
      <w:r>
        <w:rPr>
          <w:color w:val="auto"/>
        </w:rPr>
        <w:t>噪声污染防治措施</w:t>
      </w:r>
      <w:bookmarkEnd w:id="101"/>
      <w:bookmarkEnd w:id="102"/>
    </w:p>
    <w:p>
      <w:pPr>
        <w:ind w:firstLine="480"/>
        <w:rPr>
          <w:rFonts w:ascii="Times New Roman" w:hAnsi="Times New Roman"/>
          <w:color w:val="auto"/>
        </w:rPr>
      </w:pPr>
      <w:bookmarkStart w:id="103" w:name="_Toc323721029"/>
      <w:r>
        <w:rPr>
          <w:rFonts w:ascii="Times New Roman" w:hAnsi="Times New Roman"/>
          <w:color w:val="auto"/>
        </w:rPr>
        <w:t>1、应根据《隔振设计规范》（GB50463-2008）中相关要求对高噪声的设备设置隔振或减振基座，必要时设置隔声间。加强设备的维护保养，确保设备处于良好的运转状态，杜绝因设备不正常运行时产生的高噪声。</w:t>
      </w:r>
    </w:p>
    <w:p>
      <w:pPr>
        <w:ind w:firstLine="480"/>
        <w:rPr>
          <w:rFonts w:ascii="Times New Roman" w:hAnsi="Times New Roman"/>
          <w:color w:val="auto"/>
        </w:rPr>
      </w:pPr>
      <w:r>
        <w:rPr>
          <w:rFonts w:ascii="Times New Roman" w:hAnsi="Times New Roman"/>
          <w:color w:val="auto"/>
        </w:rPr>
        <w:t>2）合理安排设备布局，车间设备尽量布置在厂房中部；</w:t>
      </w:r>
    </w:p>
    <w:p>
      <w:pPr>
        <w:ind w:firstLine="480"/>
        <w:rPr>
          <w:rFonts w:ascii="Times New Roman" w:hAnsi="Times New Roman"/>
          <w:color w:val="auto"/>
        </w:rPr>
      </w:pPr>
      <w:r>
        <w:rPr>
          <w:rFonts w:ascii="Times New Roman" w:hAnsi="Times New Roman"/>
          <w:color w:val="auto"/>
        </w:rPr>
        <w:t>3）在车间和厂区周围种植绿化隔离带，选择吸声能力强的树种，如杉树等，杉树带吸收屏障效应为2.8dB/10米；</w:t>
      </w:r>
    </w:p>
    <w:p>
      <w:pPr>
        <w:ind w:firstLine="480"/>
        <w:rPr>
          <w:rFonts w:ascii="Times New Roman" w:hAnsi="Times New Roman"/>
          <w:color w:val="auto"/>
        </w:rPr>
      </w:pPr>
      <w:r>
        <w:rPr>
          <w:rFonts w:ascii="Times New Roman" w:hAnsi="Times New Roman"/>
          <w:color w:val="auto"/>
        </w:rPr>
        <w:t>4）加强各设备的日常维护，避免不正常运行产生的高噪声污染现象。</w:t>
      </w:r>
    </w:p>
    <w:p>
      <w:pPr>
        <w:pStyle w:val="592"/>
        <w:numPr>
          <w:ilvl w:val="0"/>
          <w:numId w:val="33"/>
        </w:numPr>
        <w:rPr>
          <w:color w:val="auto"/>
        </w:rPr>
      </w:pPr>
      <w:bookmarkStart w:id="104" w:name="_Toc37350075"/>
      <w:r>
        <w:rPr>
          <w:color w:val="auto"/>
        </w:rPr>
        <w:t>固体废物污染防治措施</w:t>
      </w:r>
      <w:bookmarkEnd w:id="103"/>
      <w:bookmarkEnd w:id="104"/>
    </w:p>
    <w:p>
      <w:pPr>
        <w:ind w:firstLine="480"/>
        <w:rPr>
          <w:rFonts w:ascii="Times New Roman" w:hAnsi="Times New Roman"/>
          <w:color w:val="auto"/>
        </w:rPr>
      </w:pPr>
      <w:r>
        <w:rPr>
          <w:rFonts w:ascii="Times New Roman" w:hAnsi="Times New Roman"/>
          <w:color w:val="auto"/>
        </w:rPr>
        <w:t>根据固废的不同性质和有毒有害情况，加强固废管理，进行分类处理。对于有毒有害废弃物，在有效控制收集和专门储存的基础上，定期集中送往环保部门指定场所以安全的方式进行处置，防止二次污染。固体废弃物建议处置方案见表6-</w:t>
      </w:r>
      <w:r>
        <w:rPr>
          <w:rFonts w:hint="eastAsia" w:ascii="Times New Roman" w:hAnsi="Times New Roman"/>
          <w:color w:val="auto"/>
        </w:rPr>
        <w:t>3</w:t>
      </w:r>
      <w:r>
        <w:rPr>
          <w:rFonts w:ascii="Times New Roman" w:hAnsi="Times New Roman"/>
          <w:color w:val="auto"/>
        </w:rPr>
        <w:t>。</w:t>
      </w:r>
    </w:p>
    <w:p>
      <w:pPr>
        <w:numPr>
          <w:ilvl w:val="0"/>
          <w:numId w:val="35"/>
        </w:numPr>
        <w:spacing w:line="240" w:lineRule="auto"/>
        <w:ind w:firstLineChars="0"/>
        <w:jc w:val="center"/>
        <w:rPr>
          <w:rFonts w:ascii="Times New Roman" w:hAnsi="Times New Roman"/>
          <w:b/>
          <w:color w:val="auto"/>
          <w:sz w:val="21"/>
        </w:rPr>
      </w:pPr>
      <w:r>
        <w:rPr>
          <w:rFonts w:ascii="Times New Roman" w:hAnsi="Times New Roman"/>
          <w:b/>
          <w:color w:val="auto"/>
          <w:sz w:val="21"/>
        </w:rPr>
        <w:t>项目固废产生情况及去向</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2328"/>
        <w:gridCol w:w="4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固废性质</w:t>
            </w:r>
          </w:p>
        </w:tc>
        <w:tc>
          <w:tcPr>
            <w:tcW w:w="128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种类</w:t>
            </w:r>
          </w:p>
        </w:tc>
        <w:tc>
          <w:tcPr>
            <w:tcW w:w="2709" w:type="pct"/>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03" w:type="pct"/>
            <w:vMerge w:val="restart"/>
            <w:vAlign w:val="center"/>
          </w:tcPr>
          <w:p>
            <w:pPr>
              <w:keepNext w:val="0"/>
              <w:keepLines w:val="0"/>
              <w:suppressLineNumbers w:val="0"/>
              <w:adjustRightInd w:val="0"/>
              <w:snapToGrid w:val="0"/>
              <w:spacing w:before="0" w:beforeAutospacing="0" w:after="0" w:afterAutospacing="0"/>
              <w:ind w:left="0" w:right="0" w:firstLine="0" w:firstLineChars="0"/>
              <w:jc w:val="center"/>
              <w:rPr>
                <w:rFonts w:ascii="Times New Roman" w:hAnsi="Times New Roman"/>
                <w:bCs/>
                <w:color w:val="auto"/>
                <w:sz w:val="21"/>
              </w:rPr>
            </w:pPr>
            <w:r>
              <w:rPr>
                <w:rFonts w:ascii="Times New Roman" w:hAnsi="Times New Roman"/>
                <w:bCs/>
                <w:color w:val="auto"/>
                <w:sz w:val="21"/>
              </w:rPr>
              <w:t>一般工业固废</w:t>
            </w:r>
          </w:p>
        </w:tc>
        <w:tc>
          <w:tcPr>
            <w:tcW w:w="12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2709"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由相关单位回收综合利用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vAlign w:val="center"/>
          </w:tcPr>
          <w:p>
            <w:pPr>
              <w:keepNext w:val="0"/>
              <w:keepLines w:val="0"/>
              <w:suppressLineNumbers w:val="0"/>
              <w:adjustRightInd w:val="0"/>
              <w:snapToGrid w:val="0"/>
              <w:spacing w:before="0" w:beforeAutospacing="0" w:after="0" w:afterAutospacing="0"/>
              <w:ind w:left="0" w:right="0" w:firstLine="0" w:firstLineChars="0"/>
              <w:jc w:val="center"/>
              <w:rPr>
                <w:rFonts w:ascii="Times New Roman" w:hAnsi="Times New Roman"/>
                <w:bCs/>
                <w:color w:val="auto"/>
                <w:sz w:val="21"/>
              </w:rPr>
            </w:pPr>
          </w:p>
        </w:tc>
        <w:tc>
          <w:tcPr>
            <w:tcW w:w="12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2709"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vAlign w:val="center"/>
          </w:tcPr>
          <w:p>
            <w:pPr>
              <w:keepNext w:val="0"/>
              <w:keepLines w:val="0"/>
              <w:suppressLineNumbers w:val="0"/>
              <w:adjustRightInd w:val="0"/>
              <w:snapToGrid w:val="0"/>
              <w:spacing w:before="0" w:beforeAutospacing="0" w:after="0" w:afterAutospacing="0"/>
              <w:ind w:left="0" w:right="0" w:firstLine="0" w:firstLineChars="0"/>
              <w:jc w:val="center"/>
              <w:rPr>
                <w:rFonts w:ascii="Times New Roman" w:hAnsi="Times New Roman"/>
                <w:bCs/>
                <w:color w:val="auto"/>
                <w:sz w:val="21"/>
              </w:rPr>
            </w:pPr>
          </w:p>
        </w:tc>
        <w:tc>
          <w:tcPr>
            <w:tcW w:w="12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270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sz w:val="21"/>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2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挤出机废弃过滤网</w:t>
            </w:r>
          </w:p>
        </w:tc>
        <w:tc>
          <w:tcPr>
            <w:tcW w:w="270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由废塑料加工单位回收进行滤网再生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bCs/>
                <w:color w:val="auto"/>
                <w:sz w:val="21"/>
              </w:rPr>
              <w:t>危险废物</w:t>
            </w:r>
          </w:p>
        </w:tc>
        <w:tc>
          <w:tcPr>
            <w:tcW w:w="12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270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288"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废活性炭、废齿轮油、废油、废UV灯管</w:t>
            </w:r>
          </w:p>
        </w:tc>
        <w:tc>
          <w:tcPr>
            <w:tcW w:w="270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委托有资质单位处置</w:t>
            </w:r>
          </w:p>
        </w:tc>
      </w:tr>
    </w:tbl>
    <w:p>
      <w:pPr>
        <w:ind w:firstLine="480"/>
        <w:rPr>
          <w:rFonts w:ascii="Times New Roman" w:hAnsi="Times New Roman"/>
          <w:color w:val="auto"/>
        </w:rPr>
      </w:pPr>
      <w:r>
        <w:rPr>
          <w:rFonts w:ascii="Times New Roman" w:hAnsi="Times New Roman"/>
          <w:color w:val="auto"/>
        </w:rPr>
        <w:t>1、一般固体废物</w:t>
      </w:r>
    </w:p>
    <w:p>
      <w:pPr>
        <w:ind w:firstLine="480"/>
        <w:rPr>
          <w:rFonts w:ascii="Times New Roman" w:hAnsi="Times New Roman"/>
          <w:color w:val="auto"/>
        </w:rPr>
      </w:pPr>
      <w:r>
        <w:rPr>
          <w:rFonts w:ascii="Times New Roman" w:hAnsi="Times New Roman"/>
          <w:color w:val="auto"/>
        </w:rPr>
        <w:t>企业应严格按照国家《一般工业固体废物储存、处置场污染控制标准》（GB18599-2001）的要求，建设必要的固废分类收集和临时贮存设施，具体要求如下：</w:t>
      </w:r>
    </w:p>
    <w:p>
      <w:pPr>
        <w:ind w:firstLine="48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1 \* GB3 </w:instrText>
      </w:r>
      <w:r>
        <w:rPr>
          <w:rFonts w:ascii="Times New Roman" w:hAnsi="Times New Roman"/>
          <w:color w:val="auto"/>
        </w:rPr>
        <w:fldChar w:fldCharType="separate"/>
      </w:r>
      <w:r>
        <w:rPr>
          <w:rFonts w:hint="eastAsia" w:ascii="Times New Roman" w:hAnsi="Times New Roman" w:cs="宋体"/>
          <w:color w:val="auto"/>
        </w:rPr>
        <w:t>①</w:t>
      </w:r>
      <w:r>
        <w:rPr>
          <w:rFonts w:ascii="Times New Roman" w:hAnsi="Times New Roman"/>
          <w:color w:val="auto"/>
        </w:rPr>
        <w:fldChar w:fldCharType="end"/>
      </w:r>
      <w:r>
        <w:rPr>
          <w:rFonts w:ascii="Times New Roman" w:hAnsi="Times New Roman"/>
          <w:color w:val="auto"/>
        </w:rPr>
        <w:t>一般工业固体废物应分类收集、储存，不能混存，也不允许将危险废物和生活垃圾混入；</w:t>
      </w:r>
    </w:p>
    <w:p>
      <w:pPr>
        <w:ind w:firstLine="48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2 \* GB3 </w:instrText>
      </w:r>
      <w:r>
        <w:rPr>
          <w:rFonts w:ascii="Times New Roman" w:hAnsi="Times New Roman"/>
          <w:color w:val="auto"/>
        </w:rPr>
        <w:fldChar w:fldCharType="separate"/>
      </w:r>
      <w:r>
        <w:rPr>
          <w:rFonts w:hint="eastAsia" w:ascii="Times New Roman" w:hAnsi="Times New Roman" w:cs="宋体"/>
          <w:color w:val="auto"/>
        </w:rPr>
        <w:t>②</w:t>
      </w:r>
      <w:r>
        <w:rPr>
          <w:rFonts w:ascii="Times New Roman" w:hAnsi="Times New Roman"/>
          <w:color w:val="auto"/>
        </w:rPr>
        <w:fldChar w:fldCharType="end"/>
      </w:r>
      <w:r>
        <w:rPr>
          <w:rFonts w:ascii="Times New Roman" w:hAnsi="Times New Roman"/>
          <w:color w:val="auto"/>
        </w:rPr>
        <w:t>一般工业固体废物临时储存地点必须建有天棚，不允许露天堆放，以防雨水冲刷，雨水通过场地四周导流渠流向雨水排放管；临时堆放场地为水泥铺设地面，以防渗漏。</w:t>
      </w:r>
    </w:p>
    <w:p>
      <w:pPr>
        <w:ind w:firstLine="48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3 \* GB3 </w:instrText>
      </w:r>
      <w:r>
        <w:rPr>
          <w:rFonts w:ascii="Times New Roman" w:hAnsi="Times New Roman"/>
          <w:color w:val="auto"/>
        </w:rPr>
        <w:fldChar w:fldCharType="separate"/>
      </w:r>
      <w:r>
        <w:rPr>
          <w:rFonts w:hint="eastAsia" w:ascii="Times New Roman" w:hAnsi="Times New Roman" w:cs="宋体"/>
          <w:color w:val="auto"/>
        </w:rPr>
        <w:t>③</w:t>
      </w:r>
      <w:r>
        <w:rPr>
          <w:rFonts w:ascii="Times New Roman" w:hAnsi="Times New Roman"/>
          <w:color w:val="auto"/>
        </w:rPr>
        <w:fldChar w:fldCharType="end"/>
      </w:r>
      <w:r>
        <w:rPr>
          <w:rFonts w:ascii="Times New Roman" w:hAnsi="Times New Roman"/>
          <w:color w:val="auto"/>
        </w:rPr>
        <w:t>储存场应加强监督管理，按GB 15562.2设置环境保护图形标志。</w:t>
      </w:r>
    </w:p>
    <w:p>
      <w:pPr>
        <w:ind w:firstLine="48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4 \* GB3 </w:instrText>
      </w:r>
      <w:r>
        <w:rPr>
          <w:rFonts w:ascii="Times New Roman" w:hAnsi="Times New Roman"/>
          <w:color w:val="auto"/>
        </w:rPr>
        <w:fldChar w:fldCharType="separate"/>
      </w:r>
      <w:r>
        <w:rPr>
          <w:rFonts w:hint="eastAsia" w:ascii="Times New Roman" w:hAnsi="Times New Roman" w:cs="宋体"/>
          <w:color w:val="auto"/>
        </w:rPr>
        <w:t>④</w:t>
      </w:r>
      <w:r>
        <w:rPr>
          <w:rFonts w:ascii="Times New Roman" w:hAnsi="Times New Roman"/>
          <w:color w:val="auto"/>
        </w:rPr>
        <w:fldChar w:fldCharType="end"/>
      </w:r>
      <w:r>
        <w:rPr>
          <w:rFonts w:ascii="Times New Roman" w:hAnsi="Times New Roman"/>
          <w:color w:val="auto"/>
        </w:rPr>
        <w:t>建立档案制度，将临时储存的一般工业固体废物的种类、数量和外运的一般工业固体废物的种类、数量详细记录在案，长期保存，供随时查阅。</w:t>
      </w:r>
    </w:p>
    <w:p>
      <w:pPr>
        <w:ind w:firstLine="480"/>
        <w:rPr>
          <w:rFonts w:ascii="Times New Roman" w:hAnsi="Times New Roman"/>
          <w:color w:val="auto"/>
        </w:rPr>
      </w:pPr>
      <w:r>
        <w:rPr>
          <w:rFonts w:hint="eastAsia" w:ascii="Times New Roman" w:hAnsi="Times New Roman"/>
          <w:color w:val="auto"/>
        </w:rPr>
        <w:t>2、危险废物</w:t>
      </w:r>
    </w:p>
    <w:p>
      <w:pPr>
        <w:ind w:firstLine="480"/>
        <w:rPr>
          <w:rFonts w:ascii="Times New Roman" w:hAnsi="Times New Roman"/>
          <w:color w:val="auto"/>
        </w:rPr>
      </w:pPr>
      <w:r>
        <w:rPr>
          <w:rFonts w:ascii="Times New Roman" w:hAnsi="Times New Roman"/>
          <w:color w:val="auto"/>
          <w:lang w:bidi="zh-CN"/>
        </w:rPr>
        <w:t>危险废物临时贮存场所严格按照《危险废物贮存污染控制标准》（GB18597-2001）及修改单进行设计，采取基础防渗、防火、防雨、防晒、防扬散、通风，配备照明设施等防治环境污染措施。贮存场所处粘贴危险废物标签，并作好相应的记录。危险废物由危废处置单位定期清运处理，包装容器为密封容器，容器上粘贴标签，注明种类、成分、危险类别、产地、禁忌与安全措施等，并采用专用密闭车辆，保证运输过程无泄漏。</w:t>
      </w:r>
    </w:p>
    <w:p>
      <w:pPr>
        <w:ind w:firstLine="480"/>
        <w:rPr>
          <w:rFonts w:ascii="Times New Roman" w:hAnsi="Times New Roman"/>
          <w:color w:val="auto"/>
        </w:rPr>
      </w:pPr>
      <w:r>
        <w:rPr>
          <w:rFonts w:hint="eastAsia" w:ascii="Times New Roman" w:hAnsi="Times New Roman"/>
          <w:color w:val="auto"/>
        </w:rPr>
        <w:t>3</w:t>
      </w:r>
      <w:r>
        <w:rPr>
          <w:rFonts w:ascii="Times New Roman" w:hAnsi="Times New Roman"/>
          <w:color w:val="auto"/>
        </w:rPr>
        <w:t>、日常管理要求</w:t>
      </w:r>
    </w:p>
    <w:p>
      <w:pPr>
        <w:ind w:firstLine="480"/>
        <w:rPr>
          <w:rFonts w:ascii="Times New Roman" w:hAnsi="Times New Roman"/>
          <w:color w:val="auto"/>
        </w:rPr>
      </w:pPr>
      <w:r>
        <w:rPr>
          <w:rFonts w:ascii="Times New Roman" w:hAnsi="Times New Roman"/>
          <w:color w:val="auto"/>
        </w:rPr>
        <w:t>建立台账管理制度，属自行利用处置的，应符合有关污染防治技术政策和标准，需定期监测污染物排放情况。</w:t>
      </w:r>
    </w:p>
    <w:p>
      <w:pPr>
        <w:ind w:firstLine="480"/>
        <w:rPr>
          <w:rFonts w:ascii="Times New Roman" w:hAnsi="Times New Roman"/>
          <w:color w:val="auto"/>
        </w:rPr>
      </w:pPr>
      <w:r>
        <w:rPr>
          <w:rFonts w:ascii="Times New Roman" w:hAnsi="Times New Roman"/>
          <w:color w:val="auto"/>
        </w:rPr>
        <w:t>落实以上措施后该项目固体废物均进行妥善处置，对环境造成的影响较小。</w:t>
      </w:r>
    </w:p>
    <w:p>
      <w:pPr>
        <w:pStyle w:val="592"/>
        <w:numPr>
          <w:ilvl w:val="0"/>
          <w:numId w:val="33"/>
        </w:numPr>
        <w:rPr>
          <w:color w:val="auto"/>
        </w:rPr>
      </w:pPr>
      <w:bookmarkStart w:id="105" w:name="_Toc37350076"/>
      <w:r>
        <w:rPr>
          <w:color w:val="auto"/>
        </w:rPr>
        <w:t>地下水污染防治对策与建议</w:t>
      </w:r>
      <w:bookmarkEnd w:id="105"/>
    </w:p>
    <w:p>
      <w:pPr>
        <w:ind w:firstLine="480"/>
        <w:rPr>
          <w:rFonts w:ascii="Times New Roman" w:hAnsi="Times New Roman"/>
          <w:color w:val="auto"/>
        </w:rPr>
      </w:pPr>
      <w:r>
        <w:rPr>
          <w:rFonts w:hint="eastAsia" w:ascii="Times New Roman" w:hAnsi="Times New Roman"/>
          <w:color w:val="auto"/>
        </w:rPr>
        <w:t>为防止项目实施对区域地下水和土壤环境造成污染，本评价要求项目从原料和产品储存、生产过程、污染处理等全过程控制各种有毒有害原辅材料、中间材料、产品泄漏（含跑、冒、滴、漏），同时对有害物质可能泄漏到地面的区域采取防渗措施，阻止其渗入土壤和地下水中，即从源头到末端全方位采取控制措施。</w:t>
      </w:r>
    </w:p>
    <w:p>
      <w:pPr>
        <w:ind w:firstLine="482"/>
        <w:rPr>
          <w:rFonts w:ascii="Times New Roman" w:hAnsi="Times New Roman"/>
          <w:b/>
          <w:color w:val="auto"/>
        </w:rPr>
      </w:pPr>
      <w:r>
        <w:rPr>
          <w:rFonts w:ascii="Times New Roman" w:hAnsi="Times New Roman"/>
          <w:b/>
          <w:color w:val="auto"/>
        </w:rPr>
        <w:t>1</w:t>
      </w:r>
      <w:r>
        <w:rPr>
          <w:rFonts w:hint="eastAsia" w:ascii="Times New Roman" w:hAnsi="Times New Roman"/>
          <w:b/>
          <w:color w:val="auto"/>
        </w:rPr>
        <w:t>、防治原则</w:t>
      </w:r>
    </w:p>
    <w:p>
      <w:pPr>
        <w:ind w:firstLine="480"/>
        <w:rPr>
          <w:rFonts w:ascii="Times New Roman" w:hAnsi="Times New Roman"/>
          <w:color w:val="auto"/>
        </w:rPr>
      </w:pPr>
      <w:r>
        <w:rPr>
          <w:rFonts w:hint="eastAsia" w:ascii="Times New Roman" w:hAnsi="Times New Roman"/>
          <w:color w:val="auto"/>
        </w:rPr>
        <w:t>地下水和土壤污染防治措施坚持</w:t>
      </w:r>
      <w:r>
        <w:rPr>
          <w:rFonts w:ascii="Times New Roman" w:hAnsi="Times New Roman"/>
          <w:color w:val="auto"/>
        </w:rPr>
        <w:t>“</w:t>
      </w:r>
      <w:r>
        <w:rPr>
          <w:rFonts w:hint="eastAsia" w:ascii="Times New Roman" w:hAnsi="Times New Roman"/>
          <w:color w:val="auto"/>
        </w:rPr>
        <w:t>源头控制、末端防治、污染监控、应急响</w:t>
      </w:r>
      <w:r>
        <w:rPr>
          <w:rFonts w:ascii="Times New Roman" w:hAnsi="Times New Roman"/>
          <w:color w:val="auto"/>
        </w:rPr>
        <w:t>应相结合”的原则，即采取主动控制和被动控制相结合的措施。</w:t>
      </w:r>
    </w:p>
    <w:p>
      <w:pPr>
        <w:ind w:firstLine="480"/>
        <w:rPr>
          <w:rFonts w:ascii="Times New Roman" w:hAnsi="Times New Roman"/>
          <w:color w:val="auto"/>
        </w:rPr>
      </w:pPr>
      <w:r>
        <w:rPr>
          <w:rFonts w:hint="eastAsia" w:ascii="Times New Roman" w:hAnsi="Times New Roman"/>
          <w:color w:val="auto"/>
        </w:rPr>
        <w:t>（1）</w:t>
      </w:r>
      <w:r>
        <w:rPr>
          <w:rFonts w:ascii="Times New Roman" w:hAnsi="Times New Roman"/>
          <w:color w:val="auto"/>
        </w:rPr>
        <w:t>主动控制，即从源头控制措施，主要包括在工艺、管道、设备、污水储存及处理构筑物采取相应措施，防止和降低污染物跑、冒、滴、漏，将污染物泄漏的环境风险事故降到最低程度。</w:t>
      </w:r>
    </w:p>
    <w:p>
      <w:pPr>
        <w:ind w:firstLine="480"/>
        <w:rPr>
          <w:rFonts w:ascii="Times New Roman" w:hAnsi="Times New Roman"/>
          <w:color w:val="auto"/>
        </w:rPr>
      </w:pPr>
      <w:r>
        <w:rPr>
          <w:rFonts w:hint="eastAsia" w:ascii="Times New Roman" w:hAnsi="Times New Roman"/>
          <w:color w:val="auto"/>
        </w:rPr>
        <w:t>（2）</w:t>
      </w:r>
      <w:r>
        <w:rPr>
          <w:rFonts w:ascii="Times New Roman" w:hAnsi="Times New Roman"/>
          <w:color w:val="auto"/>
        </w:rPr>
        <w:t>被动控制，即末端控制措施，主要包括厂内污染区地面的防渗措施和泄漏、渗漏污染物收集措施，即在污染区地面进行防渗处理，防止洒落地面的污染物渗入地下，并把滞留在地面的污染物收集起来，集中委托处理或综合利用。</w:t>
      </w:r>
    </w:p>
    <w:p>
      <w:pPr>
        <w:ind w:firstLine="480"/>
        <w:rPr>
          <w:rFonts w:ascii="Times New Roman" w:hAnsi="Times New Roman"/>
          <w:color w:val="auto"/>
        </w:rPr>
      </w:pPr>
      <w:r>
        <w:rPr>
          <w:rFonts w:hint="eastAsia" w:ascii="Times New Roman" w:hAnsi="Times New Roman"/>
          <w:color w:val="auto"/>
        </w:rPr>
        <w:t>（3）</w:t>
      </w:r>
      <w:r>
        <w:rPr>
          <w:rFonts w:ascii="Times New Roman" w:hAnsi="Times New Roman"/>
          <w:color w:val="auto"/>
        </w:rPr>
        <w:t>实施重点区域地下水污染监控系统，包括建立完善的监测制度、配备先进的检测仪器和设备、科学、合理设置地下水污染监控井和土壤监测点位，及时发现污染、及时控制。</w:t>
      </w:r>
    </w:p>
    <w:p>
      <w:pPr>
        <w:ind w:firstLine="480"/>
        <w:rPr>
          <w:rFonts w:ascii="Times New Roman" w:hAnsi="Times New Roman"/>
          <w:color w:val="auto"/>
        </w:rPr>
      </w:pPr>
      <w:r>
        <w:rPr>
          <w:rFonts w:hint="eastAsia" w:ascii="Times New Roman" w:hAnsi="Times New Roman"/>
          <w:color w:val="auto"/>
        </w:rPr>
        <w:t>（4）</w:t>
      </w:r>
      <w:r>
        <w:rPr>
          <w:rFonts w:ascii="Times New Roman" w:hAnsi="Times New Roman"/>
          <w:color w:val="auto"/>
        </w:rPr>
        <w:t>应急响应措施，包括一旦发现地下水和土壤污染事故，立即启动应急预案、采取应急措施控制地下水和土壤污染，并使污染得到治理。</w:t>
      </w:r>
    </w:p>
    <w:p>
      <w:pPr>
        <w:ind w:firstLine="482"/>
        <w:rPr>
          <w:rFonts w:ascii="Times New Roman" w:hAnsi="Times New Roman"/>
          <w:b/>
          <w:color w:val="auto"/>
        </w:rPr>
      </w:pPr>
      <w:r>
        <w:rPr>
          <w:rFonts w:ascii="Times New Roman" w:hAnsi="Times New Roman"/>
          <w:b/>
          <w:color w:val="auto"/>
        </w:rPr>
        <w:t>2、防治措施</w:t>
      </w:r>
    </w:p>
    <w:p>
      <w:pPr>
        <w:ind w:firstLine="480"/>
        <w:rPr>
          <w:rFonts w:ascii="Times New Roman" w:hAnsi="Times New Roman"/>
          <w:color w:val="auto"/>
        </w:rPr>
      </w:pPr>
      <w:r>
        <w:rPr>
          <w:rFonts w:ascii="Times New Roman" w:hAnsi="Times New Roman"/>
          <w:color w:val="auto"/>
        </w:rPr>
        <w:t>（1）源头控制</w:t>
      </w:r>
    </w:p>
    <w:p>
      <w:pPr>
        <w:ind w:firstLine="480"/>
        <w:rPr>
          <w:rFonts w:ascii="Times New Roman" w:hAnsi="Times New Roman"/>
          <w:color w:val="auto"/>
        </w:rPr>
      </w:pPr>
      <w:r>
        <w:rPr>
          <w:rFonts w:ascii="Times New Roman" w:hAnsi="Times New Roman"/>
          <w:color w:val="auto"/>
        </w:rPr>
        <w:t>企业可通过优化工艺、确保废水稳定处理、强化地面防渗防漏措施等手段，从源头减少水体污染物排放；同时落实废气处理设施日常管理和维护工作，应确保各类废气均可达标排放；生活垃圾及时委托环卫部门统一清运，确保固废能够得以妥善处置，从源头减少污染物的排放。</w:t>
      </w:r>
    </w:p>
    <w:p>
      <w:pPr>
        <w:pStyle w:val="791"/>
        <w:spacing w:line="360" w:lineRule="auto"/>
        <w:ind w:firstLine="480" w:firstLineChars="200"/>
        <w:rPr>
          <w:color w:val="auto"/>
        </w:rPr>
      </w:pPr>
      <w:r>
        <w:rPr>
          <w:rFonts w:hAnsi="宋体"/>
          <w:color w:val="auto"/>
          <w:sz w:val="24"/>
          <w:szCs w:val="24"/>
        </w:rPr>
        <w:t>（</w:t>
      </w:r>
      <w:r>
        <w:rPr>
          <w:color w:val="auto"/>
          <w:sz w:val="24"/>
          <w:szCs w:val="24"/>
        </w:rPr>
        <w:t>2</w:t>
      </w:r>
      <w:r>
        <w:rPr>
          <w:rFonts w:hAnsi="宋体"/>
          <w:color w:val="auto"/>
          <w:sz w:val="24"/>
          <w:szCs w:val="24"/>
        </w:rPr>
        <w:t>）分区防治措施</w:t>
      </w:r>
    </w:p>
    <w:p>
      <w:pPr>
        <w:ind w:firstLine="480"/>
        <w:rPr>
          <w:rFonts w:ascii="Times New Roman" w:hAnsi="Times New Roman"/>
          <w:color w:val="auto"/>
        </w:rPr>
      </w:pPr>
      <w:r>
        <w:rPr>
          <w:rFonts w:ascii="Times New Roman" w:hAnsi="Times New Roman"/>
          <w:color w:val="auto"/>
        </w:rPr>
        <w:t>主要包括项目易污染区地面的防渗措施和泄露、渗漏污染物收集措施，即对污染区地面进行防渗处理，防止洒落地面的污染物渗入地下</w:t>
      </w:r>
      <w:r>
        <w:rPr>
          <w:rFonts w:hint="eastAsia" w:ascii="Times New Roman" w:hAnsi="Times New Roman"/>
          <w:color w:val="auto"/>
        </w:rPr>
        <w:t>。</w:t>
      </w:r>
    </w:p>
    <w:p>
      <w:pPr>
        <w:ind w:firstLine="480"/>
        <w:rPr>
          <w:rFonts w:ascii="Times New Roman" w:hAnsi="Times New Roman"/>
          <w:color w:val="auto"/>
        </w:rPr>
      </w:pPr>
      <w:r>
        <w:rPr>
          <w:rFonts w:ascii="Times New Roman" w:hAnsi="Times New Roman"/>
          <w:color w:val="auto"/>
        </w:rPr>
        <w:t>采用国际国内先进的防渗材料、技术和实施手段，确保工程建设对区域内地下水影响较小，地下水现有水体功能不发生明显改变。</w:t>
      </w:r>
    </w:p>
    <w:p>
      <w:pPr>
        <w:ind w:firstLine="480"/>
        <w:rPr>
          <w:rFonts w:ascii="Times New Roman" w:hAnsi="Times New Roman"/>
          <w:color w:val="auto"/>
        </w:rPr>
      </w:pPr>
      <w:r>
        <w:rPr>
          <w:rFonts w:ascii="Times New Roman" w:hAnsi="Times New Roman"/>
          <w:color w:val="auto"/>
        </w:rPr>
        <w:t>坚持分区管理和控制原则，根据场址所在地的工程地质、水文地质条件和全厂可能发生泄漏的物料性质、排放量，参照相应标准要求有针对性的分区， 并分别设计地面防渗层结构。</w:t>
      </w:r>
    </w:p>
    <w:p>
      <w:pPr>
        <w:ind w:firstLine="480"/>
        <w:rPr>
          <w:rFonts w:ascii="Times New Roman" w:hAnsi="Times New Roman"/>
          <w:color w:val="auto"/>
        </w:rPr>
      </w:pPr>
      <w:r>
        <w:rPr>
          <w:rFonts w:hint="eastAsia" w:ascii="Times New Roman" w:hAnsi="Times New Roman"/>
          <w:color w:val="auto"/>
        </w:rPr>
        <w:t>坚持</w:t>
      </w:r>
      <w:r>
        <w:rPr>
          <w:rFonts w:ascii="Times New Roman" w:hAnsi="Times New Roman"/>
          <w:color w:val="auto"/>
        </w:rPr>
        <w:t>“</w:t>
      </w:r>
      <w:r>
        <w:rPr>
          <w:rFonts w:hint="eastAsia" w:ascii="Times New Roman" w:hAnsi="Times New Roman"/>
          <w:color w:val="auto"/>
        </w:rPr>
        <w:t>可视化</w:t>
      </w:r>
      <w:r>
        <w:rPr>
          <w:rFonts w:ascii="Times New Roman" w:hAnsi="Times New Roman"/>
          <w:color w:val="auto"/>
        </w:rPr>
        <w:t>”</w:t>
      </w:r>
      <w:r>
        <w:rPr>
          <w:rFonts w:hint="eastAsia" w:ascii="Times New Roman" w:hAnsi="Times New Roman"/>
          <w:color w:val="auto"/>
        </w:rPr>
        <w:t>原则，在满足工程和防渗层结构标准要求的前提下，尽量在地表面实施防渗措施，便于泄漏物质的收集和及时发现破损的防渗层。</w:t>
      </w:r>
    </w:p>
    <w:p>
      <w:pPr>
        <w:ind w:firstLine="480"/>
        <w:rPr>
          <w:rFonts w:ascii="Times New Roman" w:hAnsi="Times New Roman"/>
          <w:color w:val="auto"/>
        </w:rPr>
      </w:pPr>
      <w:r>
        <w:rPr>
          <w:rFonts w:hint="eastAsia" w:ascii="Times New Roman" w:hAnsi="Times New Roman"/>
          <w:color w:val="auto"/>
        </w:rPr>
        <w:t>实施防渗的区域均设置检漏装置，其中可能泄漏废物的重点污染防治区防渗设置自动检漏装置。</w:t>
      </w:r>
    </w:p>
    <w:p>
      <w:pPr>
        <w:ind w:firstLine="480"/>
        <w:rPr>
          <w:rFonts w:ascii="Times New Roman" w:hAnsi="Times New Roman"/>
          <w:color w:val="auto"/>
        </w:rPr>
      </w:pPr>
      <w:r>
        <w:rPr>
          <w:rFonts w:hint="eastAsia" w:ascii="Times New Roman" w:hAnsi="Times New Roman"/>
          <w:color w:val="auto"/>
        </w:rPr>
        <w:t>防渗层上渗漏污染物和防渗层内渗漏污染物收集系统与全厂</w:t>
      </w:r>
      <w:r>
        <w:rPr>
          <w:rFonts w:ascii="Times New Roman" w:hAnsi="Times New Roman"/>
          <w:color w:val="auto"/>
        </w:rPr>
        <w:t>“</w:t>
      </w:r>
      <w:r>
        <w:rPr>
          <w:rFonts w:hint="eastAsia" w:ascii="Times New Roman" w:hAnsi="Times New Roman"/>
          <w:color w:val="auto"/>
        </w:rPr>
        <w:t>三废</w:t>
      </w:r>
      <w:r>
        <w:rPr>
          <w:rFonts w:ascii="Times New Roman" w:hAnsi="Times New Roman"/>
          <w:color w:val="auto"/>
        </w:rPr>
        <w:t>”</w:t>
      </w:r>
      <w:r>
        <w:rPr>
          <w:rFonts w:hint="eastAsia" w:ascii="Times New Roman" w:hAnsi="Times New Roman"/>
          <w:color w:val="auto"/>
        </w:rPr>
        <w:t>处理措施统筹考虑，统一处理。</w:t>
      </w:r>
    </w:p>
    <w:p>
      <w:pPr>
        <w:ind w:firstLine="480"/>
        <w:rPr>
          <w:rFonts w:ascii="Times New Roman" w:hAnsi="Times New Roman"/>
          <w:color w:val="auto"/>
        </w:rPr>
      </w:pPr>
      <w:r>
        <w:rPr>
          <w:rFonts w:hint="eastAsia" w:cs="宋体"/>
          <w:color w:val="auto"/>
        </w:rPr>
        <w:t>①</w:t>
      </w:r>
      <w:r>
        <w:rPr>
          <w:rFonts w:ascii="Times New Roman" w:hAnsi="Times New Roman"/>
          <w:color w:val="auto"/>
        </w:rPr>
        <w:t>污染防治区划分</w:t>
      </w:r>
    </w:p>
    <w:p>
      <w:pPr>
        <w:ind w:firstLine="480"/>
        <w:rPr>
          <w:rFonts w:ascii="Times New Roman" w:hAnsi="Times New Roman"/>
          <w:color w:val="auto"/>
        </w:rPr>
      </w:pPr>
      <w:r>
        <w:rPr>
          <w:rFonts w:hint="eastAsia" w:ascii="Times New Roman" w:hAnsi="Times New Roman"/>
          <w:color w:val="auto"/>
        </w:rPr>
        <w:t>根据《环境影响评价技术导则－地下水环境》（</w:t>
      </w:r>
      <w:r>
        <w:rPr>
          <w:rFonts w:ascii="Times New Roman" w:hAnsi="Times New Roman"/>
          <w:color w:val="auto"/>
        </w:rPr>
        <w:t>HJ 610-2016</w:t>
      </w:r>
      <w:r>
        <w:rPr>
          <w:rFonts w:hint="eastAsia" w:ascii="Times New Roman" w:hAnsi="Times New Roman"/>
          <w:color w:val="auto"/>
        </w:rPr>
        <w:t>），结合地下水环境影响评价结果，给出不同分区的具体防渗技术要求。</w:t>
      </w:r>
    </w:p>
    <w:p>
      <w:pPr>
        <w:ind w:firstLine="480"/>
        <w:rPr>
          <w:rFonts w:ascii="Times New Roman" w:hAnsi="Times New Roman"/>
          <w:color w:val="auto"/>
        </w:rPr>
      </w:pPr>
      <w:r>
        <w:rPr>
          <w:rFonts w:hint="eastAsia" w:ascii="Times New Roman" w:hAnsi="Times New Roman"/>
          <w:color w:val="auto"/>
        </w:rPr>
        <w:t>一般情况下，应以水平防渗为主，防控措施应满足以下要求：</w:t>
      </w:r>
    </w:p>
    <w:p>
      <w:pPr>
        <w:ind w:firstLine="480"/>
        <w:rPr>
          <w:rFonts w:ascii="Times New Roman" w:hAnsi="Times New Roman"/>
          <w:color w:val="auto"/>
        </w:rPr>
      </w:pPr>
      <w:r>
        <w:rPr>
          <w:rFonts w:ascii="Times New Roman" w:hAnsi="Times New Roman"/>
          <w:color w:val="auto"/>
        </w:rPr>
        <w:t>a</w:t>
      </w:r>
      <w:r>
        <w:rPr>
          <w:rFonts w:hint="eastAsia" w:ascii="Times New Roman" w:hAnsi="Times New Roman"/>
          <w:color w:val="auto"/>
        </w:rPr>
        <w:t xml:space="preserve">、已颁布污染控制国家标准或防渗技术规范的行业，水平防渗技术要求按照相应标准或规范执行，如 </w:t>
      </w:r>
      <w:r>
        <w:rPr>
          <w:rFonts w:ascii="Times New Roman" w:hAnsi="Times New Roman"/>
          <w:color w:val="auto"/>
        </w:rPr>
        <w:t>GB 16889</w:t>
      </w:r>
      <w:r>
        <w:rPr>
          <w:rFonts w:hint="eastAsia" w:ascii="Times New Roman" w:hAnsi="Times New Roman"/>
          <w:color w:val="auto"/>
        </w:rPr>
        <w:t>、</w:t>
      </w:r>
      <w:r>
        <w:rPr>
          <w:rFonts w:ascii="Times New Roman" w:hAnsi="Times New Roman"/>
          <w:color w:val="auto"/>
        </w:rPr>
        <w:t>GB 18597</w:t>
      </w:r>
      <w:r>
        <w:rPr>
          <w:rFonts w:hint="eastAsia" w:ascii="Times New Roman" w:hAnsi="Times New Roman"/>
          <w:color w:val="auto"/>
        </w:rPr>
        <w:t>、</w:t>
      </w:r>
      <w:r>
        <w:rPr>
          <w:rFonts w:ascii="Times New Roman" w:hAnsi="Times New Roman"/>
          <w:color w:val="auto"/>
        </w:rPr>
        <w:t>GB 18598</w:t>
      </w:r>
      <w:r>
        <w:rPr>
          <w:rFonts w:hint="eastAsia" w:ascii="Times New Roman" w:hAnsi="Times New Roman"/>
          <w:color w:val="auto"/>
        </w:rPr>
        <w:t>、</w:t>
      </w:r>
      <w:r>
        <w:rPr>
          <w:rFonts w:ascii="Times New Roman" w:hAnsi="Times New Roman"/>
          <w:color w:val="auto"/>
        </w:rPr>
        <w:t>GB 18599</w:t>
      </w:r>
      <w:r>
        <w:rPr>
          <w:rFonts w:hint="eastAsia" w:ascii="Times New Roman" w:hAnsi="Times New Roman"/>
          <w:color w:val="auto"/>
        </w:rPr>
        <w:t>、</w:t>
      </w:r>
      <w:r>
        <w:rPr>
          <w:rFonts w:ascii="Times New Roman" w:hAnsi="Times New Roman"/>
          <w:color w:val="auto"/>
        </w:rPr>
        <w:t xml:space="preserve">GB/T 50934 </w:t>
      </w:r>
      <w:r>
        <w:rPr>
          <w:rFonts w:hint="eastAsia" w:ascii="Times New Roman" w:hAnsi="Times New Roman"/>
          <w:color w:val="auto"/>
        </w:rPr>
        <w:t>等；</w:t>
      </w:r>
    </w:p>
    <w:p>
      <w:pPr>
        <w:ind w:firstLine="480"/>
        <w:rPr>
          <w:rFonts w:ascii="Times New Roman" w:hAnsi="Times New Roman"/>
          <w:color w:val="auto"/>
        </w:rPr>
      </w:pPr>
      <w:r>
        <w:rPr>
          <w:rFonts w:ascii="Times New Roman" w:hAnsi="Times New Roman"/>
          <w:color w:val="auto"/>
        </w:rPr>
        <w:t>b</w:t>
      </w:r>
      <w:r>
        <w:rPr>
          <w:rFonts w:hint="eastAsia" w:ascii="Times New Roman" w:hAnsi="Times New Roman"/>
          <w:color w:val="auto"/>
        </w:rPr>
        <w:t>、未颁布相关标准的行业，根据预测结果和场地包气带特征及其防污性能，提出防渗技术要求；或根据建设项目场地天然包气带的防污性能、污染控制难易程度和污染物特性，参照表6-3提出防渗技术要求。其中污染控制难易程度分级和天然包气带防污性能分级分别参照表6-4和表6-5进行相关等级的确定。</w:t>
      </w:r>
    </w:p>
    <w:p>
      <w:pPr>
        <w:numPr>
          <w:ilvl w:val="0"/>
          <w:numId w:val="35"/>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 xml:space="preserve">  </w:t>
      </w:r>
      <w:r>
        <w:rPr>
          <w:rFonts w:ascii="Times New Roman" w:hAnsi="Times New Roman"/>
          <w:b/>
          <w:color w:val="auto"/>
          <w:sz w:val="21"/>
        </w:rPr>
        <w:t>地下水污染防渗分区参照表</w:t>
      </w:r>
    </w:p>
    <w:tbl>
      <w:tblPr>
        <w:tblStyle w:val="8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2"/>
        <w:gridCol w:w="1417"/>
        <w:gridCol w:w="1148"/>
        <w:gridCol w:w="1756"/>
        <w:gridCol w:w="3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28"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防渗分区</w:t>
            </w: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天然包气带</w:t>
            </w:r>
          </w:p>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防污性能</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污染控制</w:t>
            </w:r>
          </w:p>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难易程度</w:t>
            </w:r>
          </w:p>
        </w:tc>
        <w:tc>
          <w:tcPr>
            <w:tcW w:w="994"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污染物类型</w:t>
            </w:r>
          </w:p>
        </w:tc>
        <w:tc>
          <w:tcPr>
            <w:tcW w:w="1726"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防渗技术要求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8"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重点防渗区</w:t>
            </w: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弱</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难</w:t>
            </w:r>
          </w:p>
        </w:tc>
        <w:tc>
          <w:tcPr>
            <w:tcW w:w="994" w:type="pct"/>
            <w:vMerge w:val="restart"/>
            <w:tcBorders>
              <w:top w:val="nil"/>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重金属、持久性有机物污染物</w:t>
            </w:r>
          </w:p>
        </w:tc>
        <w:tc>
          <w:tcPr>
            <w:tcW w:w="1726" w:type="pct"/>
            <w:vMerge w:val="restart"/>
            <w:tcBorders>
              <w:top w:val="nil"/>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pacing w:val="-8"/>
                <w:sz w:val="21"/>
                <w:szCs w:val="21"/>
              </w:rPr>
              <w:t xml:space="preserve">等效黏土防渗层 </w:t>
            </w:r>
            <w:r>
              <w:rPr>
                <w:color w:val="auto"/>
                <w:sz w:val="21"/>
                <w:szCs w:val="21"/>
              </w:rPr>
              <w:t>Mb≥6.0m</w:t>
            </w:r>
            <w:r>
              <w:rPr>
                <w:rFonts w:hint="eastAsia"/>
                <w:color w:val="auto"/>
                <w:sz w:val="21"/>
                <w:szCs w:val="21"/>
              </w:rPr>
              <w:t xml:space="preserve">， </w:t>
            </w:r>
            <w:r>
              <w:rPr>
                <w:color w:val="auto"/>
                <w:sz w:val="21"/>
                <w:szCs w:val="21"/>
              </w:rPr>
              <w:t>K≤10</w:t>
            </w:r>
            <w:r>
              <w:rPr>
                <w:color w:val="auto"/>
                <w:position w:val="7"/>
                <w:sz w:val="13"/>
                <w:szCs w:val="13"/>
              </w:rPr>
              <w:t>-7</w:t>
            </w:r>
            <w:r>
              <w:rPr>
                <w:color w:val="auto"/>
                <w:sz w:val="21"/>
                <w:szCs w:val="21"/>
              </w:rPr>
              <w:t>cm/s</w:t>
            </w:r>
            <w:r>
              <w:rPr>
                <w:rFonts w:hint="eastAsia"/>
                <w:color w:val="auto"/>
                <w:spacing w:val="-12"/>
                <w:sz w:val="21"/>
                <w:szCs w:val="21"/>
              </w:rPr>
              <w:t xml:space="preserve">；或参照 </w:t>
            </w:r>
            <w:r>
              <w:rPr>
                <w:color w:val="auto"/>
                <w:sz w:val="21"/>
                <w:szCs w:val="21"/>
              </w:rPr>
              <w:t xml:space="preserve">GB18598 </w:t>
            </w:r>
            <w:r>
              <w:rPr>
                <w:rFonts w:hint="eastAsia"/>
                <w:color w:val="auto"/>
                <w:sz w:val="21"/>
                <w:szCs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8"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中</w:t>
            </w:r>
            <w:r>
              <w:rPr>
                <w:color w:val="auto"/>
                <w:sz w:val="21"/>
                <w:szCs w:val="21"/>
              </w:rPr>
              <w:t>-</w:t>
            </w:r>
            <w:r>
              <w:rPr>
                <w:rFonts w:hint="eastAsia"/>
                <w:color w:val="auto"/>
                <w:sz w:val="21"/>
                <w:szCs w:val="21"/>
              </w:rPr>
              <w:t>强</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难</w:t>
            </w:r>
          </w:p>
        </w:tc>
        <w:tc>
          <w:tcPr>
            <w:tcW w:w="994"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1726"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8"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弱</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易</w:t>
            </w:r>
          </w:p>
        </w:tc>
        <w:tc>
          <w:tcPr>
            <w:tcW w:w="994"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1726"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8" w:type="pct"/>
            <w:vMerge w:val="restart"/>
            <w:tcBorders>
              <w:top w:val="nil"/>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14"/>
                <w:szCs w:val="14"/>
              </w:rPr>
            </w:pPr>
          </w:p>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一般防渗区</w:t>
            </w: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弱</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易</w:t>
            </w:r>
            <w:r>
              <w:rPr>
                <w:color w:val="auto"/>
                <w:sz w:val="21"/>
                <w:szCs w:val="21"/>
              </w:rPr>
              <w:t>-</w:t>
            </w:r>
            <w:r>
              <w:rPr>
                <w:rFonts w:hint="eastAsia"/>
                <w:color w:val="auto"/>
                <w:sz w:val="21"/>
                <w:szCs w:val="21"/>
              </w:rPr>
              <w:t>难</w:t>
            </w:r>
          </w:p>
        </w:tc>
        <w:tc>
          <w:tcPr>
            <w:tcW w:w="994" w:type="pct"/>
            <w:vMerge w:val="restart"/>
            <w:tcBorders>
              <w:top w:val="nil"/>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其他类型</w:t>
            </w:r>
          </w:p>
        </w:tc>
        <w:tc>
          <w:tcPr>
            <w:tcW w:w="1726" w:type="pct"/>
            <w:vMerge w:val="restart"/>
            <w:tcBorders>
              <w:top w:val="nil"/>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pacing w:val="-8"/>
                <w:sz w:val="21"/>
                <w:szCs w:val="21"/>
              </w:rPr>
              <w:t xml:space="preserve">等效黏土防渗层 </w:t>
            </w:r>
            <w:r>
              <w:rPr>
                <w:color w:val="auto"/>
                <w:sz w:val="21"/>
                <w:szCs w:val="21"/>
              </w:rPr>
              <w:t>Mb≥1.5m</w:t>
            </w:r>
            <w:r>
              <w:rPr>
                <w:rFonts w:hint="eastAsia"/>
                <w:color w:val="auto"/>
                <w:sz w:val="21"/>
                <w:szCs w:val="21"/>
              </w:rPr>
              <w:t xml:space="preserve">， </w:t>
            </w:r>
            <w:r>
              <w:rPr>
                <w:color w:val="auto"/>
                <w:sz w:val="21"/>
                <w:szCs w:val="21"/>
              </w:rPr>
              <w:t>K≤10</w:t>
            </w:r>
            <w:r>
              <w:rPr>
                <w:color w:val="auto"/>
                <w:position w:val="7"/>
                <w:sz w:val="13"/>
                <w:szCs w:val="13"/>
              </w:rPr>
              <w:t>-7</w:t>
            </w:r>
            <w:r>
              <w:rPr>
                <w:color w:val="auto"/>
                <w:sz w:val="21"/>
                <w:szCs w:val="21"/>
              </w:rPr>
              <w:t>cm/s</w:t>
            </w:r>
            <w:r>
              <w:rPr>
                <w:rFonts w:hint="eastAsia"/>
                <w:color w:val="auto"/>
                <w:spacing w:val="-12"/>
                <w:sz w:val="21"/>
                <w:szCs w:val="21"/>
              </w:rPr>
              <w:t xml:space="preserve">；或参照 </w:t>
            </w:r>
            <w:r>
              <w:rPr>
                <w:color w:val="auto"/>
                <w:sz w:val="21"/>
                <w:szCs w:val="21"/>
              </w:rPr>
              <w:t xml:space="preserve">GB16889 </w:t>
            </w:r>
            <w:r>
              <w:rPr>
                <w:rFonts w:hint="eastAsia"/>
                <w:color w:val="auto"/>
                <w:sz w:val="21"/>
                <w:szCs w:val="21"/>
              </w:rPr>
              <w:t>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8"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中</w:t>
            </w:r>
            <w:r>
              <w:rPr>
                <w:color w:val="auto"/>
                <w:sz w:val="21"/>
                <w:szCs w:val="21"/>
              </w:rPr>
              <w:t>-</w:t>
            </w:r>
            <w:r>
              <w:rPr>
                <w:rFonts w:hint="eastAsia"/>
                <w:color w:val="auto"/>
                <w:sz w:val="21"/>
                <w:szCs w:val="21"/>
              </w:rPr>
              <w:t>强</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难</w:t>
            </w:r>
          </w:p>
        </w:tc>
        <w:tc>
          <w:tcPr>
            <w:tcW w:w="994"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1726"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8"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中</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易</w:t>
            </w:r>
          </w:p>
        </w:tc>
        <w:tc>
          <w:tcPr>
            <w:tcW w:w="994" w:type="pct"/>
            <w:vMerge w:val="restart"/>
            <w:tcBorders>
              <w:top w:val="nil"/>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重金属、持久性有机物污染物</w:t>
            </w:r>
          </w:p>
        </w:tc>
        <w:tc>
          <w:tcPr>
            <w:tcW w:w="1726"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8" w:type="pct"/>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强</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易</w:t>
            </w:r>
          </w:p>
        </w:tc>
        <w:tc>
          <w:tcPr>
            <w:tcW w:w="994"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c>
          <w:tcPr>
            <w:tcW w:w="1726" w:type="pct"/>
            <w:vMerge w:val="continue"/>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8"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简单防渗区</w:t>
            </w:r>
          </w:p>
        </w:tc>
        <w:tc>
          <w:tcPr>
            <w:tcW w:w="802"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中</w:t>
            </w:r>
            <w:r>
              <w:rPr>
                <w:color w:val="auto"/>
                <w:sz w:val="21"/>
                <w:szCs w:val="21"/>
              </w:rPr>
              <w:t>-</w:t>
            </w:r>
            <w:r>
              <w:rPr>
                <w:rFonts w:hint="eastAsia"/>
                <w:color w:val="auto"/>
                <w:sz w:val="21"/>
                <w:szCs w:val="21"/>
              </w:rPr>
              <w:t>强</w:t>
            </w:r>
          </w:p>
        </w:tc>
        <w:tc>
          <w:tcPr>
            <w:tcW w:w="6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易</w:t>
            </w:r>
          </w:p>
        </w:tc>
        <w:tc>
          <w:tcPr>
            <w:tcW w:w="994"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其他类型</w:t>
            </w:r>
          </w:p>
        </w:tc>
        <w:tc>
          <w:tcPr>
            <w:tcW w:w="1726"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一般地面硬化</w:t>
            </w:r>
          </w:p>
        </w:tc>
      </w:tr>
    </w:tbl>
    <w:p>
      <w:pPr>
        <w:numPr>
          <w:ilvl w:val="0"/>
          <w:numId w:val="35"/>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 xml:space="preserve">  </w:t>
      </w:r>
      <w:r>
        <w:rPr>
          <w:rFonts w:ascii="Times New Roman" w:hAnsi="Times New Roman"/>
          <w:b/>
          <w:color w:val="auto"/>
          <w:sz w:val="21"/>
        </w:rPr>
        <w:t>污染控制难易程度分级参照表</w:t>
      </w:r>
    </w:p>
    <w:tbl>
      <w:tblPr>
        <w:tblStyle w:val="8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87"/>
        <w:gridCol w:w="6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pct"/>
            <w:tcBorders>
              <w:top w:val="single" w:color="000000" w:sz="4" w:space="0"/>
              <w:left w:val="single" w:color="000000" w:sz="4" w:space="0"/>
              <w:bottom w:val="single" w:color="000000" w:sz="4" w:space="0"/>
              <w:right w:val="single" w:color="000000" w:sz="4" w:space="0"/>
            </w:tcBorders>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污染控制难易程度</w:t>
            </w:r>
          </w:p>
        </w:tc>
        <w:tc>
          <w:tcPr>
            <w:tcW w:w="3875" w:type="pct"/>
            <w:tcBorders>
              <w:top w:val="single" w:color="000000" w:sz="4" w:space="0"/>
              <w:left w:val="nil"/>
              <w:bottom w:val="single" w:color="000000" w:sz="4" w:space="0"/>
              <w:right w:val="single" w:color="000000" w:sz="4" w:space="0"/>
            </w:tcBorders>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主要特征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5" w:type="pct"/>
            <w:tcBorders>
              <w:top w:val="single" w:color="000000" w:sz="4" w:space="0"/>
              <w:left w:val="single" w:color="000000" w:sz="4" w:space="0"/>
              <w:bottom w:val="single" w:color="000000" w:sz="4" w:space="0"/>
              <w:right w:val="single" w:color="000000" w:sz="4" w:space="0"/>
            </w:tcBorders>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难</w:t>
            </w:r>
          </w:p>
        </w:tc>
        <w:tc>
          <w:tcPr>
            <w:tcW w:w="3875" w:type="pct"/>
            <w:tcBorders>
              <w:top w:val="single" w:color="000000" w:sz="4" w:space="0"/>
              <w:left w:val="nil"/>
              <w:bottom w:val="single" w:color="000000" w:sz="4" w:space="0"/>
              <w:right w:val="single" w:color="000000" w:sz="4" w:space="0"/>
            </w:tcBorders>
          </w:tcPr>
          <w:p>
            <w:pPr>
              <w:pStyle w:val="788"/>
              <w:keepNext w:val="0"/>
              <w:keepLines w:val="0"/>
              <w:suppressLineNumbers w:val="0"/>
              <w:spacing w:before="0" w:beforeAutospacing="0" w:after="0" w:afterAutospacing="0"/>
              <w:ind w:left="0" w:right="222"/>
              <w:jc w:val="center"/>
              <w:rPr>
                <w:color w:val="auto"/>
                <w:sz w:val="21"/>
                <w:szCs w:val="21"/>
              </w:rPr>
            </w:pPr>
            <w:r>
              <w:rPr>
                <w:rFonts w:hint="eastAsia"/>
                <w:color w:val="auto"/>
                <w:sz w:val="21"/>
                <w:szCs w:val="21"/>
              </w:rPr>
              <w:t>对地下水环境有污染的物料或污染物泄露后，不能及时发现和处理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pct"/>
            <w:tcBorders>
              <w:top w:val="single" w:color="000000" w:sz="4" w:space="0"/>
              <w:left w:val="single" w:color="000000" w:sz="4" w:space="0"/>
              <w:bottom w:val="single" w:color="000000" w:sz="4" w:space="0"/>
              <w:right w:val="single" w:color="000000" w:sz="4" w:space="0"/>
            </w:tcBorders>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易</w:t>
            </w:r>
          </w:p>
        </w:tc>
        <w:tc>
          <w:tcPr>
            <w:tcW w:w="3875" w:type="pct"/>
            <w:tcBorders>
              <w:top w:val="single" w:color="000000" w:sz="4" w:space="0"/>
              <w:left w:val="nil"/>
              <w:bottom w:val="single" w:color="000000" w:sz="4" w:space="0"/>
              <w:right w:val="single" w:color="000000" w:sz="4" w:space="0"/>
            </w:tcBorders>
          </w:tcPr>
          <w:p>
            <w:pPr>
              <w:pStyle w:val="788"/>
              <w:keepNext w:val="0"/>
              <w:keepLines w:val="0"/>
              <w:suppressLineNumbers w:val="0"/>
              <w:spacing w:before="0" w:beforeAutospacing="0" w:after="0" w:afterAutospacing="0"/>
              <w:ind w:left="0" w:right="222"/>
              <w:jc w:val="center"/>
              <w:rPr>
                <w:color w:val="auto"/>
                <w:sz w:val="21"/>
                <w:szCs w:val="21"/>
              </w:rPr>
            </w:pPr>
            <w:r>
              <w:rPr>
                <w:rFonts w:hint="eastAsia"/>
                <w:color w:val="auto"/>
                <w:sz w:val="21"/>
                <w:szCs w:val="21"/>
              </w:rPr>
              <w:t>对地下水环境有污染的物料或污染物泄露后，可及时发现和处理</w:t>
            </w:r>
          </w:p>
        </w:tc>
      </w:tr>
    </w:tbl>
    <w:p>
      <w:pPr>
        <w:numPr>
          <w:ilvl w:val="0"/>
          <w:numId w:val="35"/>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 xml:space="preserve">  </w:t>
      </w:r>
      <w:r>
        <w:rPr>
          <w:rFonts w:ascii="Times New Roman" w:hAnsi="Times New Roman"/>
          <w:b/>
          <w:color w:val="auto"/>
          <w:sz w:val="21"/>
        </w:rPr>
        <w:t>天然包气带防污性能分级参照表</w:t>
      </w:r>
    </w:p>
    <w:tbl>
      <w:tblPr>
        <w:tblStyle w:val="8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8"/>
        <w:gridCol w:w="8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12"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分级</w:t>
            </w:r>
          </w:p>
        </w:tc>
        <w:tc>
          <w:tcPr>
            <w:tcW w:w="4588"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包气带岩土的渗透性能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12"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强</w:t>
            </w:r>
          </w:p>
        </w:tc>
        <w:tc>
          <w:tcPr>
            <w:tcW w:w="4588"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 xml:space="preserve">岩（土）层单层厚度 </w:t>
            </w:r>
            <w:r>
              <w:rPr>
                <w:color w:val="auto"/>
                <w:sz w:val="21"/>
                <w:szCs w:val="21"/>
              </w:rPr>
              <w:t>Mb≥1.0m</w:t>
            </w:r>
            <w:r>
              <w:rPr>
                <w:rFonts w:hint="eastAsia"/>
                <w:color w:val="auto"/>
                <w:sz w:val="21"/>
                <w:szCs w:val="21"/>
              </w:rPr>
              <w:t xml:space="preserve">，渗透系数 </w:t>
            </w:r>
            <w:r>
              <w:rPr>
                <w:color w:val="auto"/>
                <w:sz w:val="21"/>
                <w:szCs w:val="21"/>
              </w:rPr>
              <w:t>K≤10</w:t>
            </w:r>
            <w:r>
              <w:rPr>
                <w:color w:val="auto"/>
                <w:position w:val="7"/>
                <w:sz w:val="13"/>
                <w:szCs w:val="13"/>
              </w:rPr>
              <w:t>-7</w:t>
            </w:r>
            <w:r>
              <w:rPr>
                <w:color w:val="auto"/>
                <w:sz w:val="21"/>
                <w:szCs w:val="21"/>
              </w:rPr>
              <w:t>cm/s</w:t>
            </w:r>
            <w:r>
              <w:rPr>
                <w:rFonts w:hint="eastAsia"/>
                <w:color w:val="auto"/>
                <w:sz w:val="21"/>
                <w:szCs w:val="21"/>
              </w:rPr>
              <w:t>，且分布连续、稳定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12"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bCs/>
                <w:color w:val="auto"/>
                <w:sz w:val="21"/>
                <w:szCs w:val="21"/>
              </w:rPr>
            </w:pPr>
            <w:r>
              <w:rPr>
                <w:rFonts w:hint="eastAsia"/>
                <w:bCs/>
                <w:color w:val="auto"/>
                <w:sz w:val="21"/>
                <w:szCs w:val="21"/>
              </w:rPr>
              <w:t>中</w:t>
            </w:r>
          </w:p>
        </w:tc>
        <w:tc>
          <w:tcPr>
            <w:tcW w:w="4588"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岩（土）</w:t>
            </w:r>
            <w:r>
              <w:rPr>
                <w:rFonts w:hint="eastAsia"/>
                <w:color w:val="auto"/>
                <w:spacing w:val="-11"/>
                <w:sz w:val="21"/>
                <w:szCs w:val="21"/>
              </w:rPr>
              <w:t xml:space="preserve">层单层厚度 </w:t>
            </w:r>
            <w:r>
              <w:rPr>
                <w:color w:val="auto"/>
                <w:sz w:val="21"/>
                <w:szCs w:val="21"/>
              </w:rPr>
              <w:t>0.5m≤Mb&lt;1.0m</w:t>
            </w:r>
            <w:r>
              <w:rPr>
                <w:rFonts w:hint="eastAsia"/>
                <w:color w:val="auto"/>
                <w:spacing w:val="-11"/>
                <w:sz w:val="21"/>
                <w:szCs w:val="21"/>
              </w:rPr>
              <w:t xml:space="preserve">，渗透系数 </w:t>
            </w:r>
            <w:r>
              <w:rPr>
                <w:color w:val="auto"/>
                <w:sz w:val="21"/>
                <w:szCs w:val="21"/>
              </w:rPr>
              <w:t>K≤10</w:t>
            </w:r>
            <w:r>
              <w:rPr>
                <w:color w:val="auto"/>
                <w:position w:val="7"/>
                <w:sz w:val="13"/>
                <w:szCs w:val="13"/>
              </w:rPr>
              <w:t>-7</w:t>
            </w:r>
            <w:r>
              <w:rPr>
                <w:color w:val="auto"/>
                <w:sz w:val="21"/>
                <w:szCs w:val="21"/>
              </w:rPr>
              <w:t>cm/s</w:t>
            </w:r>
            <w:r>
              <w:rPr>
                <w:rFonts w:hint="eastAsia"/>
                <w:color w:val="auto"/>
                <w:sz w:val="21"/>
                <w:szCs w:val="21"/>
              </w:rPr>
              <w:t>，且分布连续、稳定；</w:t>
            </w:r>
          </w:p>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岩（土）</w:t>
            </w:r>
            <w:r>
              <w:rPr>
                <w:rFonts w:hint="eastAsia"/>
                <w:color w:val="auto"/>
                <w:spacing w:val="-10"/>
                <w:sz w:val="21"/>
                <w:szCs w:val="21"/>
              </w:rPr>
              <w:t xml:space="preserve">层单层厚度 </w:t>
            </w:r>
            <w:r>
              <w:rPr>
                <w:color w:val="auto"/>
                <w:sz w:val="21"/>
                <w:szCs w:val="21"/>
              </w:rPr>
              <w:t>Mb≥1.0m</w:t>
            </w:r>
            <w:r>
              <w:rPr>
                <w:rFonts w:hint="eastAsia"/>
                <w:color w:val="auto"/>
                <w:spacing w:val="-10"/>
                <w:sz w:val="21"/>
                <w:szCs w:val="21"/>
              </w:rPr>
              <w:t xml:space="preserve">，渗透系数 </w:t>
            </w:r>
            <w:r>
              <w:rPr>
                <w:color w:val="auto"/>
                <w:sz w:val="21"/>
                <w:szCs w:val="21"/>
              </w:rPr>
              <w:t>10</w:t>
            </w:r>
            <w:r>
              <w:rPr>
                <w:color w:val="auto"/>
                <w:position w:val="7"/>
                <w:sz w:val="13"/>
                <w:szCs w:val="13"/>
              </w:rPr>
              <w:t>-7</w:t>
            </w:r>
            <w:r>
              <w:rPr>
                <w:color w:val="auto"/>
                <w:sz w:val="21"/>
                <w:szCs w:val="21"/>
              </w:rPr>
              <w:t>cm/s&lt;K≤l0</w:t>
            </w:r>
            <w:r>
              <w:rPr>
                <w:color w:val="auto"/>
                <w:position w:val="7"/>
                <w:sz w:val="13"/>
                <w:szCs w:val="13"/>
              </w:rPr>
              <w:t>-4</w:t>
            </w:r>
            <w:r>
              <w:rPr>
                <w:color w:val="auto"/>
                <w:sz w:val="21"/>
                <w:szCs w:val="21"/>
              </w:rPr>
              <w:t>cm/s</w:t>
            </w:r>
            <w:r>
              <w:rPr>
                <w:rFonts w:hint="eastAsia"/>
                <w:color w:val="auto"/>
                <w:sz w:val="21"/>
                <w:szCs w:val="21"/>
              </w:rPr>
              <w:t>，且分布连续、稳定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12"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弱</w:t>
            </w:r>
          </w:p>
        </w:tc>
        <w:tc>
          <w:tcPr>
            <w:tcW w:w="4588"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岩（土）层不满足上述</w:t>
            </w:r>
            <w:r>
              <w:rPr>
                <w:color w:val="auto"/>
                <w:sz w:val="21"/>
                <w:szCs w:val="21"/>
              </w:rPr>
              <w:t>“</w:t>
            </w:r>
            <w:r>
              <w:rPr>
                <w:rFonts w:hint="eastAsia"/>
                <w:color w:val="auto"/>
                <w:sz w:val="21"/>
                <w:szCs w:val="21"/>
              </w:rPr>
              <w:t>强</w:t>
            </w:r>
            <w:r>
              <w:rPr>
                <w:color w:val="auto"/>
                <w:sz w:val="21"/>
                <w:szCs w:val="21"/>
              </w:rPr>
              <w:t>”</w:t>
            </w:r>
            <w:r>
              <w:rPr>
                <w:rFonts w:hint="eastAsia"/>
                <w:color w:val="auto"/>
                <w:sz w:val="21"/>
                <w:szCs w:val="21"/>
              </w:rPr>
              <w:t>和</w:t>
            </w:r>
            <w:r>
              <w:rPr>
                <w:color w:val="auto"/>
                <w:sz w:val="21"/>
                <w:szCs w:val="21"/>
              </w:rPr>
              <w:t>“</w:t>
            </w:r>
            <w:r>
              <w:rPr>
                <w:rFonts w:hint="eastAsia"/>
                <w:color w:val="auto"/>
                <w:sz w:val="21"/>
                <w:szCs w:val="21"/>
              </w:rPr>
              <w:t>中</w:t>
            </w:r>
            <w:r>
              <w:rPr>
                <w:color w:val="auto"/>
                <w:sz w:val="21"/>
                <w:szCs w:val="21"/>
              </w:rPr>
              <w:t>”</w:t>
            </w:r>
            <w:r>
              <w:rPr>
                <w:rFonts w:hint="eastAsia"/>
                <w:color w:val="auto"/>
                <w:sz w:val="21"/>
                <w:szCs w:val="21"/>
              </w:rPr>
              <w:t>条件</w:t>
            </w:r>
          </w:p>
        </w:tc>
      </w:tr>
    </w:tbl>
    <w:p>
      <w:pPr>
        <w:ind w:firstLine="480"/>
        <w:rPr>
          <w:rFonts w:ascii="Times New Roman" w:hAnsi="Times New Roman"/>
          <w:color w:val="auto"/>
        </w:rPr>
      </w:pPr>
      <w:r>
        <w:rPr>
          <w:rFonts w:ascii="Times New Roman" w:hAnsi="Times New Roman"/>
          <w:color w:val="auto"/>
        </w:rPr>
        <w:t>根据工程生产工艺、设备布置、污染物性质、污染物产生及处理、事故水收集和建筑物的构筑方式，结合本项目总平面布置情况，参照表</w:t>
      </w:r>
      <w:r>
        <w:rPr>
          <w:rFonts w:hint="eastAsia" w:ascii="Times New Roman" w:hAnsi="Times New Roman"/>
          <w:color w:val="auto"/>
        </w:rPr>
        <w:t>6-4</w:t>
      </w:r>
      <w:r>
        <w:rPr>
          <w:rFonts w:ascii="Times New Roman" w:hAnsi="Times New Roman"/>
          <w:color w:val="auto"/>
        </w:rPr>
        <w:t>和表</w:t>
      </w:r>
      <w:r>
        <w:rPr>
          <w:rFonts w:hint="eastAsia" w:ascii="Times New Roman" w:hAnsi="Times New Roman"/>
          <w:color w:val="auto"/>
        </w:rPr>
        <w:t>6-5</w:t>
      </w:r>
      <w:r>
        <w:rPr>
          <w:rFonts w:ascii="Times New Roman" w:hAnsi="Times New Roman"/>
          <w:color w:val="auto"/>
        </w:rPr>
        <w:t>进行相关等级的确定，将本项目区分为一般防渗区和简单防渗区，根据不同的分区采取不同的防渗措施。</w:t>
      </w:r>
    </w:p>
    <w:p>
      <w:pPr>
        <w:ind w:firstLine="480"/>
        <w:rPr>
          <w:rFonts w:ascii="Times New Roman" w:hAnsi="Times New Roman"/>
          <w:color w:val="auto"/>
        </w:rPr>
      </w:pPr>
      <w:r>
        <w:rPr>
          <w:rFonts w:hint="eastAsia" w:ascii="Times New Roman" w:hAnsi="Times New Roman"/>
          <w:color w:val="auto"/>
        </w:rPr>
        <w:t>一般污染防治区是指裸露于地面的生产单元，污染地下水环境的物料或污染物泄漏后，可及时发现和处理的区域或部位。本次将危废仓库、循环水池划定为一般防渗区。</w:t>
      </w:r>
    </w:p>
    <w:p>
      <w:pPr>
        <w:ind w:firstLine="480"/>
        <w:rPr>
          <w:rFonts w:ascii="Times New Roman" w:hAnsi="Times New Roman"/>
          <w:color w:val="auto"/>
        </w:rPr>
      </w:pPr>
      <w:r>
        <w:rPr>
          <w:rFonts w:hint="eastAsia" w:ascii="Times New Roman" w:hAnsi="Times New Roman"/>
          <w:color w:val="auto"/>
        </w:rPr>
        <w:t>简单防渗区指没有物料或污染物堆放泄露，不会对地下水环境造成污染的区域或部位。本次将办公区、生产车间、一般固废堆放处等地区，划定为简单防渗区。</w:t>
      </w:r>
    </w:p>
    <w:p>
      <w:pPr>
        <w:ind w:firstLine="480"/>
        <w:rPr>
          <w:rFonts w:ascii="Times New Roman" w:hAnsi="Times New Roman"/>
          <w:color w:val="auto"/>
        </w:rPr>
      </w:pPr>
      <w:r>
        <w:rPr>
          <w:rFonts w:ascii="Times New Roman" w:hAnsi="Times New Roman"/>
          <w:color w:val="auto"/>
        </w:rPr>
        <w:t>具体分区情况见表</w:t>
      </w:r>
      <w:r>
        <w:rPr>
          <w:rFonts w:hint="eastAsia" w:ascii="Times New Roman" w:hAnsi="Times New Roman"/>
          <w:color w:val="auto"/>
        </w:rPr>
        <w:t>6-6</w:t>
      </w:r>
      <w:r>
        <w:rPr>
          <w:rFonts w:ascii="Times New Roman" w:hAnsi="Times New Roman"/>
          <w:color w:val="auto"/>
        </w:rPr>
        <w:t>。</w:t>
      </w:r>
    </w:p>
    <w:p>
      <w:pPr>
        <w:numPr>
          <w:ilvl w:val="0"/>
          <w:numId w:val="35"/>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 xml:space="preserve">  </w:t>
      </w:r>
      <w:r>
        <w:rPr>
          <w:rFonts w:ascii="Times New Roman" w:hAnsi="Times New Roman"/>
          <w:b/>
          <w:color w:val="auto"/>
          <w:sz w:val="21"/>
        </w:rPr>
        <w:t>本项目分区防治措施一览表</w:t>
      </w:r>
    </w:p>
    <w:tbl>
      <w:tblPr>
        <w:tblStyle w:val="8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1"/>
        <w:gridCol w:w="1325"/>
        <w:gridCol w:w="3930"/>
        <w:gridCol w:w="2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7"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序号</w:t>
            </w:r>
          </w:p>
        </w:tc>
        <w:tc>
          <w:tcPr>
            <w:tcW w:w="7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分区</w:t>
            </w:r>
          </w:p>
        </w:tc>
        <w:tc>
          <w:tcPr>
            <w:tcW w:w="222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说明</w:t>
            </w:r>
          </w:p>
        </w:tc>
        <w:tc>
          <w:tcPr>
            <w:tcW w:w="1628"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厂区具体点分布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397"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1</w:t>
            </w:r>
          </w:p>
        </w:tc>
        <w:tc>
          <w:tcPr>
            <w:tcW w:w="7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一般防渗区</w:t>
            </w:r>
          </w:p>
        </w:tc>
        <w:tc>
          <w:tcPr>
            <w:tcW w:w="222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裸露于地面的生产单元，污染地下水环境的物料或污染物泄漏后，可及时发现和处理的区域或部位。</w:t>
            </w:r>
          </w:p>
        </w:tc>
        <w:tc>
          <w:tcPr>
            <w:tcW w:w="1628"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危废仓库、循环水池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6" w:hRule="atLeast"/>
        </w:trPr>
        <w:tc>
          <w:tcPr>
            <w:tcW w:w="397" w:type="pct"/>
            <w:tcBorders>
              <w:top w:val="single" w:color="000000" w:sz="4" w:space="0"/>
              <w:left w:val="single" w:color="000000" w:sz="4" w:space="0"/>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2</w:t>
            </w:r>
          </w:p>
        </w:tc>
        <w:tc>
          <w:tcPr>
            <w:tcW w:w="750"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简单防渗区</w:t>
            </w:r>
          </w:p>
        </w:tc>
        <w:tc>
          <w:tcPr>
            <w:tcW w:w="2225"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没有物料或污染物堆放泄露，不会对地下水环境造成污染的区域或部位。</w:t>
            </w:r>
          </w:p>
        </w:tc>
        <w:tc>
          <w:tcPr>
            <w:tcW w:w="1628" w:type="pct"/>
            <w:tcBorders>
              <w:top w:val="single" w:color="000000" w:sz="4" w:space="0"/>
              <w:left w:val="nil"/>
              <w:bottom w:val="single" w:color="000000" w:sz="4" w:space="0"/>
              <w:right w:val="single" w:color="000000" w:sz="4" w:space="0"/>
            </w:tcBorders>
            <w:vAlign w:val="center"/>
          </w:tcPr>
          <w:p>
            <w:pPr>
              <w:pStyle w:val="788"/>
              <w:keepNext w:val="0"/>
              <w:keepLines w:val="0"/>
              <w:suppressLineNumbers w:val="0"/>
              <w:spacing w:before="0" w:beforeAutospacing="0" w:after="0" w:afterAutospacing="0"/>
              <w:ind w:left="0" w:right="0"/>
              <w:jc w:val="center"/>
              <w:rPr>
                <w:color w:val="auto"/>
                <w:sz w:val="21"/>
                <w:szCs w:val="21"/>
              </w:rPr>
            </w:pPr>
            <w:r>
              <w:rPr>
                <w:rFonts w:hint="eastAsia"/>
                <w:color w:val="auto"/>
              </w:rPr>
              <w:t>办公区、生产车间、一般固废堆放处等</w:t>
            </w:r>
          </w:p>
        </w:tc>
      </w:tr>
    </w:tbl>
    <w:p>
      <w:pPr>
        <w:ind w:firstLine="480"/>
        <w:rPr>
          <w:rFonts w:ascii="Times New Roman" w:hAnsi="Times New Roman"/>
          <w:color w:val="auto"/>
        </w:rPr>
      </w:pPr>
      <w:r>
        <w:rPr>
          <w:color w:val="auto"/>
          <w:szCs w:val="24"/>
        </w:rPr>
        <w:t>②防治措施</w:t>
      </w:r>
    </w:p>
    <w:p>
      <w:pPr>
        <w:snapToGrid w:val="0"/>
        <w:spacing w:line="240" w:lineRule="auto"/>
        <w:ind w:right="-89" w:rightChars="-37"/>
        <w:jc w:val="center"/>
        <w:rPr>
          <w:rFonts w:ascii="Times New Roman" w:hAnsi="Times New Roman"/>
          <w:color w:val="auto"/>
          <w:sz w:val="10"/>
          <w:szCs w:val="10"/>
        </w:rPr>
      </w:pPr>
    </w:p>
    <w:p>
      <w:pPr>
        <w:ind w:firstLine="482"/>
        <w:rPr>
          <w:rFonts w:ascii="Times New Roman" w:hAnsi="Times New Roman"/>
          <w:color w:val="auto"/>
        </w:rPr>
      </w:pPr>
      <w:r>
        <w:rPr>
          <w:rFonts w:ascii="Times New Roman" w:hAnsi="Times New Roman"/>
          <w:b/>
          <w:bCs/>
          <w:color w:val="auto"/>
        </w:rPr>
        <w:t>一般污染防治区：</w:t>
      </w:r>
      <w:r>
        <w:rPr>
          <w:rFonts w:ascii="Times New Roman" w:hAnsi="Times New Roman"/>
          <w:color w:val="auto"/>
        </w:rPr>
        <w:t>为保护厂址区地下水环境，结合场地实际情况，整个厂区用夯实素土进行基础防渗。且在各建筑物地面及墙体侧面地面以上0.3m以下部位应采用人工防渗材料进行防渗，一般污染防治区防渗层的防渗性能不应低于1.5m厚渗透系数为10</w:t>
      </w:r>
      <w:r>
        <w:rPr>
          <w:rFonts w:ascii="Times New Roman" w:hAnsi="Times New Roman"/>
          <w:color w:val="auto"/>
          <w:vertAlign w:val="superscript"/>
        </w:rPr>
        <w:t>-7</w:t>
      </w:r>
      <w:r>
        <w:rPr>
          <w:rFonts w:ascii="Times New Roman" w:hAnsi="Times New Roman"/>
          <w:color w:val="auto"/>
        </w:rPr>
        <w:t>cm/s 的黏土层的防渗性能。</w:t>
      </w:r>
    </w:p>
    <w:p>
      <w:pPr>
        <w:ind w:right="-91" w:rightChars="-38" w:firstLine="482"/>
        <w:rPr>
          <w:rFonts w:ascii="Times New Roman" w:hAnsi="Times New Roman"/>
          <w:color w:val="auto"/>
        </w:rPr>
      </w:pPr>
      <w:r>
        <w:rPr>
          <w:rFonts w:ascii="Times New Roman" w:hAnsi="Times New Roman"/>
          <w:b/>
          <w:bCs/>
          <w:color w:val="auto"/>
        </w:rPr>
        <w:t>简单防渗区：</w:t>
      </w:r>
      <w:r>
        <w:rPr>
          <w:rFonts w:ascii="Times New Roman" w:hAnsi="Times New Roman"/>
          <w:color w:val="auto"/>
        </w:rPr>
        <w:t>不会对地下水环境造成污染的区域。</w:t>
      </w: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firstLine="480"/>
        <w:rPr>
          <w:rFonts w:ascii="Times New Roman" w:hAnsi="Times New Roman"/>
          <w:color w:val="auto"/>
        </w:rPr>
      </w:pPr>
      <w:r>
        <w:rPr>
          <w:rFonts w:hint="default" w:ascii="Times New Roman" w:hAnsi="Times New Roman" w:eastAsia="宋体" w:cs="Times New Roman"/>
          <w:color w:val="auto"/>
          <w:kern w:val="2"/>
          <w:sz w:val="24"/>
          <w:szCs w:val="21"/>
          <w:lang w:val="en-US" w:eastAsia="zh-CN" w:bidi="ar"/>
        </w:rPr>
        <w:pict>
          <v:group id="_x0000_s6046" o:spid="_x0000_s6046" o:spt="203" style="position:absolute;left:0pt;margin-left:8pt;margin-top:-19.2pt;height:301.1pt;width:421.25pt;mso-wrap-distance-left:9pt;mso-wrap-distance-right:9pt;z-index:-251658240;mso-width-relative:page;mso-height-relative:page;" coordorigin="6474,2711" coordsize="8425,6022" wrapcoords="21592 -2 0 0 0 21600 21592 21602 8 21602 21600 21600 21600 0 8 -2 21592 -2" editas="canvas">
            <o:lock v:ext="edit"/>
            <v:shape id="_x0000_s6047" o:spid="_x0000_s6047" o:spt="75" type="#_x0000_t75" style="position:absolute;left:6474;top:2711;height:6022;width:8425;" filled="f" stroked="f" coordsize="21600,21600">
              <v:path/>
              <v:fill on="f" focussize="0,0"/>
              <v:stroke on="f"/>
              <v:imagedata o:title=""/>
              <o:lock v:ext="edit" text="t" aspectratio="t"/>
            </v:shape>
            <v:rect id="_x0000_s6048" o:spid="_x0000_s6048" o:spt="1" style="position:absolute;left:11855;top:7783;height:537;width:669;" fillcolor="#FFFFFF" filled="t" stroked="t" coordsize="21600,21600">
              <v:path/>
              <v:fill on="t" color2="#FFFFFF" focussize="0,0"/>
              <v:stroke color="#FF0000" joinstyle="miter"/>
              <v:imagedata o:title=""/>
              <o:lock v:ext="edit" aspectratio="f"/>
            </v:rect>
            <v:shape id="_x0000_s6049" o:spid="_x0000_s6049" o:spt="202" type="#_x0000_t202" style="position:absolute;left:13147;top:5108;height:1680;width:540;" fillcolor="#FFFFFF" filled="t" stroked="t" coordsize="21600,21600">
              <v:path/>
              <v:fill on="t" color2="#FFFFFF" focussize="0,0"/>
              <v:stroke color="#FF0000" joinstyle="miter"/>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8"/>
                        <w:szCs w:val="21"/>
                        <w:lang w:val="en-US"/>
                      </w:rPr>
                    </w:pPr>
                    <w:r>
                      <w:rPr>
                        <w:rFonts w:hint="eastAsia" w:ascii="宋体" w:hAnsi="宋体" w:eastAsia="宋体" w:cs="Times New Roman"/>
                        <w:color w:val="auto"/>
                        <w:kern w:val="2"/>
                        <w:sz w:val="18"/>
                        <w:szCs w:val="21"/>
                        <w:lang w:val="en-US" w:eastAsia="zh-CN" w:bidi="ar"/>
                      </w:rPr>
                      <w:t>循环水池</w:t>
                    </w:r>
                  </w:p>
                </w:txbxContent>
              </v:textbox>
            </v:shape>
            <v:shape id="_x0000_s6050" o:spid="_x0000_s6050" o:spt="202" type="#_x0000_t202" style="position:absolute;left:12395;top:7783;height:680;width:1292;"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lang w:val="en-US"/>
                      </w:rPr>
                    </w:pPr>
                    <w:r>
                      <w:rPr>
                        <w:rFonts w:hint="eastAsia" w:cs="Times New Roman"/>
                        <w:color w:val="auto"/>
                        <w:kern w:val="2"/>
                        <w:sz w:val="16"/>
                        <w:szCs w:val="21"/>
                        <w:lang w:val="en-US" w:eastAsia="zh-CN" w:bidi="ar"/>
                      </w:rPr>
                      <w:t>一般防渗区</w:t>
                    </w:r>
                  </w:p>
                </w:txbxContent>
              </v:textbox>
            </v:shape>
            <v:shape id="_x0000_s6051" o:spid="_x0000_s6051" o:spt="202" type="#_x0000_t202" style="position:absolute;left:8840;top:5033;height:680;width:1292;"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6"/>
                        <w:szCs w:val="21"/>
                        <w:lang w:val="en-US"/>
                      </w:rPr>
                    </w:pPr>
                    <w:r>
                      <w:rPr>
                        <w:rFonts w:hint="eastAsia" w:ascii="宋体" w:hAnsi="宋体" w:eastAsia="宋体" w:cs="Times New Roman"/>
                        <w:color w:val="auto"/>
                        <w:kern w:val="2"/>
                        <w:sz w:val="16"/>
                        <w:szCs w:val="21"/>
                        <w:lang w:val="en-US" w:eastAsia="zh-CN" w:bidi="ar"/>
                      </w:rPr>
                      <w:t>生产车间</w:t>
                    </w:r>
                  </w:p>
                  <w:p>
                    <w:pPr>
                      <w:keepNext w:val="0"/>
                      <w:keepLines w:val="0"/>
                      <w:widowControl w:val="0"/>
                      <w:suppressLineNumbers w:val="0"/>
                      <w:spacing w:before="0" w:beforeAutospacing="0" w:after="0" w:afterAutospacing="0" w:line="360" w:lineRule="auto"/>
                      <w:ind w:left="0" w:right="0" w:firstLine="0" w:firstLineChars="0"/>
                      <w:jc w:val="center"/>
                      <w:rPr>
                        <w:lang w:val="en-US"/>
                      </w:rPr>
                    </w:pPr>
                  </w:p>
                </w:txbxContent>
              </v:textbox>
            </v:shape>
            <v:rect id="_x0000_s6052" o:spid="_x0000_s6052" o:spt="1" style="position:absolute;left:7462;top:3709;height:4074;width:3700;rotation:-1043092f;" fillcolor="#FFFFFF" filled="t" stroked="t" coordsize="21600,21600">
              <v:path/>
              <v:fill on="t" color2="#FFFFFF" focussize="0,0"/>
              <v:stroke color="#0070C0" joinstyle="miter"/>
              <v:imagedata o:title=""/>
              <o:lock v:ext="edit" aspectratio="f"/>
            </v:rect>
            <v:shape id="_x0000_s6053" o:spid="_x0000_s6053" o:spt="202" type="#_x0000_t202" style="position:absolute;left:9967;top:3430;height:657;width:694;"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both"/>
                    </w:pPr>
                    <w:r>
                      <w:rPr>
                        <w:rFonts w:hint="eastAsia" w:ascii="宋体" w:hAnsi="宋体" w:eastAsia="宋体" w:cs="Times New Roman"/>
                        <w:color w:val="000000"/>
                        <w:kern w:val="2"/>
                        <w:sz w:val="24"/>
                        <w:szCs w:val="21"/>
                        <w:lang w:val="en-US" w:eastAsia="zh-CN" w:bidi="ar"/>
                      </w:rPr>
                      <w:t>2F</w:t>
                    </w:r>
                  </w:p>
                </w:txbxContent>
              </v:textbox>
            </v:shape>
            <v:rect id="_x0000_s6054" o:spid="_x0000_s6054" o:spt="1" style="position:absolute;left:7721;top:6514;height:325;width:973;rotation:4849924f;" fillcolor="#FFFFFF" filled="t" stroked="t" coordsize="21600,21600">
              <v:path/>
              <v:fill on="t" color2="#FFFFFF" focussize="0,0"/>
              <v:stroke color="#FF0000" joinstyle="miter"/>
              <v:imagedata o:title=""/>
              <o:lock v:ext="edit" aspectratio="f"/>
            </v:rect>
            <v:rect id="_x0000_s6055" o:spid="_x0000_s6055" o:spt="1" style="position:absolute;left:8422;top:6304;height:325;width:973;rotation:4849924f;" fillcolor="#FFFFFF" filled="t" stroked="t" coordsize="21600,21600">
              <v:path/>
              <v:fill on="t" color2="#FFFFFF" focussize="0,0"/>
              <v:stroke color="#FF0000" joinstyle="miter"/>
              <v:imagedata o:title=""/>
              <o:lock v:ext="edit" aspectratio="f"/>
            </v:rect>
            <v:rect id="_x0000_s6056" o:spid="_x0000_s6056" o:spt="1" style="position:absolute;left:9032;top:6139;height:325;width:973;rotation:4849924f;" fillcolor="#FFFFFF" filled="t" stroked="t" coordsize="21600,21600">
              <v:path/>
              <v:fill on="t" color2="#FFFFFF" focussize="0,0"/>
              <v:stroke color="#FF0000" joinstyle="miter"/>
              <v:imagedata o:title=""/>
              <o:lock v:ext="edit" aspectratio="f"/>
            </v:rect>
            <v:rect id="_x0000_s6057" o:spid="_x0000_s6057" o:spt="1" style="position:absolute;left:9643;top:5959;height:325;width:973;rotation:4849924f;" fillcolor="#FFFFFF" filled="t" stroked="t" coordsize="21600,21600">
              <v:path/>
              <v:fill on="t" color2="#FFFFFF" focussize="0,0"/>
              <v:stroke color="#FF0000" joinstyle="miter"/>
              <v:imagedata o:title=""/>
              <o:lock v:ext="edit" aspectratio="f"/>
            </v:rect>
            <v:rect id="_x0000_s6058" o:spid="_x0000_s6058" o:spt="1" style="position:absolute;left:10337;top:5766;height:325;width:973;rotation:4849924f;" fillcolor="#FFFFFF" filled="t" stroked="t" coordsize="21600,21600">
              <v:path/>
              <v:fill on="t" color2="#FFFFFF" focussize="0,0"/>
              <v:stroke color="#FF0000" joinstyle="miter"/>
              <v:imagedata o:title=""/>
              <o:lock v:ext="edit" aspectratio="f"/>
            </v:rect>
            <v:rect id="_x0000_s6060" o:spid="_x0000_s6060" o:spt="1" style="position:absolute;left:6757;top:2994;height:520;width:660;" fillcolor="#FFFFFF" filled="t" stroked="t" coordsize="21600,21600">
              <v:path/>
              <v:fill on="t" color2="#FFFFFF" focussize="0,0"/>
              <v:stroke color="#0070C0" joinstyle="miter"/>
              <v:imagedata o:title=""/>
              <o:lock v:ext="edit" aspectratio="f"/>
            </v:rect>
            <v:shape id="_x0000_s6061" o:spid="_x0000_s6061" o:spt="202" type="#_x0000_t202" style="position:absolute;left:7342;top:2994;height:680;width:1280;"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lang w:val="en-US"/>
                      </w:rPr>
                    </w:pPr>
                    <w:r>
                      <w:rPr>
                        <w:rFonts w:hint="eastAsia" w:cs="Times New Roman"/>
                        <w:color w:val="auto"/>
                        <w:kern w:val="2"/>
                        <w:sz w:val="16"/>
                        <w:szCs w:val="21"/>
                        <w:lang w:val="en-US" w:eastAsia="zh-CN" w:bidi="ar"/>
                      </w:rPr>
                      <w:t>简单防渗区</w:t>
                    </w:r>
                  </w:p>
                </w:txbxContent>
              </v:textbox>
            </v:shape>
            <w10:wrap type="tight"/>
            <w10:anchorlock/>
          </v:group>
        </w:pict>
      </w:r>
    </w:p>
    <w:p>
      <w:pPr>
        <w:ind w:left="0" w:leftChars="0" w:right="-91" w:rightChars="-38" w:firstLine="0" w:firstLineChars="0"/>
        <w:jc w:val="both"/>
        <w:rPr>
          <w:rFonts w:hint="eastAsia" w:ascii="Times New Roman" w:hAnsi="Times New Roman"/>
          <w:color w:val="auto"/>
        </w:rPr>
      </w:pPr>
      <w:r>
        <w:rPr>
          <w:rFonts w:hint="default" w:ascii="Times New Roman" w:hAnsi="Times New Roman" w:eastAsia="宋体" w:cs="Times New Roman"/>
          <w:color w:val="auto"/>
          <w:kern w:val="2"/>
          <w:sz w:val="24"/>
          <w:szCs w:val="21"/>
          <w:lang w:val="en-US" w:eastAsia="zh-CN" w:bidi="ar"/>
        </w:rPr>
        <w:pict>
          <v:group id="_x0000_s6075" o:spid="_x0000_s6075" o:spt="203" style="position:absolute;left:0pt;margin-left:24.2pt;margin-top:-1.15pt;height:302.25pt;width:422.85pt;mso-wrap-distance-left:9pt;mso-wrap-distance-right:9pt;z-index:-251658240;mso-width-relative:page;mso-height-relative:page;" coordorigin="6474,2711" coordsize="8457,6045" wrapcoords="21592 -2 0 0 0 21600 21592 21602 8 21602 21600 21600 21600 0 8 -2 21592 -2" editas="canvas">
            <o:lock v:ext="edit"/>
            <v:shape id="_x0000_s6076" o:spid="_x0000_s6076" o:spt="75" type="#_x0000_t75" style="position:absolute;left:6474;top:2711;height:6045;width:8457;" filled="f" stroked="f" coordsize="21600,21600">
              <v:path/>
              <v:fill on="f" focussize="0,0"/>
              <v:stroke on="f"/>
              <v:imagedata o:title=""/>
              <o:lock v:ext="edit" text="t" aspectratio="t"/>
            </v:shape>
            <v:rect id="_x0000_s6077" o:spid="_x0000_s6077" o:spt="1" style="position:absolute;left:11855;top:7783;height:537;width:669;" fillcolor="#FFFFFF" filled="t" stroked="t" coordsize="21600,21600">
              <v:path/>
              <v:fill on="t" color2="#FFFFFF" focussize="0,0"/>
              <v:stroke color="#0070C0" joinstyle="miter"/>
              <v:imagedata o:title=""/>
              <o:lock v:ext="edit" aspectratio="f"/>
            </v:rect>
            <v:shape id="_x0000_s6078" o:spid="_x0000_s6078" o:spt="202" type="#_x0000_t202" style="position:absolute;left:11855;top:2956;height:1680;width:540;" fillcolor="#FFFFFF" filled="t" stroked="t" coordsize="21600,21600">
              <v:path/>
              <v:fill on="t" color2="#FFFFFF" focussize="0,0"/>
              <v:stroke color="#FF0000" joinstyle="miter"/>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8"/>
                        <w:szCs w:val="21"/>
                        <w:lang w:val="en-US"/>
                      </w:rPr>
                    </w:pPr>
                    <w:r>
                      <w:rPr>
                        <w:rFonts w:hint="eastAsia" w:ascii="宋体" w:hAnsi="宋体" w:eastAsia="宋体" w:cs="Times New Roman"/>
                        <w:color w:val="auto"/>
                        <w:kern w:val="2"/>
                        <w:sz w:val="18"/>
                        <w:szCs w:val="21"/>
                        <w:lang w:val="en-US" w:eastAsia="zh-CN" w:bidi="ar"/>
                      </w:rPr>
                      <w:t>循环水池</w:t>
                    </w:r>
                  </w:p>
                </w:txbxContent>
              </v:textbox>
            </v:shape>
            <v:shape id="_x0000_s6079" o:spid="_x0000_s6079" o:spt="202" type="#_x0000_t202" style="position:absolute;left:12395;top:7783;height:680;width:1292;"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6"/>
                        <w:szCs w:val="21"/>
                        <w:lang w:val="en-US"/>
                      </w:rPr>
                    </w:pPr>
                    <w:r>
                      <w:rPr>
                        <w:rFonts w:hint="eastAsia" w:ascii="宋体" w:hAnsi="宋体" w:eastAsia="宋体" w:cs="Times New Roman"/>
                        <w:color w:val="auto"/>
                        <w:kern w:val="2"/>
                        <w:sz w:val="16"/>
                        <w:szCs w:val="21"/>
                        <w:lang w:val="en-US" w:eastAsia="zh-CN" w:bidi="ar"/>
                      </w:rPr>
                      <w:t>简单防渗区</w:t>
                    </w:r>
                  </w:p>
                  <w:p>
                    <w:pPr>
                      <w:keepNext w:val="0"/>
                      <w:keepLines w:val="0"/>
                      <w:widowControl w:val="0"/>
                      <w:suppressLineNumbers w:val="0"/>
                      <w:spacing w:before="0" w:beforeAutospacing="0" w:after="0" w:afterAutospacing="0" w:line="360" w:lineRule="auto"/>
                      <w:ind w:left="0" w:right="0" w:firstLine="0" w:firstLineChars="0"/>
                      <w:jc w:val="center"/>
                      <w:rPr>
                        <w:lang w:val="en-US"/>
                      </w:rPr>
                    </w:pPr>
                  </w:p>
                </w:txbxContent>
              </v:textbox>
            </v:shape>
            <v:shape id="_x0000_s6080" o:spid="_x0000_s6080" o:spt="202" type="#_x0000_t202" style="position:absolute;left:8840;top:5033;height:680;width:1292;"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6"/>
                        <w:szCs w:val="21"/>
                        <w:lang w:val="en-US"/>
                      </w:rPr>
                    </w:pPr>
                    <w:r>
                      <w:rPr>
                        <w:rFonts w:hint="eastAsia" w:ascii="宋体" w:hAnsi="宋体" w:eastAsia="宋体" w:cs="Times New Roman"/>
                        <w:color w:val="auto"/>
                        <w:kern w:val="2"/>
                        <w:sz w:val="16"/>
                        <w:szCs w:val="21"/>
                        <w:lang w:val="en-US" w:eastAsia="zh-CN" w:bidi="ar"/>
                      </w:rPr>
                      <w:t>生产车间</w:t>
                    </w:r>
                  </w:p>
                  <w:p>
                    <w:pPr>
                      <w:keepNext w:val="0"/>
                      <w:keepLines w:val="0"/>
                      <w:widowControl w:val="0"/>
                      <w:suppressLineNumbers w:val="0"/>
                      <w:spacing w:before="0" w:beforeAutospacing="0" w:after="0" w:afterAutospacing="0" w:line="360" w:lineRule="auto"/>
                      <w:ind w:left="0" w:right="0" w:firstLine="0" w:firstLineChars="0"/>
                      <w:jc w:val="center"/>
                      <w:rPr>
                        <w:lang w:val="en-US"/>
                      </w:rPr>
                    </w:pPr>
                  </w:p>
                </w:txbxContent>
              </v:textbox>
            </v:shape>
            <v:rect id="_x0000_s6081" o:spid="_x0000_s6081" o:spt="1" style="position:absolute;left:7462;top:3709;height:4074;width:3700;rotation:-1043092f;" fillcolor="#FFFFFF" filled="t" stroked="t" coordsize="21600,21600">
              <v:path/>
              <v:fill on="t" color2="#FFFFFF" focussize="0,0"/>
              <v:stroke color="#0070C0" joinstyle="miter"/>
              <v:imagedata o:title=""/>
              <o:lock v:ext="edit" aspectratio="f"/>
            </v:rect>
            <v:shape id="_x0000_s6082" o:spid="_x0000_s6082" o:spt="202" type="#_x0000_t202" style="position:absolute;left:9967;top:3430;height:657;width:694;"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both"/>
                    </w:pPr>
                    <w:r>
                      <w:rPr>
                        <w:rFonts w:hint="eastAsia" w:ascii="宋体" w:hAnsi="宋体" w:eastAsia="宋体" w:cs="Times New Roman"/>
                        <w:color w:val="000000"/>
                        <w:kern w:val="2"/>
                        <w:sz w:val="24"/>
                        <w:szCs w:val="21"/>
                        <w:lang w:val="en-US" w:eastAsia="zh-CN" w:bidi="ar"/>
                      </w:rPr>
                      <w:t>3F</w:t>
                    </w:r>
                  </w:p>
                </w:txbxContent>
              </v:textbox>
            </v:shape>
            <v:rect id="_x0000_s6083" o:spid="_x0000_s6083" o:spt="1" style="position:absolute;left:10337;top:5766;height:325;width:973;rotation:4849924f;" fillcolor="#FFFFFF" filled="t" stroked="t" coordsize="21600,21600">
              <v:path/>
              <v:fill on="t" color2="#FFFFFF" focussize="0,0"/>
              <v:stroke color="#FF0000" joinstyle="miter"/>
              <v:imagedata o:title=""/>
              <o:lock v:ext="edit" aspectratio="f"/>
            </v:rect>
            <v:rect id="_x0000_s6084" o:spid="_x0000_s6084" o:spt="1" style="position:absolute;left:9954;top:6579;height:813;width:840;rotation:4849924f;" fillcolor="#FFFFFF" filled="t" stroked="t" coordsize="21600,21600">
              <v:path/>
              <v:fill on="t" color2="#FFFFFF" focussize="0,0"/>
              <v:stroke color="#FF0000" joinstyle="miter"/>
              <v:imagedata o:title=""/>
              <o:lock v:ext="edit" aspectratio="f"/>
            </v:rect>
            <v:shape id="_x0000_s6085" o:spid="_x0000_s6085" o:spt="202" type="#_x0000_t202" style="position:absolute;left:12524;top:3430;height:737;width:816;" fillcolor="#FFFFFF" filled="t" stroked="t" coordsize="21600,21600">
              <v:path/>
              <v:fill on="t" color2="#FFFFFF" focussize="0,0"/>
              <v:stroke color="#FF0000" joinstyle="miter"/>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left"/>
                      <w:rPr>
                        <w:color w:val="auto"/>
                        <w:sz w:val="18"/>
                        <w:szCs w:val="21"/>
                        <w:lang w:val="en-US"/>
                      </w:rPr>
                    </w:pPr>
                    <w:r>
                      <w:rPr>
                        <w:rFonts w:hint="eastAsia" w:ascii="宋体" w:hAnsi="宋体" w:eastAsia="宋体" w:cs="Times New Roman"/>
                        <w:color w:val="auto"/>
                        <w:kern w:val="2"/>
                        <w:sz w:val="18"/>
                        <w:szCs w:val="21"/>
                        <w:lang w:val="en-US" w:eastAsia="zh-CN" w:bidi="ar"/>
                      </w:rPr>
                      <w:t>危废仓库</w:t>
                    </w:r>
                  </w:p>
                </w:txbxContent>
              </v:textbox>
            </v:shape>
            <v:rect id="_x0000_s6086" o:spid="_x0000_s6086" o:spt="1" style="position:absolute;left:11855;top:7106;height:537;width:669;" fillcolor="#FFFFFF" filled="t" stroked="t" coordsize="21600,21600">
              <v:path/>
              <v:fill on="t" color2="#FFFFFF" focussize="0,0"/>
              <v:stroke color="#FF0000" joinstyle="miter"/>
              <v:imagedata o:title=""/>
              <o:lock v:ext="edit" aspectratio="f"/>
            </v:rect>
            <v:shape id="_x0000_s6087" o:spid="_x0000_s6087" o:spt="202" type="#_x0000_t202" style="position:absolute;left:12524;top:7106;height:680;width:1292;"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6"/>
                        <w:szCs w:val="21"/>
                        <w:lang w:val="en-US"/>
                      </w:rPr>
                    </w:pPr>
                    <w:r>
                      <w:rPr>
                        <w:rFonts w:hint="eastAsia" w:ascii="宋体" w:hAnsi="宋体" w:eastAsia="宋体" w:cs="Times New Roman"/>
                        <w:color w:val="auto"/>
                        <w:kern w:val="2"/>
                        <w:sz w:val="16"/>
                        <w:szCs w:val="21"/>
                        <w:lang w:val="en-US" w:eastAsia="zh-CN" w:bidi="ar"/>
                      </w:rPr>
                      <w:t>一般防渗区</w:t>
                    </w:r>
                  </w:p>
                  <w:p>
                    <w:pPr>
                      <w:keepNext w:val="0"/>
                      <w:keepLines w:val="0"/>
                      <w:widowControl w:val="0"/>
                      <w:suppressLineNumbers w:val="0"/>
                      <w:spacing w:before="0" w:beforeAutospacing="0" w:after="0" w:afterAutospacing="0" w:line="360" w:lineRule="auto"/>
                      <w:ind w:left="0" w:right="0" w:firstLine="0" w:firstLineChars="0"/>
                      <w:jc w:val="center"/>
                      <w:rPr>
                        <w:lang w:val="en-US"/>
                      </w:rPr>
                    </w:pPr>
                  </w:p>
                </w:txbxContent>
              </v:textbox>
            </v:shape>
            <w10:wrap type="tight"/>
            <w10:anchorlock/>
          </v:group>
        </w:pict>
      </w:r>
    </w:p>
    <w:p>
      <w:pPr>
        <w:ind w:right="-91" w:rightChars="-38" w:firstLine="480"/>
        <w:rPr>
          <w:rFonts w:ascii="Times New Roman" w:hAnsi="Times New Roman"/>
          <w:color w:val="auto"/>
        </w:rPr>
      </w:pPr>
      <w:r>
        <w:rPr>
          <w:color w:val="auto"/>
          <w:sz w:val="24"/>
        </w:rPr>
        <w:pict>
          <v:shape id="_x0000_s6088" o:spid="_x0000_s6088" o:spt="202" type="#_x0000_t202" style="position:absolute;left:0pt;margin-left:109.25pt;margin-top:-18.8pt;height:39.05pt;width:217pt;z-index:251659264;mso-width-relative:page;mso-height-relative:page;" fillcolor="#FFFFFF" filled="t" stroked="t" coordsize="21600,21600">
            <v:path/>
            <v:fill on="t" color2="#FFFFFF" focussize="0,0"/>
            <v:stroke color="#FFFFFF" endarrow="block"/>
            <v:imagedata o:title=""/>
            <o:lock v:ext="edit" aspectratio="f"/>
            <v:textbox>
              <w:txbxContent>
                <w:p>
                  <w:pPr>
                    <w:ind w:right="-91" w:rightChars="-38" w:firstLine="480"/>
                    <w:jc w:val="center"/>
                    <w:rPr>
                      <w:rFonts w:ascii="Times New Roman" w:hAnsi="Times New Roman"/>
                      <w:color w:val="auto"/>
                    </w:rPr>
                  </w:pPr>
                  <w:r>
                    <w:rPr>
                      <w:rFonts w:hint="eastAsia" w:ascii="Times New Roman" w:hAnsi="Times New Roman"/>
                      <w:color w:val="auto"/>
                    </w:rPr>
                    <w:t>图6.5-1 分区防渗图</w:t>
                  </w:r>
                </w:p>
                <w:p/>
              </w:txbxContent>
            </v:textbox>
          </v:shape>
        </w:pict>
      </w:r>
    </w:p>
    <w:p>
      <w:pPr>
        <w:ind w:right="-91" w:rightChars="-38" w:firstLine="480"/>
        <w:rPr>
          <w:rFonts w:ascii="Times New Roman" w:hAnsi="Times New Roman"/>
          <w:color w:val="auto"/>
        </w:rPr>
      </w:pPr>
    </w:p>
    <w:p>
      <w:pPr>
        <w:ind w:right="-91" w:rightChars="-38" w:firstLine="480"/>
        <w:rPr>
          <w:rFonts w:ascii="Times New Roman" w:hAnsi="Times New Roman"/>
          <w:color w:val="auto"/>
        </w:rPr>
      </w:pPr>
    </w:p>
    <w:p>
      <w:pPr>
        <w:ind w:right="-91" w:rightChars="-38"/>
        <w:jc w:val="center"/>
        <w:rPr>
          <w:rFonts w:hint="eastAsia" w:ascii="Times New Roman" w:hAnsi="Times New Roman"/>
          <w:color w:val="auto"/>
        </w:rPr>
      </w:pPr>
    </w:p>
    <w:p>
      <w:pPr>
        <w:ind w:right="-91" w:rightChars="-38"/>
        <w:jc w:val="center"/>
        <w:rPr>
          <w:rFonts w:hint="eastAsia" w:ascii="Times New Roman" w:hAnsi="Times New Roman"/>
          <w:color w:val="auto"/>
        </w:rPr>
      </w:pPr>
    </w:p>
    <w:p>
      <w:pPr>
        <w:ind w:right="-91" w:rightChars="-38"/>
        <w:jc w:val="center"/>
        <w:rPr>
          <w:rFonts w:ascii="Times New Roman" w:hAnsi="Times New Roman"/>
          <w:color w:val="auto"/>
        </w:rPr>
      </w:pPr>
      <w:r>
        <w:rPr>
          <w:rFonts w:hint="default" w:ascii="Times New Roman" w:hAnsi="Times New Roman" w:eastAsia="宋体" w:cs="Times New Roman"/>
          <w:color w:val="auto"/>
          <w:kern w:val="2"/>
          <w:sz w:val="24"/>
          <w:szCs w:val="21"/>
          <w:lang w:val="en-US" w:eastAsia="zh-CN" w:bidi="ar"/>
        </w:rPr>
        <w:pict>
          <v:group id="_x0000_s6062" o:spid="_x0000_s6062" o:spt="203" style="position:absolute;left:0pt;margin-left:14.4pt;margin-top:-12.85pt;height:301.1pt;width:421.25pt;mso-wrap-distance-left:9pt;mso-wrap-distance-right:9pt;z-index:-251658240;mso-width-relative:page;mso-height-relative:page;" coordorigin="6474,2711" coordsize="8425,6022" wrapcoords="21592 -2 0 0 0 21600 21592 21602 8 21602 21600 21600 21600 0 8 -2 21592 -2" editas="canvas">
            <o:lock v:ext="edit"/>
            <v:shape id="_x0000_s6063" o:spid="_x0000_s6063" o:spt="75" type="#_x0000_t75" style="position:absolute;left:6474;top:2711;height:6022;width:8425;" filled="f" stroked="f" coordsize="21600,21600">
              <v:path/>
              <v:fill on="f" focussize="0,0"/>
              <v:stroke on="f"/>
              <v:imagedata o:title=""/>
              <o:lock v:ext="edit" text="t" aspectratio="t"/>
            </v:shape>
            <v:rect id="_x0000_s6064" o:spid="_x0000_s6064" o:spt="1" style="position:absolute;left:11855;top:7783;height:537;width:669;" fillcolor="#FFFFFF" filled="t" stroked="t" coordsize="21600,21600">
              <v:path/>
              <v:fill on="t" color2="#FFFFFF" focussize="0,0"/>
              <v:stroke color="#0070C0" joinstyle="miter"/>
              <v:imagedata o:title=""/>
              <o:lock v:ext="edit" aspectratio="f"/>
            </v:rect>
            <v:shape id="_x0000_s6066" o:spid="_x0000_s6066" o:spt="202" type="#_x0000_t202" style="position:absolute;left:12395;top:7783;height:680;width:1292;"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6"/>
                        <w:szCs w:val="21"/>
                        <w:lang w:val="en-US"/>
                      </w:rPr>
                    </w:pPr>
                    <w:r>
                      <w:rPr>
                        <w:rFonts w:hint="eastAsia" w:ascii="宋体" w:hAnsi="宋体" w:eastAsia="宋体" w:cs="Times New Roman"/>
                        <w:color w:val="auto"/>
                        <w:kern w:val="2"/>
                        <w:sz w:val="16"/>
                        <w:szCs w:val="21"/>
                        <w:lang w:val="en-US" w:eastAsia="zh-CN" w:bidi="ar"/>
                      </w:rPr>
                      <w:t>简单防渗区</w:t>
                    </w:r>
                  </w:p>
                  <w:p>
                    <w:pPr>
                      <w:keepNext w:val="0"/>
                      <w:keepLines w:val="0"/>
                      <w:widowControl w:val="0"/>
                      <w:suppressLineNumbers w:val="0"/>
                      <w:spacing w:before="0" w:beforeAutospacing="0" w:after="0" w:afterAutospacing="0" w:line="360" w:lineRule="auto"/>
                      <w:ind w:left="0" w:right="0" w:firstLine="0" w:firstLineChars="0"/>
                      <w:jc w:val="center"/>
                      <w:rPr>
                        <w:lang w:val="en-US"/>
                      </w:rPr>
                    </w:pPr>
                  </w:p>
                </w:txbxContent>
              </v:textbox>
            </v:shape>
            <v:shape id="_x0000_s6067" o:spid="_x0000_s6067" o:spt="202" type="#_x0000_t202" style="position:absolute;left:8840;top:5033;height:680;width:1292;"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line="360" w:lineRule="auto"/>
                      <w:ind w:left="0" w:right="0" w:firstLine="0" w:firstLineChars="0"/>
                      <w:jc w:val="center"/>
                      <w:rPr>
                        <w:color w:val="auto"/>
                        <w:sz w:val="16"/>
                        <w:szCs w:val="21"/>
                        <w:lang w:val="en-US"/>
                      </w:rPr>
                    </w:pPr>
                    <w:r>
                      <w:rPr>
                        <w:rFonts w:hint="eastAsia" w:ascii="宋体" w:hAnsi="宋体" w:eastAsia="宋体" w:cs="Times New Roman"/>
                        <w:color w:val="auto"/>
                        <w:kern w:val="2"/>
                        <w:sz w:val="16"/>
                        <w:szCs w:val="21"/>
                        <w:lang w:val="en-US" w:eastAsia="zh-CN" w:bidi="ar"/>
                      </w:rPr>
                      <w:t>生产车间</w:t>
                    </w:r>
                  </w:p>
                  <w:p>
                    <w:pPr>
                      <w:keepNext w:val="0"/>
                      <w:keepLines w:val="0"/>
                      <w:widowControl w:val="0"/>
                      <w:suppressLineNumbers w:val="0"/>
                      <w:spacing w:before="0" w:beforeAutospacing="0" w:after="0" w:afterAutospacing="0" w:line="360" w:lineRule="auto"/>
                      <w:ind w:left="0" w:right="0" w:firstLine="0" w:firstLineChars="0"/>
                      <w:jc w:val="center"/>
                      <w:rPr>
                        <w:lang w:val="en-US"/>
                      </w:rPr>
                    </w:pPr>
                  </w:p>
                </w:txbxContent>
              </v:textbox>
            </v:shape>
            <v:rect id="_x0000_s6068" o:spid="_x0000_s6068" o:spt="1" style="position:absolute;left:7462;top:3709;height:4074;width:3700;rotation:-1043092f;" fillcolor="#FFFFFF" filled="t" stroked="t" coordsize="21600,21600">
              <v:path/>
              <v:fill on="t" color2="#FFFFFF" focussize="0,0"/>
              <v:stroke color="#0070C0" joinstyle="miter"/>
              <v:imagedata o:title=""/>
              <o:lock v:ext="edit" aspectratio="f"/>
            </v:rect>
            <w10:wrap type="tight"/>
            <w10:anchorlock/>
          </v:group>
        </w:pict>
      </w:r>
      <w:r>
        <w:rPr>
          <w:rFonts w:hint="eastAsia" w:ascii="Times New Roman" w:hAnsi="Times New Roman"/>
          <w:color w:val="auto"/>
        </w:rPr>
        <w:t>图6.5-2 分区防渗图（其余楼层）</w:t>
      </w:r>
    </w:p>
    <w:p>
      <w:pPr>
        <w:pStyle w:val="592"/>
        <w:numPr>
          <w:ilvl w:val="0"/>
          <w:numId w:val="33"/>
        </w:numPr>
        <w:rPr>
          <w:color w:val="auto"/>
        </w:rPr>
      </w:pPr>
      <w:bookmarkStart w:id="106" w:name="_Toc37350077"/>
      <w:bookmarkStart w:id="107" w:name="_Toc323721034"/>
      <w:bookmarkStart w:id="108" w:name="_Toc444610501"/>
      <w:bookmarkStart w:id="109" w:name="_Toc374918328"/>
      <w:r>
        <w:rPr>
          <w:color w:val="auto"/>
        </w:rPr>
        <w:t>事故排放防治措施</w:t>
      </w:r>
      <w:bookmarkEnd w:id="106"/>
      <w:bookmarkEnd w:id="107"/>
      <w:bookmarkEnd w:id="108"/>
      <w:bookmarkEnd w:id="109"/>
    </w:p>
    <w:p>
      <w:pPr>
        <w:ind w:firstLine="480"/>
        <w:rPr>
          <w:rFonts w:ascii="Times New Roman" w:hAnsi="Times New Roman"/>
          <w:color w:val="auto"/>
        </w:rPr>
      </w:pPr>
      <w:r>
        <w:rPr>
          <w:rFonts w:ascii="Times New Roman" w:hAnsi="Times New Roman"/>
          <w:color w:val="auto"/>
        </w:rPr>
        <w:t>为避免事故排放的发生以及降低事故发生时的环境影响，建议建设项目采取以下环保措施：</w:t>
      </w:r>
    </w:p>
    <w:p>
      <w:pPr>
        <w:ind w:firstLine="480"/>
        <w:rPr>
          <w:rFonts w:ascii="Times New Roman" w:hAnsi="Times New Roman"/>
          <w:color w:val="auto"/>
        </w:rPr>
      </w:pPr>
      <w:r>
        <w:rPr>
          <w:rFonts w:ascii="Times New Roman" w:hAnsi="Times New Roman"/>
          <w:color w:val="auto"/>
        </w:rPr>
        <w:t>（1）设专业人员加强运营管理，加强废气处理装置的维护工作，保证装置的处理效率。</w:t>
      </w:r>
    </w:p>
    <w:p>
      <w:pPr>
        <w:ind w:firstLine="480"/>
        <w:rPr>
          <w:rFonts w:ascii="Times New Roman" w:hAnsi="Times New Roman"/>
          <w:color w:val="auto"/>
        </w:rPr>
      </w:pPr>
      <w:r>
        <w:rPr>
          <w:rFonts w:ascii="Times New Roman" w:hAnsi="Times New Roman"/>
          <w:color w:val="auto"/>
        </w:rPr>
        <w:t>（2）加强对废气治理设施的监控，设置专职人员对废气治理设施的运行状况进行监控，并记录运行参数，一旦出现非正常情况，操作人员应立即进入现场查找原因，并组织抢修组人员进行抢修，无法维修的设备和配件及时进行更换。必要时，停止生产，并向有关部门报告，待故障排除后再启动生产。</w:t>
      </w:r>
    </w:p>
    <w:p>
      <w:pPr>
        <w:pStyle w:val="592"/>
        <w:numPr>
          <w:ilvl w:val="0"/>
          <w:numId w:val="33"/>
        </w:numPr>
        <w:rPr>
          <w:color w:val="auto"/>
        </w:rPr>
      </w:pPr>
      <w:bookmarkStart w:id="110" w:name="_Toc37350078"/>
      <w:r>
        <w:rPr>
          <w:color w:val="auto"/>
        </w:rPr>
        <w:t>污染防治对策汇总</w:t>
      </w:r>
      <w:bookmarkEnd w:id="110"/>
    </w:p>
    <w:p>
      <w:pPr>
        <w:pStyle w:val="235"/>
        <w:spacing w:line="360" w:lineRule="auto"/>
        <w:ind w:firstLine="480" w:firstLineChars="200"/>
        <w:rPr>
          <w:rFonts w:cs="Times New Roman"/>
          <w:color w:val="auto"/>
        </w:rPr>
      </w:pPr>
      <w:r>
        <w:rPr>
          <w:color w:val="auto"/>
        </w:rPr>
        <w:t>项目需采取的污染防治对策汇总详见表6-</w:t>
      </w:r>
      <w:r>
        <w:rPr>
          <w:rFonts w:hint="eastAsia"/>
          <w:color w:val="auto"/>
        </w:rPr>
        <w:t>5</w:t>
      </w:r>
      <w:r>
        <w:rPr>
          <w:color w:val="auto"/>
        </w:rPr>
        <w:t>。本项目总投资约</w:t>
      </w:r>
      <w:r>
        <w:rPr>
          <w:rFonts w:hint="eastAsia"/>
          <w:color w:val="auto"/>
        </w:rPr>
        <w:t>1000</w:t>
      </w:r>
      <w:r>
        <w:rPr>
          <w:color w:val="auto"/>
        </w:rPr>
        <w:t>万元，环保投资费用约为</w:t>
      </w:r>
      <w:r>
        <w:rPr>
          <w:rFonts w:hint="eastAsia"/>
          <w:color w:val="auto"/>
        </w:rPr>
        <w:t>46</w:t>
      </w:r>
      <w:r>
        <w:rPr>
          <w:color w:val="auto"/>
        </w:rPr>
        <w:t>万元，污染治理主要为废气治理</w:t>
      </w:r>
      <w:r>
        <w:rPr>
          <w:rFonts w:hint="eastAsia"/>
          <w:color w:val="auto"/>
        </w:rPr>
        <w:t>、固废</w:t>
      </w:r>
      <w:r>
        <w:rPr>
          <w:color w:val="auto"/>
        </w:rPr>
        <w:t>及噪声治理等，项目建成后环保投资占总投资的</w:t>
      </w:r>
      <w:r>
        <w:rPr>
          <w:rFonts w:hint="eastAsia"/>
          <w:color w:val="auto"/>
        </w:rPr>
        <w:t>4.6</w:t>
      </w:r>
      <w:r>
        <w:rPr>
          <w:color w:val="auto"/>
        </w:rPr>
        <w:t>%</w:t>
      </w:r>
      <w:r>
        <w:rPr>
          <w:rFonts w:cs="Times New Roman"/>
          <w:color w:val="auto"/>
        </w:rPr>
        <w:t>。</w:t>
      </w:r>
    </w:p>
    <w:p>
      <w:pPr>
        <w:spacing w:line="240" w:lineRule="auto"/>
        <w:ind w:firstLine="0" w:firstLineChars="0"/>
        <w:jc w:val="center"/>
        <w:rPr>
          <w:rFonts w:ascii="Times New Roman" w:hAnsi="Times New Roman"/>
          <w:b/>
          <w:color w:val="auto"/>
          <w:sz w:val="21"/>
        </w:rPr>
      </w:pPr>
      <w:r>
        <w:rPr>
          <w:rFonts w:hint="eastAsia" w:ascii="Times New Roman" w:hAnsi="Times New Roman"/>
          <w:b/>
          <w:color w:val="auto"/>
          <w:sz w:val="21"/>
        </w:rPr>
        <w:t xml:space="preserve">表6-5 </w:t>
      </w:r>
      <w:r>
        <w:rPr>
          <w:rFonts w:ascii="Times New Roman" w:hAnsi="Times New Roman"/>
          <w:b/>
          <w:color w:val="auto"/>
          <w:sz w:val="21"/>
        </w:rPr>
        <w:t>本项目污染防治措施汇总</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591"/>
        <w:gridCol w:w="5315"/>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13"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污染类型</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污染防治对策</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废水</w:t>
            </w: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废水</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sz w:val="21"/>
              </w:rPr>
              <w:t>造粒冷却水和喷射塔废水循环使用，不外排。</w:t>
            </w:r>
            <w:r>
              <w:rPr>
                <w:rFonts w:ascii="Times New Roman" w:hAnsi="Times New Roman"/>
                <w:color w:val="auto"/>
                <w:sz w:val="21"/>
              </w:rPr>
              <w:t>生活</w:t>
            </w:r>
            <w:r>
              <w:rPr>
                <w:rFonts w:hint="eastAsia" w:ascii="Times New Roman" w:hAnsi="Times New Roman"/>
                <w:color w:val="auto"/>
                <w:sz w:val="21"/>
              </w:rPr>
              <w:t>污</w:t>
            </w:r>
            <w:r>
              <w:rPr>
                <w:rFonts w:ascii="Times New Roman" w:hAnsi="Times New Roman"/>
                <w:color w:val="auto"/>
                <w:sz w:val="21"/>
              </w:rPr>
              <w:t>水</w:t>
            </w:r>
            <w:r>
              <w:rPr>
                <w:rFonts w:hint="eastAsia" w:ascii="Times New Roman" w:hAnsi="Times New Roman"/>
                <w:color w:val="auto"/>
                <w:sz w:val="21"/>
              </w:rPr>
              <w:t>经</w:t>
            </w:r>
            <w:r>
              <w:rPr>
                <w:rFonts w:ascii="Times New Roman" w:hAnsi="Times New Roman"/>
                <w:color w:val="auto"/>
                <w:sz w:val="21"/>
              </w:rPr>
              <w:t>化粪池预处理达《污水综合排放标准》（GB8978-1996）三级标准后</w:t>
            </w:r>
            <w:r>
              <w:rPr>
                <w:rFonts w:hint="eastAsia" w:ascii="Times New Roman" w:hAnsi="Times New Roman"/>
                <w:color w:val="auto"/>
                <w:sz w:val="21"/>
              </w:rPr>
              <w:t>排入污水管网，</w:t>
            </w:r>
            <w:r>
              <w:rPr>
                <w:rStyle w:val="782"/>
                <w:rFonts w:hint="default" w:ascii="Times New Roman" w:hAnsi="Times New Roman"/>
                <w:color w:val="auto"/>
                <w:sz w:val="21"/>
                <w:szCs w:val="21"/>
              </w:rPr>
              <w:t>最终进入苍南县临港产业基地启动区污水处理厂处理达标后排放</w:t>
            </w:r>
            <w:r>
              <w:rPr>
                <w:rFonts w:hint="eastAsia" w:ascii="Times New Roman" w:hAnsi="Times New Roman"/>
                <w:color w:val="auto"/>
                <w:sz w:val="21"/>
              </w:rPr>
              <w:t>。</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废气</w:t>
            </w: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有机废气</w:t>
            </w:r>
            <w:r>
              <w:rPr>
                <w:rFonts w:hint="eastAsia" w:ascii="Times New Roman" w:hAnsi="Times New Roman"/>
                <w:color w:val="auto"/>
                <w:kern w:val="0"/>
                <w:sz w:val="21"/>
              </w:rPr>
              <w:t>、氨</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造粒车间</w:t>
            </w:r>
            <w:r>
              <w:rPr>
                <w:rFonts w:ascii="Times New Roman" w:hAnsi="Times New Roman"/>
                <w:color w:val="auto"/>
                <w:kern w:val="0"/>
                <w:sz w:val="21"/>
              </w:rPr>
              <w:t>各</w:t>
            </w:r>
            <w:r>
              <w:rPr>
                <w:rFonts w:hint="eastAsia" w:ascii="Times New Roman" w:hAnsi="Times New Roman"/>
                <w:color w:val="auto"/>
                <w:kern w:val="0"/>
                <w:sz w:val="21"/>
              </w:rPr>
              <w:t>熔融</w:t>
            </w:r>
            <w:r>
              <w:rPr>
                <w:rFonts w:ascii="Times New Roman" w:hAnsi="Times New Roman"/>
                <w:color w:val="auto"/>
                <w:kern w:val="0"/>
                <w:sz w:val="21"/>
              </w:rPr>
              <w:t>挤出机机头上方设置集气罩，业主单位应委托有资质的单位设计并安装集气罩，废气收集后经</w:t>
            </w:r>
            <w:r>
              <w:rPr>
                <w:rFonts w:ascii="Times New Roman" w:hAnsi="Times New Roman"/>
                <w:color w:val="auto"/>
                <w:sz w:val="21"/>
              </w:rPr>
              <w:t>喷射塔+</w:t>
            </w:r>
            <w:r>
              <w:rPr>
                <w:rFonts w:hint="eastAsia" w:ascii="Times New Roman" w:hAnsi="Times New Roman"/>
                <w:color w:val="auto"/>
                <w:sz w:val="21"/>
              </w:rPr>
              <w:t>油烟净化器+</w:t>
            </w:r>
            <w:r>
              <w:rPr>
                <w:rFonts w:ascii="Times New Roman" w:hAnsi="Times New Roman"/>
                <w:color w:val="auto"/>
                <w:sz w:val="21"/>
              </w:rPr>
              <w:t>UV光氧+活性炭装置</w:t>
            </w:r>
            <w:r>
              <w:rPr>
                <w:rFonts w:hint="eastAsia" w:ascii="Times New Roman" w:hAnsi="Times New Roman"/>
                <w:color w:val="auto"/>
                <w:kern w:val="0"/>
                <w:sz w:val="21"/>
              </w:rPr>
              <w:t>净化后通过20m高的排气筒高空排放。</w:t>
            </w:r>
          </w:p>
        </w:tc>
        <w:tc>
          <w:tcPr>
            <w:tcW w:w="1312"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粉尘</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spacing w:val="-4"/>
                <w:sz w:val="21"/>
              </w:rPr>
              <w:t>破碎</w:t>
            </w:r>
            <w:r>
              <w:rPr>
                <w:rFonts w:ascii="Times New Roman" w:hAnsi="Times New Roman"/>
                <w:color w:val="auto"/>
                <w:sz w:val="21"/>
              </w:rPr>
              <w:t>粉尘收集经布袋除尘处理后</w:t>
            </w:r>
            <w:r>
              <w:rPr>
                <w:rFonts w:hint="eastAsia" w:ascii="Times New Roman" w:hAnsi="Times New Roman"/>
                <w:color w:val="auto"/>
                <w:sz w:val="21"/>
              </w:rPr>
              <w:t>高空排放（</w:t>
            </w:r>
            <w:r>
              <w:rPr>
                <w:rFonts w:ascii="Times New Roman" w:hAnsi="Times New Roman"/>
                <w:color w:val="auto"/>
                <w:sz w:val="21"/>
              </w:rPr>
              <w:t>2</w:t>
            </w:r>
            <w:r>
              <w:rPr>
                <w:rFonts w:hint="eastAsia" w:ascii="Times New Roman" w:hAnsi="Times New Roman"/>
                <w:color w:val="auto"/>
                <w:sz w:val="21"/>
              </w:rPr>
              <w:t>0</w:t>
            </w:r>
            <w:r>
              <w:rPr>
                <w:rFonts w:ascii="Times New Roman" w:hAnsi="Times New Roman"/>
                <w:color w:val="auto"/>
                <w:sz w:val="21"/>
              </w:rPr>
              <w:t>m），废气收集率不小于 85%，除尘效率不低于 9</w:t>
            </w:r>
            <w:r>
              <w:rPr>
                <w:rFonts w:hint="eastAsia" w:ascii="Times New Roman" w:hAnsi="Times New Roman"/>
                <w:color w:val="auto"/>
                <w:sz w:val="21"/>
              </w:rPr>
              <w:t>9</w:t>
            </w:r>
            <w:r>
              <w:rPr>
                <w:rFonts w:ascii="Times New Roman" w:hAnsi="Times New Roman"/>
                <w:color w:val="auto"/>
                <w:sz w:val="21"/>
              </w:rPr>
              <w:t>%。</w:t>
            </w:r>
          </w:p>
        </w:tc>
        <w:tc>
          <w:tcPr>
            <w:tcW w:w="131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臭气</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spacing w:val="-4"/>
                <w:sz w:val="21"/>
              </w:rPr>
              <w:t>加强对车间通风换气，保持车间内空气流通。</w:t>
            </w:r>
          </w:p>
        </w:tc>
        <w:tc>
          <w:tcPr>
            <w:tcW w:w="131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噪声</w:t>
            </w: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车间噪声</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在设备选取时应考虑低噪声要求，采用高效低噪声设备，做好消声、隔声、减震等措施。加强设备的维护，确保设备处于良好的运转状态。</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固废</w:t>
            </w:r>
          </w:p>
        </w:tc>
        <w:tc>
          <w:tcPr>
            <w:tcW w:w="159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危险废物、一般废物</w:t>
            </w:r>
          </w:p>
        </w:tc>
        <w:tc>
          <w:tcPr>
            <w:tcW w:w="531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分类、处理</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1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环境风险</w:t>
            </w:r>
          </w:p>
        </w:tc>
        <w:tc>
          <w:tcPr>
            <w:tcW w:w="531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编制应急预案</w:t>
            </w:r>
            <w:r>
              <w:rPr>
                <w:rFonts w:hint="eastAsia" w:ascii="Times New Roman" w:hAnsi="Times New Roman"/>
                <w:color w:val="auto"/>
                <w:sz w:val="21"/>
              </w:rPr>
              <w:t>、应急物资、日常演练等</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1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环境监测</w:t>
            </w:r>
          </w:p>
        </w:tc>
        <w:tc>
          <w:tcPr>
            <w:tcW w:w="531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大气、噪声、废水自行监测等</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8"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环保设施运行费用</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8"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合计</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fldChar w:fldCharType="begin"/>
            </w:r>
            <w:r>
              <w:rPr>
                <w:rFonts w:ascii="Times New Roman" w:hAnsi="Times New Roman"/>
                <w:color w:val="auto"/>
                <w:kern w:val="0"/>
                <w:sz w:val="21"/>
              </w:rPr>
              <w:instrText xml:space="preserve"> </w:instrText>
            </w:r>
            <w:r>
              <w:rPr>
                <w:rFonts w:hint="eastAsia" w:ascii="Times New Roman" w:hAnsi="Times New Roman"/>
                <w:color w:val="auto"/>
                <w:kern w:val="0"/>
                <w:sz w:val="21"/>
              </w:rPr>
              <w:instrText xml:space="preserve">=SUM(ABOVE)</w:instrText>
            </w:r>
            <w:r>
              <w:rPr>
                <w:rFonts w:ascii="Times New Roman" w:hAnsi="Times New Roman"/>
                <w:color w:val="auto"/>
                <w:kern w:val="0"/>
                <w:sz w:val="21"/>
              </w:rPr>
              <w:instrText xml:space="preserve"> </w:instrText>
            </w:r>
            <w:r>
              <w:rPr>
                <w:rFonts w:ascii="Times New Roman" w:hAnsi="Times New Roman"/>
                <w:color w:val="auto"/>
                <w:kern w:val="0"/>
                <w:sz w:val="21"/>
              </w:rPr>
              <w:fldChar w:fldCharType="separate"/>
            </w:r>
            <w:r>
              <w:rPr>
                <w:rFonts w:ascii="Times New Roman" w:hAnsi="Times New Roman"/>
                <w:color w:val="auto"/>
                <w:kern w:val="0"/>
                <w:sz w:val="21"/>
              </w:rPr>
              <w:t>46</w:t>
            </w:r>
            <w:r>
              <w:rPr>
                <w:rFonts w:ascii="Times New Roman" w:hAnsi="Times New Roman"/>
                <w:color w:val="auto"/>
                <w:kern w:val="0"/>
                <w:sz w:val="21"/>
              </w:rPr>
              <w:fldChar w:fldCharType="end"/>
            </w:r>
          </w:p>
        </w:tc>
      </w:tr>
    </w:tbl>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480"/>
        <w:rPr>
          <w:rFonts w:ascii="Times New Roman" w:hAnsi="Times New Roman"/>
          <w:color w:val="auto"/>
        </w:rPr>
      </w:pPr>
    </w:p>
    <w:p>
      <w:pPr>
        <w:widowControl/>
        <w:ind w:firstLine="0" w:firstLineChars="0"/>
        <w:rPr>
          <w:rFonts w:ascii="Times New Roman" w:hAnsi="Times New Roman"/>
          <w:color w:val="auto"/>
        </w:rPr>
      </w:pPr>
    </w:p>
    <w:p>
      <w:pPr>
        <w:pStyle w:val="438"/>
        <w:spacing w:before="240" w:line="360" w:lineRule="auto"/>
        <w:rPr>
          <w:color w:val="auto"/>
          <w:kern w:val="44"/>
        </w:rPr>
      </w:pPr>
      <w:bookmarkStart w:id="111" w:name="_Toc37350079"/>
      <w:r>
        <w:rPr>
          <w:color w:val="auto"/>
          <w:kern w:val="44"/>
        </w:rPr>
        <w:t>环境影响经济损益分析</w:t>
      </w:r>
      <w:bookmarkEnd w:id="83"/>
      <w:bookmarkEnd w:id="111"/>
      <w:bookmarkStart w:id="112" w:name="_Toc314092987"/>
      <w:bookmarkStart w:id="113" w:name="_Toc140815929"/>
    </w:p>
    <w:p>
      <w:pPr>
        <w:pStyle w:val="592"/>
        <w:numPr>
          <w:ilvl w:val="0"/>
          <w:numId w:val="36"/>
        </w:numPr>
        <w:rPr>
          <w:color w:val="auto"/>
        </w:rPr>
      </w:pPr>
      <w:bookmarkStart w:id="114" w:name="_Toc37350080"/>
      <w:r>
        <w:rPr>
          <w:color w:val="auto"/>
          <w:kern w:val="0"/>
        </w:rPr>
        <w:t>项目实施后环境影响预测与环境质量现状比较</w:t>
      </w:r>
      <w:bookmarkEnd w:id="114"/>
    </w:p>
    <w:p>
      <w:pPr>
        <w:widowControl/>
        <w:ind w:firstLine="480"/>
        <w:rPr>
          <w:rFonts w:ascii="Times New Roman" w:hAnsi="Times New Roman"/>
          <w:color w:val="auto"/>
          <w:kern w:val="0"/>
          <w:szCs w:val="24"/>
        </w:rPr>
      </w:pPr>
      <w:r>
        <w:rPr>
          <w:rFonts w:ascii="Times New Roman" w:hAnsi="Times New Roman"/>
          <w:color w:val="auto"/>
          <w:kern w:val="0"/>
          <w:szCs w:val="24"/>
        </w:rPr>
        <w:t>根据对建设项目周边的大气环境质量、地表水环境质量、地下水环境质量、声环境质量现状等进行监测和分析，同时，在严格落实本环评提出的各项污染防治措施后，本项目各污染物均能做到达标排放，对周边环境影响较小，不会造成区域环境质量现状恶化。</w:t>
      </w:r>
    </w:p>
    <w:p>
      <w:pPr>
        <w:pStyle w:val="592"/>
        <w:numPr>
          <w:ilvl w:val="0"/>
          <w:numId w:val="36"/>
        </w:numPr>
        <w:rPr>
          <w:color w:val="auto"/>
        </w:rPr>
      </w:pPr>
      <w:bookmarkStart w:id="115" w:name="_Toc37350081"/>
      <w:r>
        <w:rPr>
          <w:color w:val="auto"/>
          <w:kern w:val="0"/>
        </w:rPr>
        <w:t>环境影响经济损益分析</w:t>
      </w:r>
      <w:bookmarkEnd w:id="115"/>
    </w:p>
    <w:p>
      <w:pPr>
        <w:pStyle w:val="637"/>
        <w:ind w:firstLine="0" w:firstLineChars="0"/>
        <w:outlineLvl w:val="2"/>
        <w:rPr>
          <w:rFonts w:ascii="Times New Roman" w:hAnsi="Times New Roman"/>
          <w:b/>
          <w:color w:val="auto"/>
          <w:szCs w:val="24"/>
        </w:rPr>
      </w:pPr>
      <w:bookmarkStart w:id="116" w:name="_Toc35430314"/>
      <w:bookmarkStart w:id="117" w:name="_Toc492991113"/>
      <w:r>
        <w:rPr>
          <w:rFonts w:ascii="Times New Roman" w:hAnsi="Times New Roman"/>
          <w:b/>
          <w:color w:val="auto"/>
          <w:szCs w:val="24"/>
        </w:rPr>
        <w:t>7.2.1环境正效益分析</w:t>
      </w:r>
      <w:bookmarkEnd w:id="116"/>
      <w:bookmarkEnd w:id="117"/>
    </w:p>
    <w:p>
      <w:pPr>
        <w:ind w:firstLine="480"/>
        <w:rPr>
          <w:rFonts w:ascii="Times New Roman" w:hAnsi="Times New Roman"/>
          <w:color w:val="auto"/>
        </w:rPr>
      </w:pPr>
      <w:r>
        <w:rPr>
          <w:rFonts w:ascii="Times New Roman" w:hAnsi="Times New Roman"/>
          <w:color w:val="auto"/>
        </w:rPr>
        <w:t>项目环保措施主要是体现国家环保政策，贯彻“总量控制”和“污染物达标排放”的原则，达到保护环境的目的。本项目采用的废气、废水等污染治理及清洁生产措施，达到了有效控制污染和保护环境的目的。环境保护投资的环境效益表现在以下方面：</w:t>
      </w:r>
    </w:p>
    <w:p>
      <w:pPr>
        <w:ind w:firstLine="480"/>
        <w:rPr>
          <w:rFonts w:ascii="Times New Roman" w:hAnsi="Times New Roman"/>
          <w:color w:val="auto"/>
        </w:rPr>
      </w:pPr>
      <w:r>
        <w:rPr>
          <w:rFonts w:ascii="Times New Roman" w:hAnsi="Times New Roman"/>
          <w:color w:val="auto"/>
        </w:rPr>
        <w:t>（1）废气中有机废气的排放量大为减少，能有效降低对周围人群健康的影响，避免企业与周围群众产生不必要的纠纷，对保护区域环境空气质量有着重要意义。同时也可改善工厂的生产环境，提高生产效率。</w:t>
      </w:r>
    </w:p>
    <w:p>
      <w:pPr>
        <w:ind w:firstLine="480"/>
        <w:rPr>
          <w:rFonts w:ascii="Times New Roman" w:hAnsi="Times New Roman"/>
          <w:color w:val="auto"/>
        </w:rPr>
      </w:pPr>
      <w:r>
        <w:rPr>
          <w:rFonts w:ascii="Times New Roman" w:hAnsi="Times New Roman"/>
          <w:color w:val="auto"/>
        </w:rPr>
        <w:t>（2）噪声污染防治设施的建设可为企业职工创造一个良好舒适的工作环境，对企业的安全生产、提高劳动生产率能起到较大作用。</w:t>
      </w:r>
    </w:p>
    <w:p>
      <w:pPr>
        <w:ind w:firstLine="480"/>
        <w:rPr>
          <w:rFonts w:ascii="Times New Roman" w:hAnsi="Times New Roman"/>
          <w:color w:val="auto"/>
        </w:rPr>
      </w:pPr>
      <w:r>
        <w:rPr>
          <w:rFonts w:ascii="Times New Roman" w:hAnsi="Times New Roman"/>
          <w:color w:val="auto"/>
        </w:rPr>
        <w:t>（3）生产过程中产生的可利用固体废物收集后综合利用，实现了零排放，减轻了建设项目对环境的影响。危险废物有效处置，减轻了对环境的潜在危害影响，保障了本企业和附近人民群众的生活环境和身体健康。</w:t>
      </w:r>
    </w:p>
    <w:p>
      <w:pPr>
        <w:ind w:firstLine="480"/>
        <w:rPr>
          <w:rFonts w:ascii="Times New Roman" w:hAnsi="Times New Roman"/>
          <w:color w:val="auto"/>
        </w:rPr>
      </w:pPr>
      <w:r>
        <w:rPr>
          <w:rFonts w:ascii="Times New Roman" w:hAnsi="Times New Roman"/>
          <w:color w:val="auto"/>
        </w:rPr>
        <w:t>由此可见，本项目采用相应环境保护措施后环境效益较显著。</w:t>
      </w:r>
    </w:p>
    <w:p>
      <w:pPr>
        <w:pStyle w:val="637"/>
        <w:spacing w:line="500" w:lineRule="exact"/>
        <w:ind w:firstLine="0" w:firstLineChars="0"/>
        <w:outlineLvl w:val="2"/>
        <w:rPr>
          <w:rFonts w:ascii="Times New Roman" w:hAnsi="Times New Roman"/>
          <w:b/>
          <w:color w:val="auto"/>
          <w:szCs w:val="24"/>
        </w:rPr>
      </w:pPr>
      <w:bookmarkStart w:id="118" w:name="_Toc492991115"/>
      <w:bookmarkStart w:id="119" w:name="_Toc35430315"/>
      <w:r>
        <w:rPr>
          <w:rFonts w:ascii="Times New Roman" w:hAnsi="Times New Roman"/>
          <w:b/>
          <w:color w:val="auto"/>
          <w:szCs w:val="24"/>
        </w:rPr>
        <w:t>7.2.2环境负效益分析</w:t>
      </w:r>
      <w:bookmarkEnd w:id="118"/>
      <w:bookmarkEnd w:id="119"/>
    </w:p>
    <w:p>
      <w:pPr>
        <w:pStyle w:val="637"/>
        <w:adjustRightInd w:val="0"/>
        <w:snapToGrid w:val="0"/>
        <w:spacing w:line="500" w:lineRule="exact"/>
        <w:ind w:firstLine="480"/>
        <w:rPr>
          <w:rFonts w:ascii="Times New Roman" w:hAnsi="Times New Roman"/>
          <w:color w:val="auto"/>
          <w:kern w:val="0"/>
          <w:szCs w:val="24"/>
        </w:rPr>
      </w:pPr>
      <w:r>
        <w:rPr>
          <w:rFonts w:ascii="Times New Roman" w:hAnsi="Times New Roman"/>
          <w:color w:val="auto"/>
          <w:kern w:val="0"/>
          <w:szCs w:val="24"/>
        </w:rPr>
        <w:t>本项目建设主要的环境经济损失表现在污染治理设施的投资及运行费、事故性排放情况下对环境质量的影响以及周围企业可能承受的污染损失、企业罚款、赔偿、超标排污费的缴纳等，虽难以对其进行准确定量，但只要企业强化管理，因事故性排放造成的损失将成为小概率事件，因此其损失费用总额不会很大。</w:t>
      </w:r>
      <w:bookmarkStart w:id="120" w:name="_Toc492388801"/>
      <w:bookmarkStart w:id="121" w:name="_Toc492991116"/>
      <w:bookmarkStart w:id="122" w:name="_Toc485723942"/>
      <w:bookmarkStart w:id="123" w:name="_Toc490135773"/>
      <w:r>
        <w:rPr>
          <w:rFonts w:ascii="Times New Roman" w:hAnsi="Times New Roman"/>
          <w:color w:val="auto"/>
          <w:kern w:val="0"/>
          <w:szCs w:val="24"/>
        </w:rPr>
        <w:t>本项目采用先进生产工艺，引进同类型中的先进设备，生产符合清洁生产的技术要求。营运过程中产生的废气、废水、固废、噪声均按要求进行有效的治理和综合利用，污染物的排放符合国家有关标准的要求，使本项目建设对周围环境的影响减少到最低程度。</w:t>
      </w:r>
      <w:bookmarkEnd w:id="120"/>
      <w:bookmarkEnd w:id="121"/>
      <w:bookmarkEnd w:id="122"/>
      <w:bookmarkEnd w:id="123"/>
    </w:p>
    <w:p>
      <w:pPr>
        <w:spacing w:beforeLines="100"/>
        <w:ind w:firstLine="0" w:firstLineChars="0"/>
        <w:outlineLvl w:val="2"/>
        <w:rPr>
          <w:rFonts w:ascii="Times New Roman" w:hAnsi="Times New Roman"/>
          <w:b/>
          <w:color w:val="auto"/>
          <w:szCs w:val="24"/>
        </w:rPr>
      </w:pPr>
      <w:bookmarkStart w:id="124" w:name="_Toc35430316"/>
      <w:bookmarkStart w:id="125" w:name="_Toc492991117"/>
      <w:r>
        <w:rPr>
          <w:rFonts w:ascii="Times New Roman" w:hAnsi="Times New Roman"/>
          <w:b/>
          <w:color w:val="auto"/>
          <w:szCs w:val="24"/>
        </w:rPr>
        <w:t>7.2.3经济效益分析</w:t>
      </w:r>
      <w:bookmarkEnd w:id="124"/>
      <w:bookmarkEnd w:id="125"/>
    </w:p>
    <w:p>
      <w:pPr>
        <w:ind w:firstLine="480"/>
        <w:rPr>
          <w:rFonts w:ascii="Times New Roman" w:hAnsi="Times New Roman"/>
          <w:color w:val="auto"/>
        </w:rPr>
      </w:pPr>
      <w:r>
        <w:rPr>
          <w:rFonts w:ascii="Times New Roman" w:hAnsi="Times New Roman"/>
          <w:color w:val="auto"/>
        </w:rPr>
        <w:t>本项目总投资约</w:t>
      </w:r>
      <w:r>
        <w:rPr>
          <w:rFonts w:hint="eastAsia" w:ascii="Times New Roman" w:hAnsi="Times New Roman"/>
          <w:color w:val="auto"/>
        </w:rPr>
        <w:t>1000</w:t>
      </w:r>
      <w:r>
        <w:rPr>
          <w:rFonts w:ascii="Times New Roman" w:hAnsi="Times New Roman"/>
          <w:color w:val="auto"/>
        </w:rPr>
        <w:t>万元，环保投资费用约为</w:t>
      </w:r>
      <w:r>
        <w:rPr>
          <w:rFonts w:hint="eastAsia" w:ascii="Times New Roman" w:hAnsi="Times New Roman"/>
          <w:color w:val="auto"/>
        </w:rPr>
        <w:t>46</w:t>
      </w:r>
      <w:r>
        <w:rPr>
          <w:rFonts w:ascii="Times New Roman" w:hAnsi="Times New Roman"/>
          <w:color w:val="auto"/>
        </w:rPr>
        <w:t>万元，污染治理主要为</w:t>
      </w:r>
      <w:r>
        <w:rPr>
          <w:rFonts w:hint="eastAsia" w:ascii="Times New Roman" w:hAnsi="Times New Roman"/>
          <w:color w:val="auto"/>
        </w:rPr>
        <w:t>废水循环、</w:t>
      </w:r>
      <w:r>
        <w:rPr>
          <w:rFonts w:ascii="Times New Roman" w:hAnsi="Times New Roman"/>
          <w:color w:val="auto"/>
        </w:rPr>
        <w:t>废气治理</w:t>
      </w:r>
      <w:r>
        <w:rPr>
          <w:rFonts w:hint="eastAsia" w:ascii="Times New Roman" w:hAnsi="Times New Roman"/>
          <w:color w:val="auto"/>
        </w:rPr>
        <w:t>、固废</w:t>
      </w:r>
      <w:r>
        <w:rPr>
          <w:rFonts w:ascii="Times New Roman" w:hAnsi="Times New Roman"/>
          <w:color w:val="auto"/>
        </w:rPr>
        <w:t>及噪声等，项目环保投资占总投资的</w:t>
      </w:r>
      <w:r>
        <w:rPr>
          <w:rFonts w:hint="eastAsia" w:ascii="Times New Roman" w:hAnsi="Times New Roman"/>
          <w:color w:val="auto"/>
        </w:rPr>
        <w:t>4.6</w:t>
      </w:r>
      <w:r>
        <w:rPr>
          <w:rFonts w:ascii="Times New Roman" w:hAnsi="Times New Roman"/>
          <w:color w:val="auto"/>
        </w:rPr>
        <w:t>%。环保设施基本能满足有关污染治理方面的需要，环保工程投资比例适中，属合理范围，环保措施可以达到达标排放的要求。</w:t>
      </w:r>
    </w:p>
    <w:p>
      <w:pPr>
        <w:ind w:firstLine="480"/>
        <w:rPr>
          <w:rFonts w:ascii="Times New Roman" w:hAnsi="Times New Roman"/>
          <w:color w:val="auto"/>
        </w:rPr>
      </w:pPr>
      <w:r>
        <w:rPr>
          <w:rFonts w:ascii="Times New Roman" w:hAnsi="Times New Roman"/>
          <w:color w:val="auto"/>
        </w:rPr>
        <w:t>本项目在污染治理和控制方面有一定的投入，通过设施建设和日常运行，可保证各类污染物的达标排放。对预防和杜绝可能产生的潜在事故污染影响也能发挥明显的作用。因此，本项目环保投入比较合理，污染物经过各项设施处理后对周围环境影响比较小。</w:t>
      </w:r>
    </w:p>
    <w:p>
      <w:pPr>
        <w:ind w:firstLine="480"/>
        <w:rPr>
          <w:rFonts w:ascii="Times New Roman" w:hAnsi="Times New Roman"/>
          <w:color w:val="auto"/>
        </w:rPr>
      </w:pPr>
      <w:r>
        <w:rPr>
          <w:rFonts w:ascii="Times New Roman" w:hAnsi="Times New Roman"/>
          <w:color w:val="auto"/>
        </w:rPr>
        <w:t>1</w:t>
      </w:r>
      <w:r>
        <w:rPr>
          <w:rFonts w:hint="eastAsia" w:ascii="Times New Roman" w:hAnsi="Times New Roman"/>
          <w:color w:val="auto"/>
        </w:rPr>
        <w:t>、环保投资与工程总投资的比例可用下列公式计算。</w:t>
      </w:r>
    </w:p>
    <w:p>
      <w:pPr>
        <w:widowControl/>
        <w:ind w:firstLine="480" w:firstLineChars="0"/>
        <w:jc w:val="center"/>
        <w:rPr>
          <w:rFonts w:ascii="Times New Roman" w:hAnsi="Times New Roman" w:cs="宋体"/>
          <w:color w:val="auto"/>
          <w:kern w:val="0"/>
          <w:szCs w:val="24"/>
        </w:rPr>
      </w:pPr>
      <w:r>
        <w:rPr>
          <w:rFonts w:ascii="Times New Roman" w:hAnsi="Times New Roman" w:cs="宋体"/>
          <w:color w:val="auto"/>
          <w:kern w:val="0"/>
          <w:szCs w:val="24"/>
        </w:rPr>
        <w:drawing>
          <wp:inline distT="0" distB="0" distL="0" distR="0">
            <wp:extent cx="962025" cy="342900"/>
            <wp:effectExtent l="19050" t="0" r="9525" b="0"/>
            <wp:docPr id="2" name="图片 39" descr="4GK[ZNFR`G]HS@E0)5RYQ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4GK[ZNFR`G]HS@E0)5RYQYF"/>
                    <pic:cNvPicPr>
                      <a:picLocks noChangeAspect="1" noChangeArrowheads="1"/>
                    </pic:cNvPicPr>
                  </pic:nvPicPr>
                  <pic:blipFill>
                    <a:blip r:embed="rId57" cstate="print"/>
                    <a:srcRect/>
                    <a:stretch>
                      <a:fillRect/>
                    </a:stretch>
                  </pic:blipFill>
                  <pic:spPr>
                    <a:xfrm>
                      <a:off x="0" y="0"/>
                      <a:ext cx="962025" cy="342900"/>
                    </a:xfrm>
                    <a:prstGeom prst="rect">
                      <a:avLst/>
                    </a:prstGeom>
                    <a:noFill/>
                    <a:ln w="9525">
                      <a:noFill/>
                      <a:miter lim="800000"/>
                      <a:headEnd/>
                      <a:tailEnd/>
                    </a:ln>
                  </pic:spPr>
                </pic:pic>
              </a:graphicData>
            </a:graphic>
          </wp:inline>
        </w:drawing>
      </w:r>
    </w:p>
    <w:p>
      <w:pPr>
        <w:ind w:firstLine="480"/>
        <w:rPr>
          <w:rFonts w:ascii="Times New Roman" w:hAnsi="Times New Roman"/>
          <w:color w:val="auto"/>
        </w:rPr>
      </w:pPr>
      <w:r>
        <w:rPr>
          <w:rFonts w:hint="eastAsia" w:ascii="Times New Roman" w:hAnsi="Times New Roman"/>
          <w:color w:val="auto"/>
        </w:rPr>
        <w:t>式中：</w:t>
      </w:r>
    </w:p>
    <w:p>
      <w:pPr>
        <w:ind w:firstLine="480"/>
        <w:rPr>
          <w:rFonts w:ascii="Times New Roman" w:hAnsi="Times New Roman"/>
          <w:color w:val="auto"/>
        </w:rPr>
      </w:pPr>
      <w:r>
        <w:rPr>
          <w:rFonts w:ascii="Times New Roman" w:hAnsi="Times New Roman"/>
          <w:color w:val="auto"/>
        </w:rPr>
        <w:t xml:space="preserve">HJ— </w:t>
      </w:r>
      <w:r>
        <w:rPr>
          <w:rFonts w:hint="eastAsia" w:ascii="Times New Roman" w:hAnsi="Times New Roman"/>
          <w:color w:val="auto"/>
        </w:rPr>
        <w:t>环境保护投资与该工程基建投资的比例；</w:t>
      </w:r>
    </w:p>
    <w:p>
      <w:pPr>
        <w:ind w:firstLine="480"/>
        <w:rPr>
          <w:rFonts w:ascii="Times New Roman" w:hAnsi="Times New Roman"/>
          <w:color w:val="auto"/>
        </w:rPr>
      </w:pPr>
      <w:r>
        <w:rPr>
          <w:rFonts w:ascii="Times New Roman" w:hAnsi="Times New Roman"/>
          <w:color w:val="auto"/>
        </w:rPr>
        <w:t xml:space="preserve">ET— </w:t>
      </w:r>
      <w:r>
        <w:rPr>
          <w:rFonts w:hint="eastAsia" w:ascii="Times New Roman" w:hAnsi="Times New Roman"/>
          <w:color w:val="auto"/>
        </w:rPr>
        <w:t>环境保护设施投资，万元；</w:t>
      </w:r>
    </w:p>
    <w:p>
      <w:pPr>
        <w:ind w:firstLine="480"/>
        <w:rPr>
          <w:rFonts w:ascii="Times New Roman" w:hAnsi="Times New Roman"/>
          <w:color w:val="auto"/>
        </w:rPr>
      </w:pPr>
      <w:r>
        <w:rPr>
          <w:rFonts w:ascii="Times New Roman" w:hAnsi="Times New Roman"/>
          <w:color w:val="auto"/>
        </w:rPr>
        <w:t xml:space="preserve">JT— </w:t>
      </w:r>
      <w:r>
        <w:rPr>
          <w:rFonts w:hint="eastAsia" w:ascii="Times New Roman" w:hAnsi="Times New Roman"/>
          <w:color w:val="auto"/>
        </w:rPr>
        <w:t>该工程基建投资费用，万元。</w:t>
      </w:r>
    </w:p>
    <w:p>
      <w:pPr>
        <w:ind w:firstLine="480"/>
        <w:rPr>
          <w:rFonts w:ascii="Times New Roman" w:hAnsi="Times New Roman"/>
          <w:color w:val="auto"/>
        </w:rPr>
      </w:pPr>
      <w:r>
        <w:rPr>
          <w:rFonts w:hint="eastAsia" w:ascii="Times New Roman" w:hAnsi="Times New Roman"/>
          <w:color w:val="auto"/>
        </w:rPr>
        <w:t>本项目环保设施总投资</w:t>
      </w:r>
      <w:r>
        <w:rPr>
          <w:rFonts w:ascii="Times New Roman" w:hAnsi="Times New Roman"/>
          <w:color w:val="auto"/>
        </w:rPr>
        <w:t>JT=</w:t>
      </w:r>
      <w:r>
        <w:rPr>
          <w:rFonts w:hint="eastAsia" w:ascii="Times New Roman" w:hAnsi="Times New Roman"/>
          <w:color w:val="auto"/>
        </w:rPr>
        <w:t>46万元，所以本项目的环保投资约占总投资的4.6</w:t>
      </w:r>
      <w:r>
        <w:rPr>
          <w:rFonts w:ascii="Times New Roman" w:hAnsi="Times New Roman"/>
          <w:color w:val="auto"/>
        </w:rPr>
        <w:t>%</w:t>
      </w:r>
      <w:r>
        <w:rPr>
          <w:rFonts w:hint="eastAsia" w:ascii="Times New Roman" w:hAnsi="Times New Roman"/>
          <w:color w:val="auto"/>
        </w:rPr>
        <w:t>。</w:t>
      </w:r>
    </w:p>
    <w:p>
      <w:pPr>
        <w:ind w:firstLine="480"/>
        <w:rPr>
          <w:rFonts w:ascii="Times New Roman" w:hAnsi="Times New Roman"/>
          <w:color w:val="auto"/>
        </w:rPr>
      </w:pPr>
      <w:r>
        <w:rPr>
          <w:rFonts w:ascii="Times New Roman" w:hAnsi="Times New Roman"/>
          <w:color w:val="auto"/>
        </w:rPr>
        <w:t>2</w:t>
      </w:r>
      <w:r>
        <w:rPr>
          <w:rFonts w:hint="eastAsia" w:ascii="Times New Roman" w:hAnsi="Times New Roman"/>
          <w:color w:val="auto"/>
        </w:rPr>
        <w:t>、环保运行费用与总产值的比例分析</w:t>
      </w:r>
    </w:p>
    <w:p>
      <w:pPr>
        <w:ind w:firstLine="480"/>
        <w:rPr>
          <w:rFonts w:ascii="Times New Roman" w:hAnsi="Times New Roman"/>
          <w:color w:val="auto"/>
        </w:rPr>
      </w:pPr>
      <w:r>
        <w:rPr>
          <w:rFonts w:hint="eastAsia" w:ascii="Times New Roman" w:hAnsi="Times New Roman"/>
          <w:color w:val="auto"/>
        </w:rPr>
        <w:t>环保运行费用与工程总产值的比例可用下列公式计算。</w:t>
      </w:r>
    </w:p>
    <w:p>
      <w:pPr>
        <w:ind w:firstLine="480"/>
        <w:jc w:val="center"/>
        <w:rPr>
          <w:rFonts w:ascii="Times New Roman" w:hAnsi="Times New Roman" w:cs="宋体"/>
          <w:color w:val="auto"/>
          <w:kern w:val="0"/>
          <w:szCs w:val="24"/>
        </w:rPr>
      </w:pPr>
      <w:r>
        <w:rPr>
          <w:rFonts w:hint="eastAsia" w:ascii="Times New Roman" w:hAnsi="Times New Roman"/>
          <w:color w:val="auto"/>
        </w:rPr>
        <w:t></w:t>
      </w:r>
      <w:r>
        <w:rPr>
          <w:rFonts w:ascii="Times New Roman" w:hAnsi="Times New Roman" w:cs="宋体"/>
          <w:color w:val="auto"/>
          <w:kern w:val="0"/>
          <w:szCs w:val="24"/>
        </w:rPr>
        <w:drawing>
          <wp:inline distT="0" distB="0" distL="0" distR="0">
            <wp:extent cx="990600" cy="342900"/>
            <wp:effectExtent l="19050" t="0" r="0" b="0"/>
            <wp:docPr id="8" name="图片 40" descr="KEKA5D4}3(`$~10W{7$3T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KEKA5D4}3(`$~10W{7$3T1R"/>
                    <pic:cNvPicPr>
                      <a:picLocks noChangeAspect="1" noChangeArrowheads="1"/>
                    </pic:cNvPicPr>
                  </pic:nvPicPr>
                  <pic:blipFill>
                    <a:blip r:embed="rId58" cstate="print"/>
                    <a:srcRect/>
                    <a:stretch>
                      <a:fillRect/>
                    </a:stretch>
                  </pic:blipFill>
                  <pic:spPr>
                    <a:xfrm>
                      <a:off x="0" y="0"/>
                      <a:ext cx="990600" cy="342900"/>
                    </a:xfrm>
                    <a:prstGeom prst="rect">
                      <a:avLst/>
                    </a:prstGeom>
                    <a:noFill/>
                    <a:ln w="9525">
                      <a:noFill/>
                      <a:miter lim="800000"/>
                      <a:headEnd/>
                      <a:tailEnd/>
                    </a:ln>
                  </pic:spPr>
                </pic:pic>
              </a:graphicData>
            </a:graphic>
          </wp:inline>
        </w:drawing>
      </w:r>
    </w:p>
    <w:p>
      <w:pPr>
        <w:ind w:firstLine="480"/>
        <w:rPr>
          <w:rFonts w:ascii="Times New Roman" w:hAnsi="Times New Roman"/>
          <w:color w:val="auto"/>
        </w:rPr>
      </w:pPr>
      <w:r>
        <w:rPr>
          <w:rFonts w:hint="eastAsia" w:ascii="Times New Roman" w:hAnsi="Times New Roman"/>
          <w:color w:val="auto"/>
        </w:rPr>
        <w:t>式中：</w:t>
      </w:r>
    </w:p>
    <w:p>
      <w:pPr>
        <w:ind w:firstLine="480"/>
        <w:rPr>
          <w:rFonts w:ascii="Times New Roman" w:hAnsi="Times New Roman"/>
          <w:color w:val="auto"/>
        </w:rPr>
      </w:pPr>
      <w:r>
        <w:rPr>
          <w:rFonts w:ascii="Times New Roman" w:hAnsi="Times New Roman"/>
          <w:color w:val="auto"/>
        </w:rPr>
        <w:t>HZ</w:t>
      </w:r>
      <w:r>
        <w:rPr>
          <w:rFonts w:hint="eastAsia" w:ascii="Times New Roman" w:hAnsi="Times New Roman"/>
          <w:color w:val="auto"/>
        </w:rPr>
        <w:t>—环保运转费与总产值比例；</w:t>
      </w:r>
    </w:p>
    <w:p>
      <w:pPr>
        <w:ind w:firstLine="480"/>
        <w:rPr>
          <w:rFonts w:ascii="Times New Roman" w:hAnsi="Times New Roman"/>
          <w:color w:val="auto"/>
        </w:rPr>
      </w:pPr>
      <w:r>
        <w:rPr>
          <w:rFonts w:ascii="Times New Roman" w:hAnsi="Times New Roman"/>
          <w:color w:val="auto"/>
        </w:rPr>
        <w:t>EY</w:t>
      </w:r>
      <w:r>
        <w:rPr>
          <w:rFonts w:hint="eastAsia" w:ascii="Times New Roman" w:hAnsi="Times New Roman"/>
          <w:color w:val="auto"/>
        </w:rPr>
        <w:t>—环保运转费；</w:t>
      </w:r>
    </w:p>
    <w:p>
      <w:pPr>
        <w:ind w:firstLine="480"/>
        <w:rPr>
          <w:rFonts w:ascii="Times New Roman" w:hAnsi="Times New Roman"/>
          <w:color w:val="auto"/>
        </w:rPr>
      </w:pPr>
      <w:r>
        <w:rPr>
          <w:rFonts w:ascii="Times New Roman" w:hAnsi="Times New Roman"/>
          <w:color w:val="auto"/>
        </w:rPr>
        <w:t>CE</w:t>
      </w:r>
      <w:r>
        <w:rPr>
          <w:rFonts w:hint="eastAsia" w:ascii="Times New Roman" w:hAnsi="Times New Roman"/>
          <w:color w:val="auto"/>
        </w:rPr>
        <w:t>—总产值，万元。</w:t>
      </w:r>
    </w:p>
    <w:p>
      <w:pPr>
        <w:pStyle w:val="637"/>
        <w:adjustRightInd w:val="0"/>
        <w:snapToGrid w:val="0"/>
        <w:ind w:firstLine="480"/>
        <w:rPr>
          <w:rFonts w:ascii="Times New Roman" w:hAnsi="Times New Roman"/>
          <w:color w:val="auto"/>
          <w:kern w:val="0"/>
          <w:szCs w:val="24"/>
        </w:rPr>
      </w:pPr>
      <w:r>
        <w:rPr>
          <w:rFonts w:hint="eastAsia" w:ascii="Times New Roman" w:hAnsi="Times New Roman"/>
          <w:color w:val="auto"/>
        </w:rPr>
        <w:t>本项目中，环保设施运行费用</w:t>
      </w:r>
      <w:r>
        <w:rPr>
          <w:rFonts w:ascii="Times New Roman" w:hAnsi="Times New Roman"/>
          <w:color w:val="auto"/>
        </w:rPr>
        <w:t>EY</w:t>
      </w:r>
      <w:r>
        <w:rPr>
          <w:rFonts w:hint="eastAsia" w:ascii="Times New Roman" w:hAnsi="Times New Roman"/>
          <w:color w:val="auto"/>
        </w:rPr>
        <w:t>约为10万元，总产值</w:t>
      </w:r>
      <w:r>
        <w:rPr>
          <w:rFonts w:ascii="Times New Roman" w:hAnsi="Times New Roman"/>
          <w:color w:val="auto"/>
        </w:rPr>
        <w:t>CE</w:t>
      </w:r>
      <w:r>
        <w:rPr>
          <w:rFonts w:hint="eastAsia" w:ascii="Times New Roman" w:hAnsi="Times New Roman"/>
          <w:color w:val="auto"/>
        </w:rPr>
        <w:t>保守估计取1000万元，所以本项目的环保运行费用占总产值的1</w:t>
      </w:r>
      <w:r>
        <w:rPr>
          <w:rFonts w:ascii="Times New Roman" w:hAnsi="Times New Roman"/>
          <w:color w:val="auto"/>
        </w:rPr>
        <w:t>%</w:t>
      </w:r>
      <w:r>
        <w:rPr>
          <w:rFonts w:hint="eastAsia" w:ascii="Times New Roman" w:hAnsi="Times New Roman"/>
          <w:color w:val="auto"/>
        </w:rPr>
        <w:t>，比例不大，企业应该可以承受。项目污染物处理达标后排放，对周边环境影响很小，可带来环境效益和经济效益。</w:t>
      </w:r>
    </w:p>
    <w:p>
      <w:pPr>
        <w:pStyle w:val="592"/>
        <w:numPr>
          <w:ilvl w:val="0"/>
          <w:numId w:val="36"/>
        </w:numPr>
        <w:rPr>
          <w:color w:val="auto"/>
        </w:rPr>
      </w:pPr>
      <w:bookmarkStart w:id="126" w:name="_Toc37350082"/>
      <w:r>
        <w:rPr>
          <w:color w:val="auto"/>
          <w:kern w:val="0"/>
        </w:rPr>
        <w:t>环境影响经济损益分析结果</w:t>
      </w:r>
      <w:bookmarkEnd w:id="126"/>
    </w:p>
    <w:p>
      <w:pPr>
        <w:ind w:firstLine="480"/>
        <w:jc w:val="left"/>
        <w:rPr>
          <w:rFonts w:ascii="Times New Roman" w:hAnsi="Times New Roman"/>
          <w:color w:val="auto"/>
        </w:rPr>
      </w:pPr>
      <w:r>
        <w:rPr>
          <w:rFonts w:ascii="Times New Roman" w:hAnsi="Times New Roman"/>
          <w:color w:val="auto"/>
        </w:rPr>
        <w:t>结合本项目的社会经济效益、环保投入和环境效益进行综合分析得出，项目在创造良好经济效益和社会效益的同时，经采取污染防治措施后，对环境的影响较小，能够将工程带来的环境损失降到可接受程度。因此，本项目可以实现经济效益与环保效益的相统一。</w:t>
      </w: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p>
      <w:pPr>
        <w:ind w:firstLine="480"/>
        <w:rPr>
          <w:rFonts w:ascii="Times New Roman" w:hAnsi="Times New Roman"/>
          <w:bCs/>
          <w:color w:val="auto"/>
        </w:rPr>
      </w:pPr>
    </w:p>
    <w:bookmarkEnd w:id="112"/>
    <w:bookmarkEnd w:id="113"/>
    <w:p>
      <w:pPr>
        <w:pStyle w:val="438"/>
        <w:spacing w:before="240" w:line="360" w:lineRule="auto"/>
        <w:ind w:left="0" w:firstLine="567" w:firstLineChars="157"/>
        <w:rPr>
          <w:color w:val="auto"/>
        </w:rPr>
      </w:pPr>
      <w:bookmarkStart w:id="127" w:name="_Toc323721098"/>
      <w:bookmarkStart w:id="128" w:name="_Toc37350083"/>
      <w:r>
        <w:rPr>
          <w:color w:val="auto"/>
          <w:kern w:val="44"/>
        </w:rPr>
        <w:t>环境管理和环境监测计划</w:t>
      </w:r>
      <w:bookmarkEnd w:id="127"/>
      <w:bookmarkEnd w:id="128"/>
    </w:p>
    <w:p>
      <w:pPr>
        <w:pStyle w:val="592"/>
        <w:numPr>
          <w:ilvl w:val="0"/>
          <w:numId w:val="37"/>
        </w:numPr>
        <w:rPr>
          <w:color w:val="auto"/>
        </w:rPr>
      </w:pPr>
      <w:bookmarkStart w:id="129" w:name="_Toc323721099"/>
      <w:bookmarkStart w:id="130" w:name="_Toc37350084"/>
      <w:r>
        <w:rPr>
          <w:color w:val="auto"/>
        </w:rPr>
        <w:t>环境管理</w:t>
      </w:r>
      <w:bookmarkEnd w:id="129"/>
      <w:r>
        <w:rPr>
          <w:color w:val="auto"/>
        </w:rPr>
        <w:t>要求</w:t>
      </w:r>
      <w:bookmarkEnd w:id="130"/>
    </w:p>
    <w:p>
      <w:pPr>
        <w:ind w:firstLine="480"/>
        <w:rPr>
          <w:rFonts w:ascii="Times New Roman" w:hAnsi="Times New Roman"/>
          <w:color w:val="auto"/>
        </w:rPr>
      </w:pPr>
      <w:r>
        <w:rPr>
          <w:rFonts w:ascii="Times New Roman" w:hAnsi="Times New Roman"/>
          <w:color w:val="auto"/>
        </w:rPr>
        <w:t>本项目正常生产时会对周围环境产生一定的影响，因此必须通过环境措施来减缓和消除不利的环境影响。为了保证环保措施的切实落实，使项目的社会、经济和环境效益得以协调发展，必须加强环境管理，使项目建设符合国家要求经济建设、社会发展和环境建设的同步规划、同步发展和同步实施的方针。</w:t>
      </w:r>
    </w:p>
    <w:p>
      <w:pPr>
        <w:ind w:firstLine="480"/>
        <w:rPr>
          <w:rFonts w:ascii="Times New Roman" w:hAnsi="Times New Roman"/>
          <w:color w:val="auto"/>
        </w:rPr>
      </w:pPr>
      <w:r>
        <w:rPr>
          <w:rFonts w:ascii="Times New Roman" w:hAnsi="Times New Roman"/>
          <w:color w:val="auto"/>
        </w:rPr>
        <w:t>因此，项目必须设置专门从事环境管理的机构，配备专职环保人员2-3名，负责环境监督管理工作，同时要加强对管理人员的环保培训，不断提高管理水平。</w:t>
      </w:r>
    </w:p>
    <w:p>
      <w:pPr>
        <w:ind w:firstLine="480"/>
        <w:rPr>
          <w:rFonts w:ascii="Times New Roman" w:hAnsi="Times New Roman"/>
          <w:color w:val="auto"/>
        </w:rPr>
      </w:pPr>
      <w:r>
        <w:rPr>
          <w:rFonts w:ascii="Times New Roman" w:hAnsi="Times New Roman"/>
          <w:color w:val="auto"/>
        </w:rPr>
        <w:t>环境管理机构主要职能是研究决策本公司环保工作的重大事宜，并负责公司环境保护的规划和管理以及环境保护治理设施管理、维修、操作，并下设实验室，负责公司的环境监测，是环境管理工作的具体执行部门。其主要职责如下：</w:t>
      </w:r>
    </w:p>
    <w:p>
      <w:pPr>
        <w:ind w:firstLine="480"/>
        <w:rPr>
          <w:rFonts w:ascii="Times New Roman" w:hAnsi="Times New Roman"/>
          <w:color w:val="auto"/>
        </w:rPr>
      </w:pPr>
      <w:r>
        <w:rPr>
          <w:rFonts w:ascii="Times New Roman" w:hAnsi="Times New Roman"/>
          <w:color w:val="auto"/>
        </w:rPr>
        <w:t>（1）根据公司规模、性质、特点和国家法律、法规，制定全公司环保规划和环境方针，并负责以多种形式向相关方面宣传。</w:t>
      </w:r>
    </w:p>
    <w:p>
      <w:pPr>
        <w:ind w:firstLine="480"/>
        <w:rPr>
          <w:rFonts w:ascii="Times New Roman" w:hAnsi="Times New Roman"/>
          <w:color w:val="auto"/>
        </w:rPr>
      </w:pPr>
      <w:r>
        <w:rPr>
          <w:rFonts w:ascii="Times New Roman" w:hAnsi="Times New Roman"/>
          <w:color w:val="auto"/>
        </w:rPr>
        <w:t>（2）负责获取、更新使用于本企业的与环境相关的法律、法规，负责把适用的法律、法规发放到相关部门。</w:t>
      </w:r>
    </w:p>
    <w:p>
      <w:pPr>
        <w:ind w:firstLine="480"/>
        <w:rPr>
          <w:rFonts w:ascii="Times New Roman" w:hAnsi="Times New Roman"/>
          <w:color w:val="auto"/>
        </w:rPr>
      </w:pPr>
      <w:r>
        <w:rPr>
          <w:rFonts w:ascii="Times New Roman" w:hAnsi="Times New Roman"/>
          <w:color w:val="auto"/>
        </w:rPr>
        <w:t>（3）协助各车间制定车间的环保规划，并协调和监督各单位具体实施。</w:t>
      </w:r>
    </w:p>
    <w:p>
      <w:pPr>
        <w:ind w:firstLine="480"/>
        <w:rPr>
          <w:rFonts w:ascii="Times New Roman" w:hAnsi="Times New Roman"/>
          <w:color w:val="auto"/>
        </w:rPr>
      </w:pPr>
      <w:r>
        <w:rPr>
          <w:rFonts w:ascii="Times New Roman" w:hAnsi="Times New Roman"/>
          <w:color w:val="auto"/>
        </w:rPr>
        <w:t>（4）负责制定和实施公司的年度环保培训计划。</w:t>
      </w:r>
    </w:p>
    <w:p>
      <w:pPr>
        <w:ind w:firstLine="480"/>
        <w:rPr>
          <w:rFonts w:ascii="Times New Roman" w:hAnsi="Times New Roman"/>
          <w:color w:val="auto"/>
        </w:rPr>
      </w:pPr>
      <w:r>
        <w:rPr>
          <w:rFonts w:ascii="Times New Roman" w:hAnsi="Times New Roman"/>
          <w:color w:val="auto"/>
        </w:rPr>
        <w:t>（5）负责公司内外部的环境工作信息交流。</w:t>
      </w:r>
    </w:p>
    <w:p>
      <w:pPr>
        <w:ind w:firstLine="480"/>
        <w:rPr>
          <w:rFonts w:ascii="Times New Roman" w:hAnsi="Times New Roman"/>
          <w:color w:val="auto"/>
        </w:rPr>
      </w:pPr>
      <w:r>
        <w:rPr>
          <w:rFonts w:ascii="Times New Roman" w:hAnsi="Times New Roman"/>
          <w:color w:val="auto"/>
        </w:rPr>
        <w:t>（6）监督检查各部门环保设施的运行管理，尤其是了解废气处理装置的运行状况。</w:t>
      </w:r>
    </w:p>
    <w:p>
      <w:pPr>
        <w:ind w:firstLine="480"/>
        <w:rPr>
          <w:rFonts w:ascii="Times New Roman" w:hAnsi="Times New Roman"/>
          <w:color w:val="auto"/>
        </w:rPr>
      </w:pPr>
      <w:r>
        <w:rPr>
          <w:rFonts w:ascii="Times New Roman" w:hAnsi="Times New Roman"/>
          <w:color w:val="auto"/>
        </w:rPr>
        <w:t>（7）监督检查各生产工艺设备的运行情况。</w:t>
      </w:r>
    </w:p>
    <w:p>
      <w:pPr>
        <w:ind w:firstLine="480"/>
        <w:rPr>
          <w:rFonts w:ascii="Times New Roman" w:hAnsi="Times New Roman"/>
          <w:color w:val="auto"/>
        </w:rPr>
      </w:pPr>
      <w:r>
        <w:rPr>
          <w:rFonts w:ascii="Times New Roman" w:hAnsi="Times New Roman"/>
          <w:color w:val="auto"/>
        </w:rPr>
        <w:t>（8）负责对项目环保工程及其“三同时”执行情况进行环境监测、数据分析、验收评估。</w:t>
      </w:r>
    </w:p>
    <w:p>
      <w:pPr>
        <w:ind w:firstLine="480"/>
        <w:rPr>
          <w:rFonts w:ascii="Times New Roman" w:hAnsi="Times New Roman"/>
          <w:color w:val="auto"/>
        </w:rPr>
      </w:pPr>
      <w:r>
        <w:rPr>
          <w:rFonts w:ascii="Times New Roman" w:hAnsi="Times New Roman"/>
          <w:color w:val="auto"/>
        </w:rPr>
        <w:t>（9）负责应急计划的监督、检查；负责应急事故的协调处理；指导各单位对环保设施的管理；指导各单位应急与预防工作；对公司范围内重点危险区域部署监控措施。</w:t>
      </w:r>
    </w:p>
    <w:p>
      <w:pPr>
        <w:ind w:firstLine="480"/>
        <w:rPr>
          <w:rFonts w:ascii="Times New Roman" w:hAnsi="Times New Roman"/>
          <w:color w:val="auto"/>
        </w:rPr>
      </w:pPr>
      <w:r>
        <w:rPr>
          <w:rFonts w:ascii="Times New Roman" w:hAnsi="Times New Roman"/>
          <w:color w:val="auto"/>
        </w:rPr>
        <w:t>（10）负责公司环境监测技术数据统计管理。</w:t>
      </w:r>
    </w:p>
    <w:p>
      <w:pPr>
        <w:ind w:firstLine="480"/>
        <w:rPr>
          <w:rFonts w:ascii="Times New Roman" w:hAnsi="Times New Roman"/>
          <w:color w:val="auto"/>
        </w:rPr>
      </w:pPr>
      <w:r>
        <w:rPr>
          <w:rFonts w:ascii="Times New Roman" w:hAnsi="Times New Roman"/>
          <w:color w:val="auto"/>
        </w:rPr>
        <w:t>（11）负责全公司环保管理工作的监督和检查。</w:t>
      </w:r>
    </w:p>
    <w:p>
      <w:pPr>
        <w:ind w:firstLine="480"/>
        <w:rPr>
          <w:rFonts w:ascii="Times New Roman" w:hAnsi="Times New Roman"/>
          <w:color w:val="auto"/>
        </w:rPr>
      </w:pPr>
      <w:r>
        <w:rPr>
          <w:rFonts w:ascii="Times New Roman" w:hAnsi="Times New Roman"/>
          <w:color w:val="auto"/>
        </w:rPr>
        <w:t>（12）组织实施全公司环境年度评审工作。</w:t>
      </w:r>
    </w:p>
    <w:p>
      <w:pPr>
        <w:ind w:firstLine="480"/>
        <w:rPr>
          <w:rFonts w:ascii="Times New Roman" w:hAnsi="Times New Roman"/>
          <w:color w:val="auto"/>
        </w:rPr>
      </w:pPr>
      <w:r>
        <w:rPr>
          <w:rFonts w:ascii="Times New Roman" w:hAnsi="Times New Roman"/>
          <w:color w:val="auto"/>
        </w:rPr>
        <w:t>（13）负责公司的环境教育、培训、宣传，让环境意识深入职工心中。</w:t>
      </w:r>
    </w:p>
    <w:p>
      <w:pPr>
        <w:pStyle w:val="592"/>
        <w:numPr>
          <w:ilvl w:val="0"/>
          <w:numId w:val="37"/>
        </w:numPr>
        <w:rPr>
          <w:color w:val="auto"/>
        </w:rPr>
      </w:pPr>
      <w:bookmarkStart w:id="131" w:name="_Toc37350085"/>
      <w:r>
        <w:rPr>
          <w:color w:val="auto"/>
        </w:rPr>
        <w:t>污染物排放管理要求</w:t>
      </w:r>
      <w:bookmarkEnd w:id="131"/>
    </w:p>
    <w:p>
      <w:pPr>
        <w:ind w:firstLine="480"/>
        <w:rPr>
          <w:rFonts w:ascii="Times New Roman" w:hAnsi="Times New Roman"/>
          <w:color w:val="auto"/>
        </w:rPr>
      </w:pPr>
      <w:r>
        <w:rPr>
          <w:rFonts w:ascii="Times New Roman" w:hAnsi="Times New Roman"/>
          <w:color w:val="auto"/>
        </w:rPr>
        <w:t>（1）污染物排放清单</w:t>
      </w:r>
    </w:p>
    <w:p>
      <w:pPr>
        <w:ind w:firstLine="676" w:firstLineChars="282"/>
        <w:rPr>
          <w:rFonts w:ascii="Times New Roman" w:hAnsi="Times New Roman"/>
          <w:color w:val="auto"/>
        </w:rPr>
      </w:pPr>
      <w:r>
        <w:rPr>
          <w:rFonts w:ascii="Times New Roman" w:hAnsi="Times New Roman"/>
          <w:color w:val="auto"/>
        </w:rPr>
        <w:t>本项目污染物源强汇总见表8-1。</w:t>
      </w: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199" w:firstLineChars="83"/>
        <w:rPr>
          <w:rFonts w:ascii="Times New Roman" w:hAnsi="Times New Roman"/>
          <w:color w:val="auto"/>
        </w:rPr>
        <w:sectPr>
          <w:footerReference r:id="rId19" w:type="first"/>
          <w:footerReference r:id="rId18" w:type="default"/>
          <w:pgSz w:w="11906" w:h="16838"/>
          <w:pgMar w:top="1440" w:right="1287" w:bottom="1440" w:left="1797" w:header="851" w:footer="992" w:gutter="0"/>
          <w:cols w:space="720" w:num="1"/>
          <w:docGrid w:linePitch="312" w:charSpace="0"/>
        </w:sectPr>
      </w:pPr>
    </w:p>
    <w:p>
      <w:pPr>
        <w:numPr>
          <w:ilvl w:val="0"/>
          <w:numId w:val="38"/>
        </w:numPr>
        <w:spacing w:line="240" w:lineRule="auto"/>
        <w:ind w:firstLineChars="0"/>
        <w:jc w:val="center"/>
        <w:rPr>
          <w:rFonts w:ascii="Times New Roman" w:hAnsi="Times New Roman"/>
          <w:b/>
          <w:color w:val="auto"/>
          <w:sz w:val="21"/>
        </w:rPr>
      </w:pPr>
      <w:r>
        <w:rPr>
          <w:rFonts w:ascii="Times New Roman" w:hAnsi="Times New Roman"/>
          <w:b/>
          <w:color w:val="auto"/>
          <w:sz w:val="21"/>
        </w:rPr>
        <w:t>项目主要污染物产生及排放情况汇总</w:t>
      </w:r>
      <w:r>
        <w:rPr>
          <w:rFonts w:hint="eastAsia" w:ascii="Times New Roman" w:hAnsi="Times New Roman"/>
          <w:b/>
          <w:color w:val="auto"/>
          <w:sz w:val="21"/>
        </w:rPr>
        <w:t xml:space="preserve">    </w:t>
      </w:r>
      <w:r>
        <w:rPr>
          <w:rFonts w:ascii="Times New Roman" w:hAnsi="Times New Roman"/>
          <w:b/>
          <w:color w:val="auto"/>
          <w:sz w:val="21"/>
        </w:rPr>
        <w:t>单位：t/a</w:t>
      </w:r>
      <w:r>
        <w:rPr>
          <w:rFonts w:hint="eastAsia" w:ascii="Times New Roman" w:hAnsi="Times New Roman"/>
          <w:b/>
          <w:color w:val="auto"/>
          <w:sz w:val="21"/>
        </w:rPr>
        <w:t xml:space="preserve">                                       </w:t>
      </w:r>
    </w:p>
    <w:tbl>
      <w:tblPr>
        <w:tblStyle w:val="83"/>
        <w:tblW w:w="14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5"/>
        <w:gridCol w:w="1496"/>
        <w:gridCol w:w="1417"/>
        <w:gridCol w:w="1701"/>
        <w:gridCol w:w="1276"/>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7"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污染物名称</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产生量</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削减量</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排放量</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废水</w:t>
            </w:r>
          </w:p>
        </w:tc>
        <w:tc>
          <w:tcPr>
            <w:tcW w:w="83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生活</w:t>
            </w:r>
            <w:r>
              <w:rPr>
                <w:rFonts w:hint="eastAsia" w:ascii="Times New Roman" w:hAnsi="Times New Roman"/>
                <w:bCs/>
                <w:color w:val="auto"/>
                <w:sz w:val="21"/>
              </w:rPr>
              <w:t>污</w:t>
            </w:r>
            <w:r>
              <w:rPr>
                <w:rFonts w:ascii="Times New Roman" w:hAnsi="Times New Roman"/>
                <w:bCs/>
                <w:color w:val="auto"/>
                <w:sz w:val="21"/>
              </w:rPr>
              <w:t>水</w:t>
            </w:r>
          </w:p>
        </w:tc>
        <w:tc>
          <w:tcPr>
            <w:tcW w:w="149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废水量</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c>
          <w:tcPr>
            <w:tcW w:w="721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hint="eastAsia" w:ascii="Times New Roman" w:hAnsi="Times New Roman"/>
                <w:color w:val="auto"/>
                <w:sz w:val="21"/>
              </w:rPr>
              <w:t>造粒冷却水和喷射塔废水循环使用，不外排。</w:t>
            </w:r>
            <w:r>
              <w:rPr>
                <w:rFonts w:ascii="Times New Roman" w:hAnsi="Times New Roman"/>
                <w:color w:val="auto"/>
                <w:sz w:val="21"/>
              </w:rPr>
              <w:t>生活</w:t>
            </w:r>
            <w:r>
              <w:rPr>
                <w:rFonts w:hint="eastAsia" w:ascii="Times New Roman" w:hAnsi="Times New Roman"/>
                <w:color w:val="auto"/>
                <w:sz w:val="21"/>
              </w:rPr>
              <w:t>污</w:t>
            </w:r>
            <w:r>
              <w:rPr>
                <w:rFonts w:ascii="Times New Roman" w:hAnsi="Times New Roman"/>
                <w:color w:val="auto"/>
                <w:sz w:val="21"/>
              </w:rPr>
              <w:t>水</w:t>
            </w:r>
            <w:r>
              <w:rPr>
                <w:rFonts w:hint="eastAsia" w:ascii="Times New Roman" w:hAnsi="Times New Roman"/>
                <w:color w:val="auto"/>
                <w:sz w:val="21"/>
              </w:rPr>
              <w:t>经</w:t>
            </w:r>
            <w:r>
              <w:rPr>
                <w:rFonts w:ascii="Times New Roman" w:hAnsi="Times New Roman"/>
                <w:color w:val="auto"/>
                <w:sz w:val="21"/>
              </w:rPr>
              <w:t>化粪池预处理达《污水综合排放标准》（GB8978-1996）三级标准后</w:t>
            </w:r>
            <w:r>
              <w:rPr>
                <w:rFonts w:hint="eastAsia" w:ascii="Times New Roman" w:hAnsi="Times New Roman"/>
                <w:color w:val="auto"/>
                <w:sz w:val="21"/>
              </w:rPr>
              <w:t>排入污水管网，</w:t>
            </w:r>
            <w:r>
              <w:rPr>
                <w:rStyle w:val="782"/>
                <w:rFonts w:hint="default" w:ascii="Times New Roman" w:hAnsi="Times New Roman"/>
                <w:color w:val="auto"/>
                <w:sz w:val="21"/>
                <w:szCs w:val="21"/>
              </w:rPr>
              <w:t>最终进入苍南县临港产业基地启动区污水处理厂处理达标后排放</w:t>
            </w:r>
            <w:r>
              <w:rPr>
                <w:rFonts w:hint="eastAsia"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83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49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color w:val="auto"/>
                <w:sz w:val="21"/>
              </w:rPr>
              <w:t>COD</w:t>
            </w:r>
            <w:r>
              <w:rPr>
                <w:rFonts w:ascii="Times New Roman" w:hAnsi="Times New Roman"/>
                <w:color w:val="auto"/>
                <w:sz w:val="21"/>
                <w:vertAlign w:val="subscript"/>
              </w:rPr>
              <w:t>Cr</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0.356</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0.285</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w:t>
            </w:r>
          </w:p>
        </w:tc>
        <w:tc>
          <w:tcPr>
            <w:tcW w:w="721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83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149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color w:val="auto"/>
                <w:sz w:val="21"/>
              </w:rPr>
              <w:t>NH</w:t>
            </w:r>
            <w:r>
              <w:rPr>
                <w:rFonts w:ascii="Times New Roman" w:hAnsi="Times New Roman"/>
                <w:color w:val="auto"/>
                <w:sz w:val="21"/>
                <w:vertAlign w:val="subscript"/>
              </w:rPr>
              <w:t>3</w:t>
            </w:r>
            <w:r>
              <w:rPr>
                <w:rFonts w:ascii="Times New Roman" w:hAnsi="Times New Roman"/>
                <w:color w:val="auto"/>
                <w:sz w:val="21"/>
              </w:rPr>
              <w:t>-N</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0.007</w:t>
            </w:r>
          </w:p>
        </w:tc>
        <w:tc>
          <w:tcPr>
            <w:tcW w:w="1276"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0.018</w:t>
            </w:r>
          </w:p>
        </w:tc>
        <w:tc>
          <w:tcPr>
            <w:tcW w:w="721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废气</w:t>
            </w:r>
          </w:p>
        </w:tc>
        <w:tc>
          <w:tcPr>
            <w:tcW w:w="2331" w:type="dxa"/>
            <w:gridSpan w:val="2"/>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非甲烷总烃</w:t>
            </w:r>
          </w:p>
        </w:tc>
        <w:tc>
          <w:tcPr>
            <w:tcW w:w="141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7.06</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5.088</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1.972</w:t>
            </w:r>
          </w:p>
        </w:tc>
        <w:tc>
          <w:tcPr>
            <w:tcW w:w="721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kern w:val="0"/>
                <w:sz w:val="21"/>
              </w:rPr>
              <w:t>造粒车间</w:t>
            </w:r>
            <w:r>
              <w:rPr>
                <w:rFonts w:ascii="Times New Roman" w:hAnsi="Times New Roman"/>
                <w:color w:val="auto"/>
                <w:kern w:val="0"/>
                <w:sz w:val="21"/>
              </w:rPr>
              <w:t>各</w:t>
            </w:r>
            <w:r>
              <w:rPr>
                <w:rFonts w:hint="eastAsia" w:ascii="Times New Roman" w:hAnsi="Times New Roman"/>
                <w:color w:val="auto"/>
                <w:kern w:val="0"/>
                <w:sz w:val="21"/>
              </w:rPr>
              <w:t>熔融</w:t>
            </w:r>
            <w:r>
              <w:rPr>
                <w:rFonts w:ascii="Times New Roman" w:hAnsi="Times New Roman"/>
                <w:color w:val="auto"/>
                <w:kern w:val="0"/>
                <w:sz w:val="21"/>
              </w:rPr>
              <w:t>挤出机机头上方设置集气罩，业主单位应委托有资质的单位设计并安装集气罩，废气收集后经</w:t>
            </w:r>
            <w:r>
              <w:rPr>
                <w:rFonts w:hint="eastAsia" w:ascii="Times New Roman" w:hAnsi="Times New Roman"/>
                <w:bCs/>
                <w:color w:val="auto"/>
                <w:kern w:val="0"/>
                <w:sz w:val="21"/>
              </w:rPr>
              <w:t>高效</w:t>
            </w:r>
            <w:r>
              <w:rPr>
                <w:rFonts w:ascii="Times New Roman" w:hAnsi="Times New Roman"/>
                <w:color w:val="auto"/>
                <w:kern w:val="0"/>
                <w:sz w:val="21"/>
              </w:rPr>
              <w:t>喷射塔+</w:t>
            </w:r>
            <w:r>
              <w:rPr>
                <w:rFonts w:hint="eastAsia" w:ascii="Times New Roman" w:hAnsi="Times New Roman"/>
                <w:color w:val="auto"/>
                <w:kern w:val="0"/>
                <w:sz w:val="21"/>
              </w:rPr>
              <w:t>油烟净化器+</w:t>
            </w:r>
            <w:r>
              <w:rPr>
                <w:rFonts w:ascii="Times New Roman" w:hAnsi="Times New Roman"/>
                <w:color w:val="auto"/>
                <w:kern w:val="0"/>
                <w:sz w:val="21"/>
              </w:rPr>
              <w:t>UV光氧+活性炭装置</w:t>
            </w:r>
            <w:r>
              <w:rPr>
                <w:rFonts w:hint="eastAsia" w:ascii="Times New Roman" w:hAnsi="Times New Roman"/>
                <w:color w:val="auto"/>
                <w:kern w:val="0"/>
                <w:sz w:val="21"/>
              </w:rPr>
              <w:t>净化后通过20m高的排气筒高空排放。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0.11</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0.078</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0.032</w:t>
            </w:r>
          </w:p>
        </w:tc>
        <w:tc>
          <w:tcPr>
            <w:tcW w:w="721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0.031</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c>
          <w:tcPr>
            <w:tcW w:w="721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0.031</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c>
          <w:tcPr>
            <w:tcW w:w="721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氨</w:t>
            </w:r>
          </w:p>
        </w:tc>
        <w:tc>
          <w:tcPr>
            <w:tcW w:w="141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0.09</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0.065</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c>
          <w:tcPr>
            <w:tcW w:w="721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甲基丙烯酸甲酯</w:t>
            </w:r>
          </w:p>
        </w:tc>
        <w:tc>
          <w:tcPr>
            <w:tcW w:w="141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0.05</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0.036</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c>
          <w:tcPr>
            <w:tcW w:w="721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粉尘</w:t>
            </w:r>
          </w:p>
        </w:tc>
        <w:tc>
          <w:tcPr>
            <w:tcW w:w="141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12.5</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12.019</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0.481</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pacing w:val="-4"/>
                <w:sz w:val="21"/>
              </w:rPr>
              <w:t>破碎</w:t>
            </w:r>
            <w:r>
              <w:rPr>
                <w:rFonts w:ascii="Times New Roman" w:hAnsi="Times New Roman"/>
                <w:color w:val="auto"/>
                <w:sz w:val="21"/>
              </w:rPr>
              <w:t>粉尘收集经布袋除尘处理后</w:t>
            </w:r>
            <w:r>
              <w:rPr>
                <w:rFonts w:hint="eastAsia" w:ascii="Times New Roman" w:hAnsi="Times New Roman"/>
                <w:color w:val="auto"/>
                <w:sz w:val="21"/>
              </w:rPr>
              <w:t>高空排放（</w:t>
            </w:r>
            <w:r>
              <w:rPr>
                <w:rFonts w:ascii="Times New Roman" w:hAnsi="Times New Roman"/>
                <w:color w:val="auto"/>
                <w:sz w:val="21"/>
              </w:rPr>
              <w:t>2</w:t>
            </w:r>
            <w:r>
              <w:rPr>
                <w:rFonts w:hint="eastAsia" w:ascii="Times New Roman" w:hAnsi="Times New Roman"/>
                <w:color w:val="auto"/>
                <w:sz w:val="21"/>
              </w:rPr>
              <w:t>0</w:t>
            </w:r>
            <w:r>
              <w:rPr>
                <w:rFonts w:ascii="Times New Roman" w:hAnsi="Times New Roman"/>
                <w:color w:val="auto"/>
                <w:sz w:val="21"/>
              </w:rPr>
              <w:t>m），废气收集率不小于 85%，除尘效率不低于 9</w:t>
            </w:r>
            <w:r>
              <w:rPr>
                <w:rFonts w:hint="eastAsia" w:ascii="Times New Roman" w:hAnsi="Times New Roman"/>
                <w:color w:val="auto"/>
                <w:sz w:val="21"/>
              </w:rPr>
              <w:t>9</w:t>
            </w:r>
            <w:r>
              <w:rPr>
                <w:rFonts w:ascii="Times New Roman" w:hAnsi="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r>
              <w:rPr>
                <w:rFonts w:ascii="Times New Roman" w:hAnsi="Times New Roman"/>
                <w:bCs/>
                <w:color w:val="auto"/>
                <w:sz w:val="21"/>
              </w:rPr>
              <w:t>固废</w:t>
            </w: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由相关单位回收综合利用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由相关单位回收综合利用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挤出机废弃过滤网</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由废塑料加工单位回收进行滤网再生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141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17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Cs/>
                <w:color w:val="auto"/>
                <w:sz w:val="21"/>
              </w:rPr>
            </w:pPr>
          </w:p>
        </w:tc>
        <w:tc>
          <w:tcPr>
            <w:tcW w:w="233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生活垃圾</w:t>
            </w:r>
          </w:p>
        </w:tc>
        <w:tc>
          <w:tcPr>
            <w:tcW w:w="141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17.82</w:t>
            </w:r>
          </w:p>
        </w:tc>
        <w:tc>
          <w:tcPr>
            <w:tcW w:w="17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17.82</w:t>
            </w:r>
          </w:p>
        </w:tc>
        <w:tc>
          <w:tcPr>
            <w:tcW w:w="127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7218"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由环卫部门统一清运</w:t>
            </w:r>
          </w:p>
        </w:tc>
      </w:tr>
    </w:tbl>
    <w:p>
      <w:pPr>
        <w:ind w:firstLine="199" w:firstLineChars="83"/>
        <w:rPr>
          <w:rFonts w:ascii="Times New Roman" w:hAnsi="Times New Roman"/>
          <w:color w:val="auto"/>
        </w:rPr>
      </w:pPr>
    </w:p>
    <w:p>
      <w:pPr>
        <w:ind w:firstLine="199" w:firstLineChars="83"/>
        <w:rPr>
          <w:rFonts w:ascii="Times New Roman" w:hAnsi="Times New Roman"/>
          <w:color w:val="auto"/>
        </w:rPr>
      </w:pPr>
    </w:p>
    <w:p>
      <w:pPr>
        <w:ind w:firstLine="0" w:firstLineChars="0"/>
        <w:rPr>
          <w:rFonts w:ascii="Times New Roman" w:hAnsi="Times New Roman"/>
          <w:color w:val="auto"/>
        </w:rPr>
        <w:sectPr>
          <w:pgSz w:w="16838" w:h="11906" w:orient="landscape"/>
          <w:pgMar w:top="1287" w:right="1440" w:bottom="1797" w:left="1440" w:header="851" w:footer="992" w:gutter="0"/>
          <w:cols w:space="720" w:num="1"/>
          <w:docGrid w:linePitch="312" w:charSpace="0"/>
        </w:sectPr>
      </w:pPr>
    </w:p>
    <w:p>
      <w:pPr>
        <w:ind w:firstLine="480"/>
        <w:rPr>
          <w:rFonts w:ascii="Times New Roman" w:hAnsi="Times New Roman"/>
          <w:color w:val="auto"/>
        </w:rPr>
      </w:pPr>
      <w:r>
        <w:rPr>
          <w:rFonts w:ascii="Times New Roman" w:hAnsi="Times New Roman"/>
          <w:color w:val="auto"/>
        </w:rPr>
        <w:t>（</w:t>
      </w:r>
      <w:r>
        <w:rPr>
          <w:rFonts w:hint="eastAsia" w:ascii="Times New Roman" w:hAnsi="Times New Roman"/>
          <w:color w:val="auto"/>
        </w:rPr>
        <w:t>2</w:t>
      </w:r>
      <w:r>
        <w:rPr>
          <w:rFonts w:ascii="Times New Roman" w:hAnsi="Times New Roman"/>
          <w:color w:val="auto"/>
        </w:rPr>
        <w:t>）管理要求</w:t>
      </w:r>
    </w:p>
    <w:p>
      <w:pPr>
        <w:ind w:firstLine="480"/>
        <w:rPr>
          <w:rFonts w:ascii="Times New Roman" w:hAnsi="Times New Roman"/>
          <w:color w:val="auto"/>
        </w:rPr>
      </w:pPr>
      <w:r>
        <w:rPr>
          <w:rFonts w:hint="eastAsia" w:ascii="Times New Roman" w:hAnsi="Times New Roman" w:cs="宋体"/>
          <w:color w:val="auto"/>
        </w:rPr>
        <w:t>①</w:t>
      </w:r>
      <w:r>
        <w:rPr>
          <w:rFonts w:ascii="Times New Roman" w:hAnsi="Times New Roman"/>
          <w:color w:val="auto"/>
        </w:rPr>
        <w:t>环保工程、公用工程应与主体工程一并落实到位，同时设计、安装、投入使用。企业应规范原材料仓库，按照生产需求合理取用原料。</w:t>
      </w:r>
    </w:p>
    <w:p>
      <w:pPr>
        <w:ind w:firstLine="480"/>
        <w:rPr>
          <w:rFonts w:ascii="Times New Roman" w:hAnsi="Times New Roman"/>
          <w:color w:val="auto"/>
        </w:rPr>
      </w:pPr>
      <w:r>
        <w:rPr>
          <w:rFonts w:hint="eastAsia" w:ascii="Times New Roman" w:hAnsi="Times New Roman" w:cs="宋体"/>
          <w:color w:val="auto"/>
        </w:rPr>
        <w:t>②</w:t>
      </w:r>
      <w:r>
        <w:rPr>
          <w:rFonts w:ascii="Times New Roman" w:hAnsi="Times New Roman"/>
          <w:color w:val="auto"/>
        </w:rPr>
        <w:t>按《建设项目环境保护管理条例》中第二十条和二十三条规定，建设单位应向负责审批的环保部门申请该项目需配套建设的环境保护设施竣工验收，经验收合格后，方可正式投入生产。</w:t>
      </w:r>
    </w:p>
    <w:p>
      <w:pPr>
        <w:ind w:firstLine="480"/>
        <w:rPr>
          <w:rFonts w:ascii="Times New Roman" w:hAnsi="Times New Roman"/>
          <w:color w:val="auto"/>
        </w:rPr>
      </w:pPr>
      <w:r>
        <w:rPr>
          <w:rFonts w:hint="eastAsia" w:ascii="Times New Roman" w:hAnsi="Times New Roman" w:cs="宋体"/>
          <w:color w:val="auto"/>
        </w:rPr>
        <w:t>③</w:t>
      </w:r>
      <w:r>
        <w:rPr>
          <w:rFonts w:ascii="Times New Roman" w:hAnsi="Times New Roman"/>
          <w:color w:val="auto"/>
        </w:rPr>
        <w:t>项目建成后企业应如实向当地环保部门报告污染治理设施运行情况、污染物排放情况以及污染事故、污染纠纷等情况。</w:t>
      </w:r>
    </w:p>
    <w:p>
      <w:pPr>
        <w:ind w:firstLine="480"/>
        <w:rPr>
          <w:rFonts w:ascii="Times New Roman" w:hAnsi="Times New Roman"/>
          <w:color w:val="auto"/>
        </w:rPr>
      </w:pPr>
      <w:r>
        <w:rPr>
          <w:rFonts w:hint="eastAsia" w:ascii="Times New Roman" w:hAnsi="Times New Roman" w:cs="宋体"/>
          <w:color w:val="auto"/>
        </w:rPr>
        <w:t>④</w:t>
      </w:r>
      <w:r>
        <w:rPr>
          <w:rFonts w:ascii="Times New Roman" w:hAnsi="Times New Roman"/>
          <w:color w:val="auto"/>
        </w:rPr>
        <w:t>企业排污发生重大变化、污染治理设施改变或生产运行计划改变等都必须向当地环保部门申报，经审批同意后方可实施。</w:t>
      </w:r>
    </w:p>
    <w:p>
      <w:pPr>
        <w:pStyle w:val="592"/>
        <w:numPr>
          <w:ilvl w:val="0"/>
          <w:numId w:val="37"/>
        </w:numPr>
        <w:rPr>
          <w:color w:val="auto"/>
        </w:rPr>
      </w:pPr>
      <w:bookmarkStart w:id="132" w:name="_Toc37350086"/>
      <w:r>
        <w:rPr>
          <w:color w:val="auto"/>
        </w:rPr>
        <w:t>环境管理制度</w:t>
      </w:r>
      <w:bookmarkEnd w:id="132"/>
    </w:p>
    <w:p>
      <w:pPr>
        <w:ind w:firstLine="480"/>
        <w:rPr>
          <w:rFonts w:ascii="Times New Roman" w:hAnsi="Times New Roman"/>
          <w:color w:val="auto"/>
        </w:rPr>
      </w:pPr>
      <w:bookmarkStart w:id="133" w:name="_Toc190464075"/>
      <w:bookmarkStart w:id="134" w:name="_Toc184884003"/>
      <w:bookmarkStart w:id="135" w:name="_Toc28953939"/>
      <w:bookmarkStart w:id="136" w:name="_Toc29709566"/>
      <w:bookmarkStart w:id="137" w:name="_Toc187120857"/>
      <w:bookmarkStart w:id="138" w:name="_Toc530200199"/>
      <w:bookmarkStart w:id="139" w:name="_Toc190464370"/>
      <w:bookmarkStart w:id="140" w:name="_Toc26866743"/>
      <w:bookmarkStart w:id="141" w:name="_Toc165664388"/>
      <w:bookmarkStart w:id="142" w:name="_Toc17274033"/>
      <w:bookmarkStart w:id="143" w:name="_Toc185376075"/>
      <w:r>
        <w:rPr>
          <w:rFonts w:ascii="Times New Roman" w:hAnsi="Times New Roman"/>
          <w:color w:val="auto"/>
        </w:rPr>
        <w:t>结合国家有关环保法律、法规，以及各级环保主管部门的规章制度、管理条例，企业应建立相应的环保管理制度，主要内容有：</w:t>
      </w:r>
    </w:p>
    <w:p>
      <w:pPr>
        <w:ind w:firstLine="480"/>
        <w:rPr>
          <w:rFonts w:ascii="Times New Roman" w:hAnsi="Times New Roman"/>
          <w:color w:val="auto"/>
        </w:rPr>
      </w:pPr>
      <w:r>
        <w:rPr>
          <w:rFonts w:ascii="Times New Roman" w:hAnsi="Times New Roman"/>
          <w:color w:val="auto"/>
        </w:rPr>
        <w:t>1、建立以总经理为组长的环保领导小组，并建立管理网络，实施厂、车间及具体管理人员的三级环保责任制。根据企业的实际情况建立环保科，具体负责全企业的环保管理工作，负责与环保管理部门联系，监督、检查环保设施的运行情况和环保制度的执行情况，检查备品备件落实情况，掌握行业环保先进技术，不断提高全企业的环保管理水平。</w:t>
      </w:r>
    </w:p>
    <w:p>
      <w:pPr>
        <w:ind w:firstLine="480"/>
        <w:rPr>
          <w:rFonts w:ascii="Times New Roman" w:hAnsi="Times New Roman"/>
          <w:color w:val="auto"/>
        </w:rPr>
      </w:pPr>
      <w:r>
        <w:rPr>
          <w:rFonts w:ascii="Times New Roman" w:hAnsi="Times New Roman"/>
          <w:color w:val="auto"/>
        </w:rPr>
        <w:t>2、严格执行“三同时”的管理条例。严格按照国家法律法规要求，严格执行“三同时”，确保污染处理设施能够和生产工艺“三同时”，和项目主体工程“同时施工”，做到与项目生产“同时验收运行”。</w:t>
      </w:r>
    </w:p>
    <w:p>
      <w:pPr>
        <w:ind w:firstLine="480"/>
        <w:rPr>
          <w:rFonts w:ascii="Times New Roman" w:hAnsi="Times New Roman"/>
          <w:color w:val="auto"/>
        </w:rPr>
      </w:pPr>
      <w:r>
        <w:rPr>
          <w:rFonts w:ascii="Times New Roman" w:hAnsi="Times New Roman"/>
          <w:color w:val="auto"/>
        </w:rPr>
        <w:t>3、建立报告制度。对排放的废水、废气等污染物实行排污许可证登记，按照地方环保主管部门的要求执行排污月报制度。固体废弃物实施台账制度，对产生的固废量、处置量进行及时登记，每月考核，真正使管理工作落到实处，有效地提高各环保设备的运转率和净化效率，同时要按照环保部门的要求，按时上报环保设施运行情况及排污申报表，以接受环保部门的监督。</w:t>
      </w:r>
    </w:p>
    <w:p>
      <w:pPr>
        <w:ind w:firstLine="480"/>
        <w:rPr>
          <w:rFonts w:ascii="Times New Roman" w:hAnsi="Times New Roman"/>
          <w:color w:val="auto"/>
        </w:rPr>
      </w:pPr>
      <w:r>
        <w:rPr>
          <w:rFonts w:ascii="Times New Roman" w:hAnsi="Times New Roman"/>
          <w:color w:val="auto"/>
        </w:rPr>
        <w:t>4、健全污染处理设施管理制度。保证处理设施能够长期、稳定、有效地进行处理运行。净化设施的操作管理与生产经营活动一起纳入日常管理工作的范畴，落实责任人、操作人员、维修人员、运行经费、设备的备品备件和其他原辅材料。制定各级岗位责任制，编制操作规程，建立管理台帐。</w:t>
      </w:r>
    </w:p>
    <w:p>
      <w:pPr>
        <w:ind w:firstLine="480"/>
        <w:rPr>
          <w:rFonts w:ascii="Times New Roman" w:hAnsi="Times New Roman"/>
          <w:color w:val="auto"/>
        </w:rPr>
      </w:pPr>
      <w:r>
        <w:rPr>
          <w:rFonts w:ascii="Times New Roman" w:hAnsi="Times New Roman"/>
          <w:color w:val="auto"/>
        </w:rPr>
        <w:t>5、加强企业VOCs排放申报登记和环境统计，建立完善的“一厂一档”，与VOCs排放相关的原辅料的使用、产品生产及输出、废气处理等信息应进行跟踪记录。</w:t>
      </w:r>
    </w:p>
    <w:bookmarkEnd w:id="133"/>
    <w:bookmarkEnd w:id="134"/>
    <w:bookmarkEnd w:id="135"/>
    <w:bookmarkEnd w:id="136"/>
    <w:bookmarkEnd w:id="137"/>
    <w:bookmarkEnd w:id="138"/>
    <w:bookmarkEnd w:id="139"/>
    <w:bookmarkEnd w:id="140"/>
    <w:bookmarkEnd w:id="141"/>
    <w:bookmarkEnd w:id="142"/>
    <w:bookmarkEnd w:id="143"/>
    <w:p>
      <w:pPr>
        <w:ind w:firstLine="480"/>
        <w:rPr>
          <w:rFonts w:ascii="Times New Roman" w:hAnsi="Times New Roman"/>
          <w:color w:val="auto"/>
        </w:rPr>
      </w:pPr>
      <w:r>
        <w:rPr>
          <w:rFonts w:ascii="Times New Roman" w:hAnsi="Times New Roman"/>
          <w:color w:val="auto"/>
        </w:rPr>
        <w:t>6、加强职工的环境保护知识教育，提高职工环保意识，增加对生产污染危害的认识，明白自身在生产劳动过程中的位置和责任。加强新招人员的上岗培训工作，严格执行培训考核制度，不合格人员决不允许上岗操作。</w:t>
      </w:r>
    </w:p>
    <w:p>
      <w:pPr>
        <w:pStyle w:val="592"/>
        <w:numPr>
          <w:ilvl w:val="0"/>
          <w:numId w:val="37"/>
        </w:numPr>
        <w:rPr>
          <w:color w:val="auto"/>
        </w:rPr>
      </w:pPr>
      <w:bookmarkStart w:id="144" w:name="_Toc37350087"/>
      <w:r>
        <w:rPr>
          <w:color w:val="auto"/>
        </w:rPr>
        <w:t>环境监测计划</w:t>
      </w:r>
      <w:bookmarkEnd w:id="144"/>
    </w:p>
    <w:p>
      <w:pPr>
        <w:ind w:firstLine="480"/>
        <w:rPr>
          <w:rFonts w:ascii="Times New Roman" w:hAnsi="Times New Roman"/>
          <w:color w:val="auto"/>
        </w:rPr>
      </w:pPr>
      <w:r>
        <w:rPr>
          <w:rFonts w:ascii="Times New Roman" w:hAnsi="Times New Roman"/>
          <w:color w:val="auto"/>
        </w:rPr>
        <w:t>环境监测信息是环境管理的根本依据，是环保工作不可缺少的基础，可委托当地环境监测机构开展常规监测，以指导环境管理及污染防治工作。</w:t>
      </w:r>
    </w:p>
    <w:p>
      <w:pPr>
        <w:pStyle w:val="4"/>
        <w:numPr>
          <w:ilvl w:val="0"/>
          <w:numId w:val="39"/>
        </w:numPr>
        <w:spacing w:beforeLines="0"/>
        <w:rPr>
          <w:rFonts w:ascii="Times New Roman" w:hAnsi="Times New Roman"/>
          <w:color w:val="auto"/>
          <w:sz w:val="24"/>
          <w:szCs w:val="24"/>
        </w:rPr>
      </w:pPr>
      <w:r>
        <w:rPr>
          <w:rFonts w:ascii="Times New Roman" w:hAnsi="Times New Roman"/>
          <w:color w:val="auto"/>
          <w:sz w:val="24"/>
          <w:szCs w:val="24"/>
        </w:rPr>
        <w:t>竣工验收监测</w:t>
      </w:r>
    </w:p>
    <w:p>
      <w:pPr>
        <w:ind w:firstLine="480"/>
        <w:jc w:val="left"/>
        <w:rPr>
          <w:rFonts w:ascii="Times New Roman" w:hAnsi="Times New Roman"/>
          <w:color w:val="auto"/>
        </w:rPr>
      </w:pPr>
      <w:r>
        <w:rPr>
          <w:rFonts w:ascii="Times New Roman" w:hAnsi="Times New Roman"/>
          <w:color w:val="auto"/>
        </w:rPr>
        <w:t>建设单位在建设项目投入试生产之日起3个月内，企业可依据相关法律法规自行组织对废气、废水环保设施竣工验收，须委托有资质的监测机构进行竣工验收监测。噪声和固废向当地环保局提出申请配套的环保设施竣工验收。</w:t>
      </w:r>
    </w:p>
    <w:p>
      <w:pPr>
        <w:pStyle w:val="4"/>
        <w:numPr>
          <w:ilvl w:val="0"/>
          <w:numId w:val="39"/>
        </w:numPr>
        <w:spacing w:beforeLines="0"/>
        <w:rPr>
          <w:rFonts w:ascii="Times New Roman" w:hAnsi="Times New Roman"/>
          <w:color w:val="auto"/>
          <w:sz w:val="24"/>
          <w:szCs w:val="24"/>
        </w:rPr>
      </w:pPr>
      <w:r>
        <w:rPr>
          <w:rFonts w:ascii="Times New Roman" w:hAnsi="Times New Roman"/>
          <w:color w:val="auto"/>
          <w:sz w:val="24"/>
          <w:szCs w:val="24"/>
        </w:rPr>
        <w:t>运营期常年监测</w:t>
      </w:r>
    </w:p>
    <w:p>
      <w:pPr>
        <w:ind w:firstLine="480"/>
        <w:jc w:val="left"/>
        <w:rPr>
          <w:rFonts w:ascii="Times New Roman" w:hAnsi="Times New Roman"/>
          <w:color w:val="auto"/>
        </w:rPr>
      </w:pPr>
      <w:r>
        <w:rPr>
          <w:rFonts w:ascii="Times New Roman" w:hAnsi="Times New Roman"/>
          <w:color w:val="auto"/>
        </w:rPr>
        <w:t>1、在所有环保设备经过试运转检验合格后，方可进入正常生产；</w:t>
      </w:r>
    </w:p>
    <w:p>
      <w:pPr>
        <w:ind w:firstLine="480"/>
        <w:jc w:val="left"/>
        <w:rPr>
          <w:rFonts w:ascii="Times New Roman" w:hAnsi="Times New Roman"/>
          <w:color w:val="auto"/>
        </w:rPr>
      </w:pPr>
      <w:r>
        <w:rPr>
          <w:rFonts w:ascii="Times New Roman" w:hAnsi="Times New Roman"/>
          <w:color w:val="auto"/>
        </w:rPr>
        <w:t>2、运营期的环保问题由企业主负责；</w:t>
      </w:r>
    </w:p>
    <w:p>
      <w:pPr>
        <w:ind w:firstLine="480"/>
        <w:jc w:val="left"/>
        <w:rPr>
          <w:rFonts w:ascii="Times New Roman" w:hAnsi="Times New Roman"/>
          <w:color w:val="auto"/>
        </w:rPr>
      </w:pPr>
      <w:r>
        <w:rPr>
          <w:rFonts w:ascii="Times New Roman" w:hAnsi="Times New Roman"/>
          <w:color w:val="auto"/>
        </w:rPr>
        <w:t>3、企业主必须保证所有环保设备的正常运行，并保证各类污染物达到国家的排放标准和管理要求；</w:t>
      </w:r>
    </w:p>
    <w:p>
      <w:pPr>
        <w:ind w:firstLine="480"/>
        <w:jc w:val="left"/>
        <w:rPr>
          <w:rFonts w:ascii="Times New Roman" w:hAnsi="Times New Roman"/>
          <w:color w:val="auto"/>
        </w:rPr>
      </w:pPr>
      <w:r>
        <w:rPr>
          <w:rFonts w:ascii="Times New Roman" w:hAnsi="Times New Roman"/>
          <w:color w:val="auto"/>
        </w:rPr>
        <w:t>4、对废水、废气进行定期监测，监测点位、监测项目和监测频率如表8-</w:t>
      </w:r>
      <w:r>
        <w:rPr>
          <w:rFonts w:hint="eastAsia" w:ascii="Times New Roman" w:hAnsi="Times New Roman"/>
          <w:color w:val="auto"/>
        </w:rPr>
        <w:t>2</w:t>
      </w:r>
      <w:r>
        <w:rPr>
          <w:rFonts w:ascii="Times New Roman" w:hAnsi="Times New Roman"/>
          <w:color w:val="auto"/>
        </w:rPr>
        <w:t>。</w:t>
      </w:r>
    </w:p>
    <w:p>
      <w:pPr>
        <w:numPr>
          <w:ilvl w:val="0"/>
          <w:numId w:val="38"/>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污染物排放监控计划</w:t>
      </w:r>
    </w:p>
    <w:tbl>
      <w:tblPr>
        <w:tblStyle w:val="83"/>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4697"/>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监测点</w:t>
            </w:r>
          </w:p>
        </w:tc>
        <w:tc>
          <w:tcPr>
            <w:tcW w:w="46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监测项目</w:t>
            </w:r>
          </w:p>
        </w:tc>
        <w:tc>
          <w:tcPr>
            <w:tcW w:w="22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废水总排放口</w:t>
            </w:r>
          </w:p>
        </w:tc>
        <w:tc>
          <w:tcPr>
            <w:tcW w:w="46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COD、氨氮</w:t>
            </w:r>
          </w:p>
        </w:tc>
        <w:tc>
          <w:tcPr>
            <w:tcW w:w="22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1次/</w:t>
            </w:r>
            <w:r>
              <w:rPr>
                <w:rFonts w:hint="eastAsia" w:ascii="Times New Roman" w:hAnsi="Times New Roman"/>
                <w:color w:val="auto"/>
                <w:sz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w:t>
            </w:r>
            <w:r>
              <w:rPr>
                <w:rFonts w:ascii="Times New Roman" w:hAnsi="Times New Roman"/>
                <w:color w:val="auto"/>
                <w:sz w:val="21"/>
              </w:rPr>
              <w:t>排气筒</w:t>
            </w:r>
          </w:p>
        </w:tc>
        <w:tc>
          <w:tcPr>
            <w:tcW w:w="46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r>
              <w:rPr>
                <w:rFonts w:hint="eastAsia" w:ascii="Times New Roman" w:hAnsi="Times New Roman"/>
                <w:color w:val="auto"/>
                <w:sz w:val="21"/>
              </w:rPr>
              <w:t>、苯乙烯、</w:t>
            </w:r>
            <w:r>
              <w:rPr>
                <w:rFonts w:ascii="Times New Roman" w:hAnsi="Times New Roman"/>
                <w:color w:val="auto"/>
                <w:sz w:val="21"/>
              </w:rPr>
              <w:t>1</w:t>
            </w:r>
            <w:r>
              <w:rPr>
                <w:rFonts w:hint="eastAsia" w:ascii="Times New Roman" w:hAnsi="Times New Roman"/>
                <w:color w:val="auto"/>
                <w:sz w:val="21"/>
              </w:rPr>
              <w:t>，</w:t>
            </w:r>
            <w:r>
              <w:rPr>
                <w:rFonts w:ascii="Times New Roman" w:hAnsi="Times New Roman"/>
                <w:color w:val="auto"/>
                <w:sz w:val="21"/>
              </w:rPr>
              <w:t>3 丁二烯、丙烯腈、氨</w:t>
            </w:r>
          </w:p>
        </w:tc>
        <w:tc>
          <w:tcPr>
            <w:tcW w:w="22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1次/</w:t>
            </w:r>
            <w:r>
              <w:rPr>
                <w:rFonts w:hint="eastAsia" w:ascii="Times New Roman" w:hAnsi="Times New Roman"/>
                <w:color w:val="auto"/>
                <w:sz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2#排气筒</w:t>
            </w:r>
          </w:p>
        </w:tc>
        <w:tc>
          <w:tcPr>
            <w:tcW w:w="46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颗粒物</w:t>
            </w:r>
          </w:p>
        </w:tc>
        <w:tc>
          <w:tcPr>
            <w:tcW w:w="22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1次/</w:t>
            </w:r>
            <w:r>
              <w:rPr>
                <w:rFonts w:hint="eastAsia" w:ascii="Times New Roman" w:hAnsi="Times New Roman"/>
                <w:color w:val="auto"/>
                <w:sz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厂界</w:t>
            </w:r>
          </w:p>
        </w:tc>
        <w:tc>
          <w:tcPr>
            <w:tcW w:w="469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非甲烷总烃、</w:t>
            </w:r>
            <w:r>
              <w:rPr>
                <w:rFonts w:hint="eastAsia" w:ascii="Times New Roman" w:hAnsi="Times New Roman"/>
                <w:color w:val="auto"/>
                <w:sz w:val="21"/>
              </w:rPr>
              <w:t>颗粒物、苯乙烯、</w:t>
            </w:r>
            <w:r>
              <w:rPr>
                <w:rFonts w:ascii="Times New Roman" w:hAnsi="Times New Roman"/>
                <w:color w:val="auto"/>
                <w:sz w:val="21"/>
              </w:rPr>
              <w:t>1</w:t>
            </w:r>
            <w:r>
              <w:rPr>
                <w:rFonts w:hint="eastAsia" w:ascii="Times New Roman" w:hAnsi="Times New Roman"/>
                <w:color w:val="auto"/>
                <w:sz w:val="21"/>
              </w:rPr>
              <w:t>，</w:t>
            </w:r>
            <w:r>
              <w:rPr>
                <w:rFonts w:ascii="Times New Roman" w:hAnsi="Times New Roman"/>
                <w:color w:val="auto"/>
                <w:sz w:val="21"/>
              </w:rPr>
              <w:t>3 丁二烯、丙烯腈、氨</w:t>
            </w:r>
          </w:p>
        </w:tc>
        <w:tc>
          <w:tcPr>
            <w:tcW w:w="22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1次/</w:t>
            </w:r>
            <w:r>
              <w:rPr>
                <w:rFonts w:hint="eastAsia" w:ascii="Times New Roman" w:hAnsi="Times New Roman"/>
                <w:color w:val="auto"/>
                <w:sz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69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噪声</w:t>
            </w:r>
          </w:p>
        </w:tc>
        <w:tc>
          <w:tcPr>
            <w:tcW w:w="22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1次/</w:t>
            </w:r>
            <w:r>
              <w:rPr>
                <w:rFonts w:hint="eastAsia" w:ascii="Times New Roman" w:hAnsi="Times New Roman"/>
                <w:color w:val="auto"/>
                <w:sz w:val="21"/>
              </w:rPr>
              <w:t>半年</w:t>
            </w:r>
            <w:r>
              <w:rPr>
                <w:rFonts w:ascii="Times New Roman" w:hAnsi="Times New Roman"/>
                <w:color w:val="auto"/>
                <w:sz w:val="21"/>
              </w:rPr>
              <w:t>，昼</w:t>
            </w:r>
            <w:r>
              <w:rPr>
                <w:rFonts w:hint="eastAsia" w:ascii="Times New Roman" w:hAnsi="Times New Roman"/>
                <w:color w:val="auto"/>
                <w:sz w:val="21"/>
              </w:rPr>
              <w:t>夜间各</w:t>
            </w:r>
            <w:r>
              <w:rPr>
                <w:rFonts w:ascii="Times New Roman" w:hAnsi="Times New Roman"/>
                <w:color w:val="auto"/>
                <w:sz w:val="21"/>
              </w:rPr>
              <w:t>1次</w:t>
            </w:r>
          </w:p>
        </w:tc>
      </w:tr>
    </w:tbl>
    <w:p>
      <w:pPr>
        <w:ind w:firstLine="480"/>
        <w:jc w:val="left"/>
        <w:rPr>
          <w:rFonts w:ascii="Times New Roman" w:hAnsi="Times New Roman"/>
          <w:color w:val="auto"/>
        </w:rPr>
      </w:pPr>
      <w:r>
        <w:rPr>
          <w:rFonts w:ascii="Times New Roman" w:hAnsi="Times New Roman"/>
          <w:color w:val="auto"/>
        </w:rPr>
        <w:t>上述监测若企业不具备监测条件，须委托得到环境管理部门认可的具有监测资质的单位进行监测，监测结果以报告形式上报当地环保部门。</w:t>
      </w:r>
    </w:p>
    <w:p>
      <w:pPr>
        <w:ind w:firstLine="480"/>
        <w:jc w:val="left"/>
        <w:rPr>
          <w:rFonts w:ascii="Times New Roman" w:hAnsi="Times New Roman"/>
          <w:color w:val="auto"/>
        </w:rPr>
      </w:pPr>
    </w:p>
    <w:p>
      <w:pPr>
        <w:ind w:firstLine="480"/>
        <w:jc w:val="left"/>
        <w:rPr>
          <w:rFonts w:ascii="Times New Roman" w:hAnsi="Times New Roman"/>
          <w:color w:val="auto"/>
        </w:rPr>
      </w:pPr>
    </w:p>
    <w:p>
      <w:pPr>
        <w:ind w:firstLine="480"/>
        <w:jc w:val="left"/>
        <w:rPr>
          <w:rFonts w:ascii="Times New Roman" w:hAnsi="Times New Roman"/>
          <w:color w:val="auto"/>
        </w:rPr>
      </w:pPr>
    </w:p>
    <w:p>
      <w:pPr>
        <w:ind w:firstLine="480"/>
        <w:jc w:val="left"/>
        <w:rPr>
          <w:rFonts w:ascii="Times New Roman" w:hAnsi="Times New Roman"/>
          <w:color w:val="auto"/>
        </w:rPr>
      </w:pPr>
    </w:p>
    <w:p>
      <w:pPr>
        <w:pStyle w:val="583"/>
        <w:numPr>
          <w:ilvl w:val="0"/>
          <w:numId w:val="37"/>
        </w:numPr>
        <w:spacing w:beforeLines="0"/>
        <w:rPr>
          <w:rFonts w:ascii="Times New Roman" w:hAnsi="Times New Roman"/>
          <w:color w:val="auto"/>
          <w:sz w:val="28"/>
          <w:szCs w:val="28"/>
        </w:rPr>
      </w:pPr>
      <w:bookmarkStart w:id="145" w:name="_Toc37350088"/>
      <w:r>
        <w:rPr>
          <w:rFonts w:ascii="Times New Roman" w:hAnsi="Times New Roman"/>
          <w:color w:val="auto"/>
          <w:sz w:val="28"/>
          <w:szCs w:val="28"/>
        </w:rPr>
        <w:t>项目环保“三同时”竣工验收一览表</w:t>
      </w:r>
      <w:bookmarkEnd w:id="145"/>
    </w:p>
    <w:p>
      <w:pPr>
        <w:numPr>
          <w:ilvl w:val="0"/>
          <w:numId w:val="38"/>
        </w:numPr>
        <w:spacing w:line="240" w:lineRule="auto"/>
        <w:ind w:left="0" w:firstLine="0" w:firstLineChars="0"/>
        <w:jc w:val="center"/>
        <w:rPr>
          <w:rFonts w:ascii="Times New Roman" w:hAnsi="Times New Roman"/>
          <w:b/>
          <w:color w:val="auto"/>
          <w:sz w:val="21"/>
        </w:rPr>
      </w:pPr>
      <w:r>
        <w:rPr>
          <w:rFonts w:ascii="Times New Roman" w:hAnsi="Times New Roman"/>
          <w:b/>
          <w:color w:val="auto"/>
          <w:sz w:val="21"/>
        </w:rPr>
        <w:t>建设项目环境保护“三同时”验收一览表</w:t>
      </w:r>
    </w:p>
    <w:tbl>
      <w:tblPr>
        <w:tblStyle w:val="8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9"/>
        <w:gridCol w:w="1524"/>
        <w:gridCol w:w="2995"/>
        <w:gridCol w:w="3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833" w:type="dxa"/>
            <w:gridSpan w:val="4"/>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运营期环保措施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类别</w:t>
            </w:r>
          </w:p>
        </w:tc>
        <w:tc>
          <w:tcPr>
            <w:tcW w:w="1524"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治理设施或措施</w:t>
            </w:r>
          </w:p>
        </w:tc>
        <w:tc>
          <w:tcPr>
            <w:tcW w:w="3725" w:type="dxa"/>
            <w:tcBorders>
              <w:bottom w:val="single" w:color="auto" w:sz="4" w:space="0"/>
            </w:tcBorders>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预期处理效果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0" w:hRule="atLeast"/>
          <w:jc w:val="center"/>
        </w:trPr>
        <w:tc>
          <w:tcPr>
            <w:tcW w:w="589" w:type="dxa"/>
            <w:vMerge w:val="restart"/>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废气治理</w:t>
            </w: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熔融挤出废气</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集气罩+喷射塔+</w:t>
            </w:r>
            <w:r>
              <w:rPr>
                <w:rFonts w:hint="eastAsia" w:ascii="Times New Roman" w:hAnsi="Times New Roman"/>
                <w:color w:val="auto"/>
                <w:sz w:val="21"/>
              </w:rPr>
              <w:t>油烟净化器+</w:t>
            </w:r>
            <w:r>
              <w:rPr>
                <w:rFonts w:ascii="Times New Roman" w:hAnsi="Times New Roman"/>
                <w:color w:val="auto"/>
                <w:sz w:val="21"/>
              </w:rPr>
              <w:t>UV光氧+活性炭装置</w:t>
            </w:r>
            <w:r>
              <w:rPr>
                <w:rFonts w:hint="eastAsia" w:ascii="Times New Roman" w:hAnsi="Times New Roman"/>
                <w:color w:val="auto"/>
                <w:sz w:val="21"/>
              </w:rPr>
              <w:t>+20</w:t>
            </w:r>
            <w:r>
              <w:rPr>
                <w:rFonts w:ascii="Times New Roman" w:hAnsi="Times New Roman"/>
                <w:color w:val="auto"/>
                <w:sz w:val="21"/>
              </w:rPr>
              <w:t>m排气筒</w:t>
            </w:r>
          </w:p>
        </w:tc>
        <w:tc>
          <w:tcPr>
            <w:tcW w:w="372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废气有组织排放执行《合成树脂工业污染物排放标准》（GB31572-2015）中的大气污染物特别排放限值，无组织排放执行《合成树脂工业污染物排放标准》（GB31572-2015）中的企业边界大气污染物浓度限值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臭气</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加强对车间通风换气，保持车间内空气流通</w:t>
            </w:r>
          </w:p>
        </w:tc>
        <w:tc>
          <w:tcPr>
            <w:tcW w:w="372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达到《恶臭污染物排放标准》（GB14554-93）中的二级标准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颗粒物</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pacing w:val="-4"/>
                <w:sz w:val="21"/>
              </w:rPr>
              <w:t>破碎</w:t>
            </w:r>
            <w:r>
              <w:rPr>
                <w:rFonts w:ascii="Times New Roman" w:hAnsi="Times New Roman"/>
                <w:color w:val="auto"/>
                <w:sz w:val="21"/>
              </w:rPr>
              <w:t>粉尘收集经布袋除尘处理后</w:t>
            </w:r>
            <w:r>
              <w:rPr>
                <w:rFonts w:hint="eastAsia" w:ascii="Times New Roman" w:hAnsi="Times New Roman"/>
                <w:color w:val="auto"/>
                <w:sz w:val="21"/>
              </w:rPr>
              <w:t>高空排放（</w:t>
            </w:r>
            <w:r>
              <w:rPr>
                <w:rFonts w:ascii="Times New Roman" w:hAnsi="Times New Roman"/>
                <w:color w:val="auto"/>
                <w:sz w:val="21"/>
              </w:rPr>
              <w:t>2</w:t>
            </w:r>
            <w:r>
              <w:rPr>
                <w:rFonts w:hint="eastAsia" w:ascii="Times New Roman" w:hAnsi="Times New Roman"/>
                <w:color w:val="auto"/>
                <w:sz w:val="21"/>
              </w:rPr>
              <w:t>0</w:t>
            </w:r>
            <w:r>
              <w:rPr>
                <w:rFonts w:ascii="Times New Roman" w:hAnsi="Times New Roman"/>
                <w:color w:val="auto"/>
                <w:sz w:val="21"/>
              </w:rPr>
              <w:t>m），废气收集率不小于 85%，除尘效率不低于 9</w:t>
            </w:r>
            <w:r>
              <w:rPr>
                <w:rFonts w:hint="eastAsia" w:ascii="Times New Roman" w:hAnsi="Times New Roman"/>
                <w:color w:val="auto"/>
                <w:sz w:val="21"/>
              </w:rPr>
              <w:t>9</w:t>
            </w:r>
            <w:r>
              <w:rPr>
                <w:rFonts w:ascii="Times New Roman" w:hAnsi="Times New Roman"/>
                <w:color w:val="auto"/>
                <w:sz w:val="21"/>
              </w:rPr>
              <w:t>%。</w:t>
            </w:r>
          </w:p>
        </w:tc>
        <w:tc>
          <w:tcPr>
            <w:tcW w:w="372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废气有组织排放执行《合成树脂工业污染物排放标准》（GB31572-2015）中的大气污染物特别排放限值，无组织排放执行《合成树脂工业污染物排放标准》（GB31572-2015）中的企业边界大气污染物浓度限值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589" w:type="dxa"/>
            <w:vMerge w:val="restart"/>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废水治理</w:t>
            </w:r>
          </w:p>
        </w:tc>
        <w:tc>
          <w:tcPr>
            <w:tcW w:w="1524"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生活污水</w:t>
            </w:r>
          </w:p>
        </w:tc>
        <w:tc>
          <w:tcPr>
            <w:tcW w:w="299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生活</w:t>
            </w:r>
            <w:r>
              <w:rPr>
                <w:rFonts w:hint="eastAsia" w:ascii="Times New Roman" w:hAnsi="Times New Roman"/>
                <w:color w:val="auto"/>
                <w:sz w:val="21"/>
              </w:rPr>
              <w:t>污</w:t>
            </w:r>
            <w:r>
              <w:rPr>
                <w:rFonts w:ascii="Times New Roman" w:hAnsi="Times New Roman"/>
                <w:color w:val="auto"/>
                <w:sz w:val="21"/>
              </w:rPr>
              <w:t>水</w:t>
            </w:r>
            <w:r>
              <w:rPr>
                <w:rFonts w:hint="eastAsia" w:ascii="Times New Roman" w:hAnsi="Times New Roman"/>
                <w:color w:val="auto"/>
                <w:sz w:val="21"/>
              </w:rPr>
              <w:t>经</w:t>
            </w:r>
            <w:r>
              <w:rPr>
                <w:rFonts w:ascii="Times New Roman" w:hAnsi="Times New Roman"/>
                <w:color w:val="auto"/>
                <w:sz w:val="21"/>
              </w:rPr>
              <w:t>化粪池预处理达《污水综合排放标准》（GB8978-1996）三级标准后</w:t>
            </w:r>
            <w:r>
              <w:rPr>
                <w:rFonts w:hint="eastAsia" w:ascii="Times New Roman" w:hAnsi="Times New Roman"/>
                <w:color w:val="auto"/>
                <w:sz w:val="21"/>
              </w:rPr>
              <w:t>排入污水管网，</w:t>
            </w:r>
            <w:r>
              <w:rPr>
                <w:rStyle w:val="782"/>
                <w:rFonts w:hint="default" w:ascii="Times New Roman" w:hAnsi="Times New Roman"/>
                <w:color w:val="auto"/>
                <w:sz w:val="21"/>
                <w:szCs w:val="21"/>
              </w:rPr>
              <w:t>最终进入苍南县临港产业基地启动区污水处理厂处理达标后排放</w:t>
            </w:r>
            <w:r>
              <w:rPr>
                <w:rFonts w:hint="eastAsia" w:ascii="Times New Roman" w:hAnsi="Times New Roman"/>
                <w:color w:val="auto"/>
                <w:sz w:val="21"/>
              </w:rPr>
              <w:t>。</w:t>
            </w:r>
          </w:p>
        </w:tc>
        <w:tc>
          <w:tcPr>
            <w:tcW w:w="372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经</w:t>
            </w:r>
            <w:r>
              <w:rPr>
                <w:rFonts w:ascii="Times New Roman" w:hAnsi="Times New Roman"/>
                <w:color w:val="auto"/>
                <w:sz w:val="21"/>
              </w:rPr>
              <w:t>化粪池预处理达《污水综合排放标准》（GB8978-1996）三级标准</w:t>
            </w:r>
            <w:r>
              <w:rPr>
                <w:rFonts w:hint="eastAsia" w:ascii="Times New Roman" w:hAnsi="Times New Roman"/>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造粒冷却水</w:t>
            </w:r>
          </w:p>
        </w:tc>
        <w:tc>
          <w:tcPr>
            <w:tcW w:w="299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循环使用不外排，定期补充新鲜水。</w:t>
            </w:r>
          </w:p>
        </w:tc>
        <w:tc>
          <w:tcPr>
            <w:tcW w:w="372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循环使用，不外排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喷射塔废水</w:t>
            </w:r>
          </w:p>
        </w:tc>
        <w:tc>
          <w:tcPr>
            <w:tcW w:w="299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循环使用不外排，定期补充新鲜水。</w:t>
            </w:r>
          </w:p>
        </w:tc>
        <w:tc>
          <w:tcPr>
            <w:tcW w:w="372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循环使用，不外排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噪声治理</w:t>
            </w:r>
          </w:p>
        </w:tc>
        <w:tc>
          <w:tcPr>
            <w:tcW w:w="1524"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设备噪声</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隔声降噪、加强管理</w:t>
            </w:r>
          </w:p>
        </w:tc>
        <w:tc>
          <w:tcPr>
            <w:tcW w:w="372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达到《工业企业厂界环境噪声排放标准》</w:t>
            </w:r>
          </w:p>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（GB12348-2008）中的</w:t>
            </w:r>
            <w:r>
              <w:rPr>
                <w:rFonts w:hint="eastAsia" w:ascii="Times New Roman" w:hAnsi="Times New Roman"/>
                <w:color w:val="auto"/>
                <w:sz w:val="21"/>
              </w:rPr>
              <w:t>3</w:t>
            </w:r>
            <w:r>
              <w:rPr>
                <w:rFonts w:ascii="Times New Roman" w:hAnsi="Times New Roman"/>
                <w:color w:val="auto"/>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restart"/>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固废治理</w:t>
            </w: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299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rPr>
            </w:pPr>
            <w:r>
              <w:rPr>
                <w:rFonts w:hint="eastAsia" w:ascii="Times New Roman" w:hAnsi="Times New Roman"/>
                <w:color w:val="auto"/>
                <w:sz w:val="21"/>
              </w:rPr>
              <w:t>由相关单位回收综合利用</w:t>
            </w:r>
          </w:p>
        </w:tc>
        <w:tc>
          <w:tcPr>
            <w:tcW w:w="3725" w:type="dxa"/>
            <w:vMerge w:val="restart"/>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减量化、资源化、无害化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299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rPr>
            </w:pPr>
            <w:r>
              <w:rPr>
                <w:rFonts w:hint="eastAsia" w:ascii="Times New Roman" w:hAnsi="Times New Roman"/>
                <w:color w:val="auto"/>
                <w:kern w:val="0"/>
                <w:sz w:val="21"/>
              </w:rPr>
              <w:t>由相关单位回收综合利用。</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299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kern w:val="0"/>
                <w:sz w:val="21"/>
              </w:rPr>
            </w:pPr>
            <w:r>
              <w:rPr>
                <w:rFonts w:ascii="Times New Roman" w:hAnsi="Times New Roman"/>
                <w:color w:val="auto"/>
                <w:kern w:val="0"/>
                <w:sz w:val="21"/>
              </w:rPr>
              <w:t>委托资质单位处置</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299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kern w:val="0"/>
                <w:sz w:val="21"/>
              </w:rPr>
            </w:pPr>
            <w:r>
              <w:rPr>
                <w:rFonts w:ascii="Times New Roman" w:hAnsi="Times New Roman"/>
                <w:color w:val="auto"/>
                <w:sz w:val="21"/>
              </w:rPr>
              <w:t>由当地环卫部门清运处置</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挤出机废弃过滤网</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由废塑料加工单位回收进行滤网再生</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kern w:val="0"/>
                <w:sz w:val="21"/>
              </w:rPr>
              <w:t>委托资质单位处置</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委托资质单位处置</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油烟处理收集的废油</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委托资质单位处置</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sz w:val="21"/>
              </w:rPr>
              <w:t>委托资质单位处置</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89"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52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生活垃圾</w:t>
            </w:r>
          </w:p>
        </w:tc>
        <w:tc>
          <w:tcPr>
            <w:tcW w:w="2995" w:type="dxa"/>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由当地环卫部门清运处置</w:t>
            </w:r>
          </w:p>
        </w:tc>
        <w:tc>
          <w:tcPr>
            <w:tcW w:w="3725" w:type="dxa"/>
            <w:vMerge w:val="continue"/>
            <w:vAlign w:val="center"/>
          </w:tcPr>
          <w:p>
            <w:pPr>
              <w:keepNext w:val="0"/>
              <w:keepLines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bl>
    <w:p>
      <w:pPr>
        <w:ind w:firstLine="480"/>
        <w:jc w:val="left"/>
        <w:rPr>
          <w:rFonts w:ascii="Times New Roman" w:hAnsi="Times New Roman"/>
          <w:color w:val="auto"/>
        </w:rPr>
        <w:sectPr>
          <w:headerReference r:id="rId20" w:type="default"/>
          <w:footerReference r:id="rId21" w:type="default"/>
          <w:pgSz w:w="11906" w:h="16838"/>
          <w:pgMar w:top="1440" w:right="1287" w:bottom="1440" w:left="1797" w:header="851" w:footer="992" w:gutter="0"/>
          <w:cols w:space="720" w:num="1"/>
          <w:docGrid w:linePitch="312" w:charSpace="0"/>
        </w:sectPr>
      </w:pPr>
    </w:p>
    <w:p>
      <w:pPr>
        <w:pStyle w:val="438"/>
        <w:spacing w:before="240" w:line="360" w:lineRule="auto"/>
        <w:rPr>
          <w:color w:val="auto"/>
        </w:rPr>
      </w:pPr>
      <w:bookmarkStart w:id="146" w:name="_Toc37350089"/>
      <w:r>
        <w:rPr>
          <w:color w:val="auto"/>
        </w:rPr>
        <w:t>环境影响评价结论</w:t>
      </w:r>
      <w:bookmarkEnd w:id="146"/>
    </w:p>
    <w:p>
      <w:pPr>
        <w:pStyle w:val="592"/>
        <w:numPr>
          <w:ilvl w:val="0"/>
          <w:numId w:val="40"/>
        </w:numPr>
        <w:rPr>
          <w:color w:val="auto"/>
        </w:rPr>
      </w:pPr>
      <w:bookmarkStart w:id="147" w:name="_Toc37350090"/>
      <w:r>
        <w:rPr>
          <w:color w:val="auto"/>
        </w:rPr>
        <w:t>建设项目概况</w:t>
      </w:r>
      <w:bookmarkEnd w:id="147"/>
    </w:p>
    <w:p>
      <w:pPr>
        <w:ind w:firstLine="480"/>
        <w:rPr>
          <w:rFonts w:ascii="Times New Roman" w:hAnsi="Times New Roman"/>
          <w:color w:val="auto"/>
          <w:szCs w:val="24"/>
        </w:rPr>
      </w:pPr>
      <w:r>
        <w:rPr>
          <w:rFonts w:ascii="Times New Roman" w:hAnsi="Times New Roman"/>
          <w:color w:val="auto"/>
          <w:szCs w:val="24"/>
        </w:rPr>
        <w:t>项目名称：温州旭财新材料有限公司年再生利用3.2万吨废塑料生产项目</w:t>
      </w:r>
      <w:r>
        <w:rPr>
          <w:rFonts w:hint="eastAsia" w:ascii="Times New Roman" w:hAnsi="Times New Roman"/>
          <w:color w:val="auto"/>
          <w:szCs w:val="24"/>
        </w:rPr>
        <w:t>。</w:t>
      </w:r>
    </w:p>
    <w:p>
      <w:pPr>
        <w:tabs>
          <w:tab w:val="left" w:pos="5220"/>
        </w:tabs>
        <w:ind w:firstLine="480"/>
        <w:rPr>
          <w:rFonts w:ascii="Times New Roman" w:hAnsi="Times New Roman"/>
          <w:color w:val="auto"/>
          <w:szCs w:val="24"/>
        </w:rPr>
      </w:pPr>
      <w:r>
        <w:rPr>
          <w:rFonts w:ascii="Times New Roman" w:hAnsi="Times New Roman"/>
          <w:color w:val="auto"/>
          <w:szCs w:val="24"/>
        </w:rPr>
        <w:t>建设性质：新建。</w:t>
      </w:r>
      <w:r>
        <w:rPr>
          <w:rFonts w:ascii="Times New Roman" w:hAnsi="Times New Roman"/>
          <w:color w:val="auto"/>
          <w:szCs w:val="24"/>
        </w:rPr>
        <w:tab/>
      </w:r>
    </w:p>
    <w:p>
      <w:pPr>
        <w:ind w:firstLine="480"/>
        <w:rPr>
          <w:rFonts w:ascii="Times New Roman" w:hAnsi="Times New Roman"/>
          <w:color w:val="auto"/>
          <w:szCs w:val="24"/>
        </w:rPr>
      </w:pPr>
      <w:r>
        <w:rPr>
          <w:rFonts w:ascii="Times New Roman" w:hAnsi="Times New Roman"/>
          <w:color w:val="auto"/>
          <w:szCs w:val="24"/>
        </w:rPr>
        <w:t>建设地点：</w:t>
      </w:r>
      <w:r>
        <w:rPr>
          <w:rFonts w:ascii="Times New Roman" w:hAnsi="Times New Roman"/>
          <w:color w:val="auto"/>
        </w:rPr>
        <w:t>温州市龙港</w:t>
      </w:r>
      <w:r>
        <w:rPr>
          <w:rFonts w:hint="eastAsia" w:ascii="Times New Roman" w:hAnsi="Times New Roman"/>
          <w:color w:val="auto"/>
        </w:rPr>
        <w:t>临港产业基地启动区东塘路385-441号内4号楼</w:t>
      </w:r>
      <w:r>
        <w:rPr>
          <w:rFonts w:ascii="Times New Roman" w:hAnsi="Times New Roman"/>
          <w:color w:val="auto"/>
        </w:rPr>
        <w:t>厂房</w:t>
      </w:r>
      <w:r>
        <w:rPr>
          <w:rFonts w:hint="eastAsia" w:ascii="Times New Roman" w:hAnsi="Times New Roman"/>
          <w:color w:val="auto"/>
          <w:szCs w:val="24"/>
        </w:rPr>
        <w:t>。</w:t>
      </w:r>
    </w:p>
    <w:p>
      <w:pPr>
        <w:ind w:firstLine="480"/>
        <w:rPr>
          <w:rFonts w:ascii="Times New Roman" w:hAnsi="Times New Roman"/>
          <w:color w:val="auto"/>
          <w:szCs w:val="24"/>
        </w:rPr>
      </w:pPr>
      <w:r>
        <w:rPr>
          <w:rFonts w:ascii="Times New Roman" w:hAnsi="Times New Roman"/>
          <w:color w:val="auto"/>
          <w:szCs w:val="24"/>
        </w:rPr>
        <w:t>主要建设内容及生产规模：企业租赁</w:t>
      </w:r>
      <w:r>
        <w:rPr>
          <w:rFonts w:hint="eastAsia" w:ascii="Times New Roman" w:hAnsi="Times New Roman"/>
          <w:color w:val="auto"/>
          <w:szCs w:val="24"/>
        </w:rPr>
        <w:t>总建筑面积约3120</w:t>
      </w:r>
      <w:r>
        <w:rPr>
          <w:rFonts w:ascii="Times New Roman" w:hAnsi="Times New Roman"/>
          <w:color w:val="auto"/>
          <w:szCs w:val="24"/>
        </w:rPr>
        <w:t>m</w:t>
      </w:r>
      <w:r>
        <w:rPr>
          <w:rFonts w:ascii="Times New Roman" w:hAnsi="Times New Roman"/>
          <w:color w:val="auto"/>
          <w:szCs w:val="24"/>
          <w:vertAlign w:val="superscript"/>
        </w:rPr>
        <w:t>2</w:t>
      </w:r>
      <w:r>
        <w:rPr>
          <w:rFonts w:ascii="Times New Roman" w:hAnsi="Times New Roman"/>
          <w:color w:val="auto"/>
          <w:szCs w:val="24"/>
        </w:rPr>
        <w:t>，购置 6 条废塑料再生利用生产线及配套设备，形成年再生利用 3.2万 吨废塑料的生产规模。</w:t>
      </w:r>
    </w:p>
    <w:p>
      <w:pPr>
        <w:ind w:firstLine="480"/>
        <w:rPr>
          <w:rFonts w:ascii="Times New Roman" w:hAnsi="Times New Roman"/>
          <w:color w:val="auto"/>
          <w:szCs w:val="24"/>
        </w:rPr>
      </w:pPr>
      <w:r>
        <w:rPr>
          <w:rFonts w:ascii="Times New Roman" w:hAnsi="Times New Roman"/>
          <w:color w:val="auto"/>
          <w:szCs w:val="24"/>
        </w:rPr>
        <w:t>投资总额：本项目总投资约</w:t>
      </w:r>
      <w:r>
        <w:rPr>
          <w:rFonts w:hint="eastAsia" w:ascii="Times New Roman" w:hAnsi="Times New Roman"/>
          <w:color w:val="auto"/>
          <w:szCs w:val="24"/>
        </w:rPr>
        <w:t>1000</w:t>
      </w:r>
      <w:r>
        <w:rPr>
          <w:rFonts w:ascii="Times New Roman" w:hAnsi="Times New Roman"/>
          <w:color w:val="auto"/>
          <w:szCs w:val="24"/>
        </w:rPr>
        <w:t>万，</w:t>
      </w:r>
      <w:r>
        <w:rPr>
          <w:rFonts w:hint="eastAsia" w:ascii="Times New Roman" w:hAnsi="Times New Roman"/>
          <w:color w:val="auto"/>
          <w:szCs w:val="24"/>
        </w:rPr>
        <w:t>其中环保投资为46万元</w:t>
      </w:r>
      <w:r>
        <w:rPr>
          <w:rFonts w:ascii="Times New Roman" w:hAnsi="Times New Roman"/>
          <w:color w:val="auto"/>
          <w:szCs w:val="24"/>
        </w:rPr>
        <w:t>。</w:t>
      </w:r>
    </w:p>
    <w:p>
      <w:pPr>
        <w:ind w:firstLine="480"/>
        <w:rPr>
          <w:rFonts w:ascii="Times New Roman" w:hAnsi="Times New Roman"/>
          <w:color w:val="auto"/>
          <w:szCs w:val="24"/>
        </w:rPr>
      </w:pPr>
      <w:r>
        <w:rPr>
          <w:rFonts w:ascii="Times New Roman" w:hAnsi="Times New Roman"/>
          <w:color w:val="auto"/>
          <w:szCs w:val="24"/>
        </w:rPr>
        <w:t>定员及班制：项目劳动定员</w:t>
      </w:r>
      <w:r>
        <w:rPr>
          <w:rFonts w:hint="eastAsia" w:ascii="Times New Roman" w:hAnsi="Times New Roman"/>
          <w:color w:val="auto"/>
          <w:szCs w:val="24"/>
        </w:rPr>
        <w:t>54</w:t>
      </w:r>
      <w:r>
        <w:rPr>
          <w:rFonts w:ascii="Times New Roman" w:hAnsi="Times New Roman"/>
          <w:color w:val="auto"/>
          <w:szCs w:val="24"/>
        </w:rPr>
        <w:t>人，工作制度为</w:t>
      </w:r>
      <w:r>
        <w:rPr>
          <w:rFonts w:hint="eastAsia" w:ascii="Times New Roman" w:hAnsi="Times New Roman"/>
          <w:color w:val="auto"/>
          <w:szCs w:val="24"/>
        </w:rPr>
        <w:t>三</w:t>
      </w:r>
      <w:r>
        <w:rPr>
          <w:rFonts w:ascii="Times New Roman" w:hAnsi="Times New Roman"/>
          <w:color w:val="auto"/>
          <w:szCs w:val="24"/>
        </w:rPr>
        <w:t>班制，</w:t>
      </w:r>
      <w:r>
        <w:rPr>
          <w:rFonts w:hint="eastAsia" w:ascii="Times New Roman" w:hAnsi="Times New Roman"/>
          <w:color w:val="auto"/>
          <w:szCs w:val="24"/>
        </w:rPr>
        <w:t>24</w:t>
      </w:r>
      <w:r>
        <w:rPr>
          <w:rFonts w:ascii="Times New Roman" w:hAnsi="Times New Roman"/>
          <w:color w:val="auto"/>
          <w:szCs w:val="24"/>
        </w:rPr>
        <w:t>小时</w:t>
      </w:r>
      <w:r>
        <w:rPr>
          <w:rFonts w:hint="eastAsia" w:ascii="Times New Roman" w:hAnsi="Times New Roman"/>
          <w:color w:val="auto"/>
          <w:szCs w:val="24"/>
        </w:rPr>
        <w:t>，</w:t>
      </w:r>
      <w:r>
        <w:rPr>
          <w:rFonts w:ascii="Times New Roman" w:hAnsi="Times New Roman"/>
          <w:color w:val="auto"/>
          <w:szCs w:val="24"/>
        </w:rPr>
        <w:t>年工作时间3</w:t>
      </w:r>
      <w:r>
        <w:rPr>
          <w:rFonts w:hint="eastAsia" w:ascii="Times New Roman" w:hAnsi="Times New Roman"/>
          <w:color w:val="auto"/>
          <w:szCs w:val="24"/>
        </w:rPr>
        <w:t>3</w:t>
      </w:r>
      <w:r>
        <w:rPr>
          <w:rFonts w:ascii="Times New Roman" w:hAnsi="Times New Roman"/>
          <w:color w:val="auto"/>
          <w:szCs w:val="24"/>
        </w:rPr>
        <w:t>0天</w:t>
      </w:r>
      <w:r>
        <w:rPr>
          <w:rFonts w:hint="eastAsia" w:ascii="Times New Roman" w:hAnsi="Times New Roman"/>
          <w:color w:val="auto"/>
          <w:szCs w:val="24"/>
        </w:rPr>
        <w:t>，厂区内不设食宿</w:t>
      </w:r>
      <w:r>
        <w:rPr>
          <w:rFonts w:ascii="Times New Roman" w:hAnsi="Times New Roman"/>
          <w:color w:val="auto"/>
          <w:szCs w:val="24"/>
        </w:rPr>
        <w:t>。</w:t>
      </w:r>
    </w:p>
    <w:p>
      <w:pPr>
        <w:pStyle w:val="592"/>
        <w:numPr>
          <w:ilvl w:val="0"/>
          <w:numId w:val="40"/>
        </w:numPr>
        <w:rPr>
          <w:color w:val="auto"/>
        </w:rPr>
      </w:pPr>
      <w:bookmarkStart w:id="148" w:name="_Toc37350091"/>
      <w:r>
        <w:rPr>
          <w:color w:val="auto"/>
        </w:rPr>
        <w:t>环境质量现状</w:t>
      </w:r>
      <w:bookmarkEnd w:id="148"/>
    </w:p>
    <w:p>
      <w:pPr>
        <w:widowControl/>
        <w:ind w:firstLine="482"/>
        <w:jc w:val="left"/>
        <w:rPr>
          <w:rFonts w:ascii="Times New Roman" w:hAnsi="Times New Roman"/>
          <w:b/>
          <w:color w:val="auto"/>
        </w:rPr>
      </w:pPr>
      <w:r>
        <w:rPr>
          <w:rFonts w:hint="eastAsia" w:ascii="Times New Roman" w:hAnsi="Times New Roman"/>
          <w:b/>
          <w:color w:val="auto"/>
        </w:rPr>
        <w:t>1、</w:t>
      </w:r>
      <w:r>
        <w:rPr>
          <w:rFonts w:ascii="Times New Roman" w:hAnsi="Times New Roman"/>
          <w:b/>
          <w:color w:val="auto"/>
        </w:rPr>
        <w:t>环境空气</w:t>
      </w:r>
    </w:p>
    <w:p>
      <w:pPr>
        <w:widowControl/>
        <w:ind w:firstLine="480"/>
        <w:jc w:val="left"/>
        <w:rPr>
          <w:rFonts w:ascii="Times New Roman" w:hAnsi="Times New Roman"/>
          <w:color w:val="auto"/>
        </w:rPr>
      </w:pPr>
      <w:r>
        <w:rPr>
          <w:rFonts w:hint="eastAsia" w:ascii="Times New Roman" w:hAnsi="Times New Roman"/>
          <w:color w:val="auto"/>
        </w:rPr>
        <w:t>（1）基本污染物</w:t>
      </w:r>
    </w:p>
    <w:p>
      <w:pPr>
        <w:widowControl/>
        <w:ind w:firstLine="480"/>
        <w:jc w:val="left"/>
        <w:rPr>
          <w:rFonts w:ascii="Times New Roman" w:hAnsi="Times New Roman"/>
          <w:color w:val="auto"/>
        </w:rPr>
      </w:pPr>
      <w:r>
        <w:rPr>
          <w:rFonts w:ascii="Times New Roman" w:hAnsi="Times New Roman"/>
          <w:color w:val="auto"/>
        </w:rPr>
        <w:t>根据《温州市环境质量报告书》（2018年度）监测结果</w:t>
      </w:r>
      <w:r>
        <w:rPr>
          <w:rFonts w:hint="eastAsia" w:ascii="Times New Roman" w:hAnsi="Times New Roman"/>
          <w:color w:val="auto"/>
        </w:rPr>
        <w:t>，</w:t>
      </w:r>
      <w:r>
        <w:rPr>
          <w:rFonts w:ascii="Times New Roman" w:hAnsi="Times New Roman"/>
          <w:color w:val="auto"/>
        </w:rPr>
        <w:t>项目所在区域环境空气中SO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2</w:t>
      </w:r>
      <w:r>
        <w:rPr>
          <w:rFonts w:ascii="Times New Roman" w:hAnsi="Times New Roman"/>
          <w:color w:val="auto"/>
        </w:rPr>
        <w:t>、CO、O</w:t>
      </w:r>
      <w:r>
        <w:rPr>
          <w:rFonts w:ascii="Times New Roman" w:hAnsi="Times New Roman"/>
          <w:color w:val="auto"/>
          <w:vertAlign w:val="subscript"/>
        </w:rPr>
        <w:t>3</w:t>
      </w:r>
      <w:r>
        <w:rPr>
          <w:rFonts w:ascii="Times New Roman" w:hAnsi="Times New Roman"/>
          <w:color w:val="auto"/>
        </w:rPr>
        <w:t>、PM</w:t>
      </w:r>
      <w:r>
        <w:rPr>
          <w:rFonts w:ascii="Times New Roman" w:hAnsi="Times New Roman"/>
          <w:color w:val="auto"/>
          <w:vertAlign w:val="subscript"/>
        </w:rPr>
        <w:t>10</w:t>
      </w:r>
      <w:r>
        <w:rPr>
          <w:rFonts w:ascii="Times New Roman" w:hAnsi="Times New Roman"/>
          <w:color w:val="auto"/>
        </w:rPr>
        <w:t>和PM</w:t>
      </w:r>
      <w:r>
        <w:rPr>
          <w:rFonts w:ascii="Times New Roman" w:hAnsi="Times New Roman"/>
          <w:color w:val="auto"/>
          <w:vertAlign w:val="subscript"/>
        </w:rPr>
        <w:t>2.5</w:t>
      </w:r>
      <w:r>
        <w:rPr>
          <w:rFonts w:ascii="Times New Roman" w:hAnsi="Times New Roman"/>
          <w:color w:val="auto"/>
        </w:rPr>
        <w:t>六项基本污染物浓度均低于《环境空气质量标准》（GB3095-2012）中的二级标准，可见，项目所在地</w:t>
      </w:r>
      <w:r>
        <w:rPr>
          <w:rFonts w:hint="eastAsia" w:ascii="Times New Roman" w:hAnsi="Times New Roman"/>
          <w:color w:val="auto"/>
        </w:rPr>
        <w:t>苍南</w:t>
      </w:r>
      <w:r>
        <w:rPr>
          <w:rFonts w:ascii="Times New Roman" w:hAnsi="Times New Roman"/>
          <w:color w:val="auto"/>
        </w:rPr>
        <w:t>县属于达标区。</w:t>
      </w:r>
    </w:p>
    <w:p>
      <w:pPr>
        <w:widowControl/>
        <w:ind w:firstLine="480"/>
        <w:jc w:val="left"/>
        <w:rPr>
          <w:rFonts w:ascii="Times New Roman" w:hAnsi="Times New Roman"/>
          <w:color w:val="auto"/>
        </w:rPr>
      </w:pPr>
      <w:r>
        <w:rPr>
          <w:rFonts w:hint="eastAsia" w:ascii="Times New Roman" w:hAnsi="Times New Roman"/>
          <w:color w:val="auto"/>
        </w:rPr>
        <w:t>（2）其他</w:t>
      </w:r>
      <w:r>
        <w:rPr>
          <w:rFonts w:ascii="Times New Roman" w:hAnsi="Times New Roman"/>
          <w:color w:val="auto"/>
        </w:rPr>
        <w:t>污染</w:t>
      </w:r>
      <w:r>
        <w:rPr>
          <w:rFonts w:hint="eastAsia" w:ascii="Times New Roman" w:hAnsi="Times New Roman"/>
          <w:color w:val="auto"/>
        </w:rPr>
        <w:t>物</w:t>
      </w:r>
    </w:p>
    <w:p>
      <w:pPr>
        <w:widowControl/>
        <w:ind w:firstLine="480"/>
        <w:jc w:val="left"/>
        <w:rPr>
          <w:rFonts w:ascii="Times New Roman" w:hAnsi="Times New Roman"/>
          <w:color w:val="auto"/>
        </w:rPr>
      </w:pPr>
      <w:r>
        <w:rPr>
          <w:rFonts w:ascii="Times New Roman" w:hAnsi="Times New Roman"/>
          <w:color w:val="auto"/>
        </w:rPr>
        <w:t>根据监测结果，项目所在区域环境空气中其他污染</w:t>
      </w:r>
      <w:r>
        <w:rPr>
          <w:rFonts w:hint="eastAsia" w:ascii="Times New Roman" w:hAnsi="Times New Roman"/>
          <w:color w:val="auto"/>
        </w:rPr>
        <w:t>物</w:t>
      </w:r>
      <w:r>
        <w:rPr>
          <w:rFonts w:ascii="Times New Roman" w:hAnsi="Times New Roman"/>
          <w:color w:val="auto"/>
        </w:rPr>
        <w:t>非甲烷总烃满足《大气污染物综合排放标准详解》要求，</w:t>
      </w:r>
      <w:r>
        <w:rPr>
          <w:rFonts w:hint="eastAsia" w:ascii="Times New Roman" w:hAnsi="Times New Roman"/>
          <w:color w:val="auto"/>
          <w:szCs w:val="24"/>
        </w:rPr>
        <w:t>苯</w:t>
      </w:r>
      <w:r>
        <w:rPr>
          <w:rFonts w:hint="eastAsia" w:ascii="Times New Roman" w:hAnsi="Times New Roman"/>
          <w:color w:val="auto"/>
        </w:rPr>
        <w:t>乙烯满足</w:t>
      </w:r>
      <w:r>
        <w:rPr>
          <w:rFonts w:ascii="Times New Roman" w:hAnsi="Times New Roman"/>
          <w:color w:val="auto"/>
        </w:rPr>
        <w:t>《环境影响评价技术导则  大气环境》（HJ 2.2-2018）</w:t>
      </w:r>
      <w:r>
        <w:rPr>
          <w:rFonts w:hint="eastAsia" w:ascii="Times New Roman" w:hAnsi="Times New Roman"/>
          <w:color w:val="auto"/>
        </w:rPr>
        <w:t>附录D中的浓度限值。</w:t>
      </w:r>
      <w:r>
        <w:rPr>
          <w:rFonts w:ascii="Times New Roman" w:hAnsi="Times New Roman"/>
          <w:color w:val="auto"/>
        </w:rPr>
        <w:t>总体来讲，项目所在区域环境空气质量较好。</w:t>
      </w:r>
    </w:p>
    <w:p>
      <w:pPr>
        <w:widowControl/>
        <w:ind w:firstLine="482"/>
        <w:jc w:val="left"/>
        <w:rPr>
          <w:rFonts w:ascii="Times New Roman" w:hAnsi="Times New Roman"/>
          <w:b/>
          <w:color w:val="auto"/>
        </w:rPr>
      </w:pPr>
      <w:r>
        <w:rPr>
          <w:rFonts w:hint="eastAsia" w:ascii="Times New Roman" w:hAnsi="Times New Roman"/>
          <w:b/>
          <w:color w:val="auto"/>
        </w:rPr>
        <w:t>2、</w:t>
      </w:r>
      <w:r>
        <w:rPr>
          <w:rFonts w:ascii="Times New Roman" w:hAnsi="Times New Roman"/>
          <w:b/>
          <w:color w:val="auto"/>
        </w:rPr>
        <w:t>水环境</w:t>
      </w:r>
    </w:p>
    <w:p>
      <w:pPr>
        <w:widowControl/>
        <w:ind w:firstLine="480"/>
        <w:jc w:val="left"/>
        <w:rPr>
          <w:rFonts w:ascii="Times New Roman" w:hAnsi="Times New Roman"/>
          <w:color w:val="auto"/>
        </w:rPr>
      </w:pPr>
      <w:r>
        <w:rPr>
          <w:rFonts w:ascii="Times New Roman" w:hAnsi="Times New Roman"/>
          <w:color w:val="auto"/>
        </w:rPr>
        <w:t>对照《地表水环境质量标准》（GB3838-2002）水质标准，采用单因子评价方法，得出水质评价结果见表4-6。从各单项水质现状可以看出，本项目附近地表</w:t>
      </w:r>
      <w:r>
        <w:rPr>
          <w:rFonts w:hint="eastAsia" w:ascii="Times New Roman" w:hAnsi="Times New Roman"/>
          <w:color w:val="auto"/>
        </w:rPr>
        <w:t>除氨氮和总磷外</w:t>
      </w:r>
      <w:r>
        <w:rPr>
          <w:rFonts w:ascii="Times New Roman" w:hAnsi="Times New Roman"/>
          <w:color w:val="auto"/>
        </w:rPr>
        <w:t>，</w:t>
      </w:r>
      <w:r>
        <w:rPr>
          <w:rFonts w:hint="eastAsia" w:ascii="Times New Roman" w:hAnsi="Times New Roman"/>
          <w:color w:val="auto"/>
        </w:rPr>
        <w:t>其余因子均</w:t>
      </w:r>
      <w:r>
        <w:rPr>
          <w:rFonts w:ascii="Times New Roman" w:hAnsi="Times New Roman"/>
          <w:color w:val="auto"/>
        </w:rPr>
        <w:t>能</w:t>
      </w:r>
      <w:r>
        <w:rPr>
          <w:rFonts w:hint="eastAsia" w:ascii="Times New Roman" w:hAnsi="Times New Roman"/>
          <w:color w:val="auto"/>
        </w:rPr>
        <w:t>够</w:t>
      </w:r>
      <w:r>
        <w:rPr>
          <w:rFonts w:ascii="Times New Roman" w:hAnsi="Times New Roman"/>
          <w:color w:val="auto"/>
        </w:rPr>
        <w:t>满足</w:t>
      </w:r>
      <w:r>
        <w:rPr>
          <w:rFonts w:hint="eastAsia" w:ascii="Times New Roman" w:hAnsi="Times New Roman"/>
          <w:color w:val="auto"/>
        </w:rPr>
        <w:t>Ⅳ</w:t>
      </w:r>
      <w:r>
        <w:rPr>
          <w:rFonts w:ascii="Times New Roman" w:hAnsi="Times New Roman"/>
          <w:color w:val="auto"/>
        </w:rPr>
        <w:t>类地表水功能要求</w:t>
      </w:r>
      <w:r>
        <w:rPr>
          <w:rFonts w:hint="eastAsia" w:ascii="Times New Roman" w:hAnsi="Times New Roman"/>
          <w:color w:val="auto"/>
        </w:rPr>
        <w:t>，水体已受到一定程度的污染，主要原因可能是长期受沿线生活和农业污水的排放影响</w:t>
      </w:r>
      <w:r>
        <w:rPr>
          <w:rFonts w:ascii="Times New Roman" w:hAnsi="Times New Roman"/>
          <w:color w:val="auto"/>
        </w:rPr>
        <w:t>。</w:t>
      </w:r>
    </w:p>
    <w:p>
      <w:pPr>
        <w:widowControl/>
        <w:ind w:firstLine="482"/>
        <w:jc w:val="left"/>
        <w:rPr>
          <w:rFonts w:ascii="Times New Roman" w:hAnsi="Times New Roman"/>
          <w:b/>
          <w:color w:val="auto"/>
        </w:rPr>
      </w:pPr>
      <w:r>
        <w:rPr>
          <w:rFonts w:hint="eastAsia" w:ascii="Times New Roman" w:hAnsi="Times New Roman"/>
          <w:b/>
          <w:color w:val="auto"/>
        </w:rPr>
        <w:t>3、</w:t>
      </w:r>
      <w:r>
        <w:rPr>
          <w:rFonts w:ascii="Times New Roman" w:hAnsi="Times New Roman"/>
          <w:b/>
          <w:color w:val="auto"/>
        </w:rPr>
        <w:t>声环境</w:t>
      </w:r>
    </w:p>
    <w:p>
      <w:pPr>
        <w:widowControl/>
        <w:ind w:firstLine="480"/>
        <w:jc w:val="left"/>
        <w:rPr>
          <w:rFonts w:ascii="Times New Roman" w:hAnsi="Times New Roman"/>
          <w:color w:val="auto"/>
        </w:rPr>
      </w:pPr>
      <w:r>
        <w:rPr>
          <w:rFonts w:ascii="Times New Roman" w:hAnsi="Times New Roman"/>
          <w:color w:val="auto"/>
        </w:rPr>
        <w:t>由监测结果可知，</w:t>
      </w:r>
      <w:r>
        <w:rPr>
          <w:rFonts w:hint="eastAsia" w:ascii="Times New Roman" w:hAnsi="Times New Roman"/>
          <w:color w:val="auto"/>
        </w:rPr>
        <w:t>企业四侧厂界区域声环境满足</w:t>
      </w:r>
      <w:r>
        <w:rPr>
          <w:rFonts w:ascii="Times New Roman" w:hAnsi="Times New Roman"/>
          <w:color w:val="auto"/>
        </w:rPr>
        <w:t>《声环境质量标准》(GB3096-2008)</w:t>
      </w:r>
      <w:r>
        <w:rPr>
          <w:rFonts w:hint="eastAsia" w:ascii="Times New Roman" w:hAnsi="Times New Roman"/>
          <w:color w:val="auto"/>
        </w:rPr>
        <w:t>中3类声环境功能区标准要求，说</w:t>
      </w:r>
      <w:r>
        <w:rPr>
          <w:rFonts w:ascii="Times New Roman" w:hAnsi="Times New Roman"/>
          <w:color w:val="auto"/>
        </w:rPr>
        <w:t>明</w:t>
      </w:r>
      <w:r>
        <w:rPr>
          <w:rFonts w:hint="eastAsia" w:ascii="Times New Roman" w:hAnsi="Times New Roman"/>
          <w:color w:val="auto"/>
        </w:rPr>
        <w:t>企业所在地</w:t>
      </w:r>
      <w:r>
        <w:rPr>
          <w:rFonts w:ascii="Times New Roman" w:hAnsi="Times New Roman"/>
          <w:color w:val="auto"/>
        </w:rPr>
        <w:t>区域声环境质量现状良好。</w:t>
      </w:r>
    </w:p>
    <w:p>
      <w:pPr>
        <w:pStyle w:val="592"/>
        <w:numPr>
          <w:ilvl w:val="0"/>
          <w:numId w:val="40"/>
        </w:numPr>
        <w:rPr>
          <w:color w:val="auto"/>
        </w:rPr>
      </w:pPr>
      <w:bookmarkStart w:id="149" w:name="_Toc37350092"/>
      <w:r>
        <w:rPr>
          <w:color w:val="auto"/>
        </w:rPr>
        <w:t>污染物排放情况</w:t>
      </w:r>
      <w:bookmarkEnd w:id="149"/>
    </w:p>
    <w:p>
      <w:pPr>
        <w:ind w:firstLine="480"/>
        <w:rPr>
          <w:rFonts w:ascii="Times New Roman" w:hAnsi="Times New Roman"/>
          <w:color w:val="auto"/>
        </w:rPr>
      </w:pPr>
      <w:r>
        <w:rPr>
          <w:rFonts w:ascii="Times New Roman" w:hAnsi="Times New Roman"/>
          <w:color w:val="auto"/>
        </w:rPr>
        <w:t>项目实施后，项目污染源强汇总见表9-1。</w:t>
      </w:r>
    </w:p>
    <w:p>
      <w:pPr>
        <w:numPr>
          <w:ilvl w:val="0"/>
          <w:numId w:val="41"/>
        </w:numPr>
        <w:spacing w:line="240" w:lineRule="auto"/>
        <w:ind w:left="0" w:firstLine="0" w:firstLineChars="0"/>
        <w:jc w:val="right"/>
        <w:rPr>
          <w:rFonts w:ascii="Times New Roman" w:hAnsi="Times New Roman"/>
          <w:b/>
          <w:color w:val="auto"/>
          <w:sz w:val="21"/>
        </w:rPr>
      </w:pPr>
      <w:r>
        <w:rPr>
          <w:rFonts w:ascii="Times New Roman" w:hAnsi="Times New Roman"/>
          <w:b/>
          <w:color w:val="auto"/>
          <w:sz w:val="21"/>
        </w:rPr>
        <w:t>主要污染物排放量汇总</w:t>
      </w:r>
      <w:r>
        <w:rPr>
          <w:rFonts w:hint="eastAsia" w:ascii="Times New Roman" w:hAnsi="Times New Roman"/>
          <w:b/>
          <w:color w:val="auto"/>
          <w:sz w:val="21"/>
        </w:rPr>
        <w:t xml:space="preserve">                          </w:t>
      </w:r>
      <w:r>
        <w:rPr>
          <w:rFonts w:ascii="Times New Roman" w:hAnsi="Times New Roman"/>
          <w:b/>
          <w:color w:val="auto"/>
          <w:sz w:val="21"/>
        </w:rPr>
        <w:t>单位：t/a</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2605"/>
        <w:gridCol w:w="899"/>
        <w:gridCol w:w="1322"/>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bookmarkStart w:id="150" w:name="_Toc37350093"/>
            <w:r>
              <w:rPr>
                <w:rFonts w:ascii="Times New Roman" w:hAnsi="Times New Roman"/>
                <w:color w:val="auto"/>
                <w:sz w:val="21"/>
              </w:rPr>
              <w:t>类型</w:t>
            </w:r>
          </w:p>
        </w:tc>
        <w:tc>
          <w:tcPr>
            <w:tcW w:w="11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排放工序</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污染物名称</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产生量</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削减量</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最终排放量</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废水</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员工生活</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废水量</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c>
          <w:tcPr>
            <w:tcW w:w="14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COD</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0.356</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0.285</w:t>
            </w:r>
          </w:p>
        </w:tc>
        <w:tc>
          <w:tcPr>
            <w:tcW w:w="14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氨氮</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0.007</w:t>
            </w:r>
          </w:p>
        </w:tc>
        <w:tc>
          <w:tcPr>
            <w:tcW w:w="1467"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废气</w:t>
            </w:r>
          </w:p>
        </w:tc>
        <w:tc>
          <w:tcPr>
            <w:tcW w:w="11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熔融挤出</w:t>
            </w:r>
            <w:r>
              <w:rPr>
                <w:rFonts w:ascii="Times New Roman" w:hAnsi="Times New Roman"/>
                <w:color w:val="auto"/>
                <w:sz w:val="21"/>
              </w:rPr>
              <w:t>工序</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非甲烷总烃</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7.06</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5.088</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ind w:left="0" w:right="0" w:firstLine="42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苯乙烯</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0.11</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0.078</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ind w:left="0" w:right="0" w:firstLine="42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丙烯腈</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ind w:left="0" w:right="0" w:firstLine="42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1,3 丁二烯</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0.045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0.031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氨</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0.09</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0.065</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破碎</w:t>
            </w:r>
          </w:p>
        </w:tc>
        <w:tc>
          <w:tcPr>
            <w:tcW w:w="2605" w:type="dxa"/>
            <w:vAlign w:val="center"/>
          </w:tcPr>
          <w:p>
            <w:pPr>
              <w:keepNext w:val="0"/>
              <w:keepLines w:val="0"/>
              <w:suppressLineNumbers w:val="0"/>
              <w:adjustRightInd w:val="0"/>
              <w:snapToGrid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粉尘</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12.5</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12.019</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固废</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原料包装</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废包装材料</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0.3</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一般分拣废物</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4.7</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原料分拣</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危险分拣废物</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粉尘收集、打扫</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收集的粉尘</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煅烧炉</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挤出机废弃过滤网</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废活性炭</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27</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设备使用</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废齿轮油</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油烟处理</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废油</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0.7</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废气治理</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废UV灯管</w:t>
            </w:r>
          </w:p>
        </w:tc>
        <w:tc>
          <w:tcPr>
            <w:tcW w:w="89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1322"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0.01</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0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员工生活</w:t>
            </w:r>
          </w:p>
        </w:tc>
        <w:tc>
          <w:tcPr>
            <w:tcW w:w="260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生活垃圾</w:t>
            </w:r>
          </w:p>
        </w:tc>
        <w:tc>
          <w:tcPr>
            <w:tcW w:w="89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17.82</w:t>
            </w:r>
          </w:p>
        </w:tc>
        <w:tc>
          <w:tcPr>
            <w:tcW w:w="13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17.82</w:t>
            </w:r>
          </w:p>
        </w:tc>
        <w:tc>
          <w:tcPr>
            <w:tcW w:w="146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0</w:t>
            </w:r>
          </w:p>
        </w:tc>
      </w:tr>
    </w:tbl>
    <w:p>
      <w:pPr>
        <w:pStyle w:val="592"/>
        <w:numPr>
          <w:ilvl w:val="0"/>
          <w:numId w:val="40"/>
        </w:numPr>
        <w:rPr>
          <w:color w:val="auto"/>
        </w:rPr>
      </w:pPr>
      <w:r>
        <w:rPr>
          <w:color w:val="auto"/>
        </w:rPr>
        <w:t>主要环境影响评价结论</w:t>
      </w:r>
      <w:bookmarkEnd w:id="150"/>
    </w:p>
    <w:p>
      <w:pPr>
        <w:ind w:firstLine="482"/>
        <w:rPr>
          <w:rFonts w:ascii="Times New Roman" w:hAnsi="Times New Roman"/>
          <w:b/>
          <w:color w:val="auto"/>
        </w:rPr>
      </w:pPr>
      <w:r>
        <w:rPr>
          <w:rFonts w:ascii="Times New Roman" w:hAnsi="Times New Roman"/>
          <w:b/>
          <w:color w:val="auto"/>
        </w:rPr>
        <w:t>1、环境空气影响评价结论</w:t>
      </w:r>
    </w:p>
    <w:p>
      <w:pPr>
        <w:ind w:firstLine="464"/>
        <w:rPr>
          <w:rFonts w:ascii="Times New Roman" w:hAnsi="Times New Roman"/>
          <w:color w:val="auto"/>
        </w:rPr>
      </w:pPr>
      <w:r>
        <w:rPr>
          <w:rFonts w:hint="eastAsia" w:ascii="Times New Roman" w:hAnsi="Times New Roman"/>
          <w:color w:val="auto"/>
          <w:spacing w:val="-4"/>
        </w:rPr>
        <w:t>（1）</w:t>
      </w:r>
      <w:r>
        <w:rPr>
          <w:rFonts w:ascii="Times New Roman" w:hAnsi="Times New Roman"/>
          <w:color w:val="auto"/>
          <w:spacing w:val="-4"/>
        </w:rPr>
        <w:t>臭气</w:t>
      </w:r>
    </w:p>
    <w:p>
      <w:pPr>
        <w:ind w:firstLine="480"/>
        <w:rPr>
          <w:rFonts w:ascii="Times New Roman" w:hAnsi="Times New Roman"/>
          <w:color w:val="auto"/>
        </w:rPr>
      </w:pPr>
      <w:r>
        <w:rPr>
          <w:rFonts w:ascii="Times New Roman" w:hAnsi="Times New Roman"/>
          <w:color w:val="auto"/>
        </w:rPr>
        <w:t>本项目为废塑料的废旧塑料回收再生产，项目所用的废塑料进厂前塑料</w:t>
      </w:r>
      <w:r>
        <w:rPr>
          <w:rFonts w:hint="eastAsia" w:ascii="Times New Roman" w:hAnsi="Times New Roman"/>
          <w:color w:val="auto"/>
        </w:rPr>
        <w:t>均为干净废塑料</w:t>
      </w:r>
      <w:r>
        <w:rPr>
          <w:rFonts w:ascii="Times New Roman" w:hAnsi="Times New Roman"/>
          <w:color w:val="auto"/>
        </w:rPr>
        <w:t>，达到原料无臭气挥发。此外，本项目废塑料加工温度根据原材料属性设置，原料塑料经软化熔融后重新造粒成型，与“高温焚烧”在变化机理上有较大差异，故不会有大量高级有机副产物产生，亦无高浓度臭气排放。</w:t>
      </w:r>
    </w:p>
    <w:p>
      <w:pPr>
        <w:ind w:firstLine="480"/>
        <w:rPr>
          <w:rFonts w:ascii="Times New Roman" w:hAnsi="Times New Roman"/>
          <w:color w:val="auto"/>
        </w:rPr>
      </w:pPr>
      <w:r>
        <w:rPr>
          <w:rFonts w:ascii="Times New Roman" w:hAnsi="Times New Roman"/>
          <w:color w:val="auto"/>
        </w:rPr>
        <w:t>根据同类企业类比调查分析，一般流料挤出、造粒中排放的有机废气无治理设施时，在车间内的臭气强度级别约为3~3.5，感到明显臭味；车间外则感觉不到明显臭味，臭气强度级别为0~1。</w:t>
      </w:r>
    </w:p>
    <w:p>
      <w:pPr>
        <w:ind w:firstLine="464"/>
        <w:rPr>
          <w:rFonts w:ascii="Times New Roman" w:hAnsi="Times New Roman"/>
          <w:color w:val="auto"/>
          <w:spacing w:val="-4"/>
        </w:rPr>
      </w:pPr>
      <w:r>
        <w:rPr>
          <w:rFonts w:ascii="Times New Roman" w:hAnsi="Times New Roman"/>
          <w:color w:val="auto"/>
          <w:spacing w:val="-4"/>
        </w:rPr>
        <w:t>本项目</w:t>
      </w:r>
      <w:r>
        <w:rPr>
          <w:rFonts w:hint="eastAsia" w:ascii="Times New Roman" w:hAnsi="Times New Roman"/>
          <w:color w:val="auto"/>
          <w:spacing w:val="-4"/>
        </w:rPr>
        <w:t>造粒车间</w:t>
      </w:r>
      <w:r>
        <w:rPr>
          <w:rFonts w:ascii="Times New Roman" w:hAnsi="Times New Roman"/>
          <w:color w:val="auto"/>
          <w:spacing w:val="-4"/>
        </w:rPr>
        <w:t>各挤出机机头上方设置集气罩，业主单位应委托有资质的单位设计并安装集气罩，收集效率不低于</w:t>
      </w:r>
      <w:r>
        <w:rPr>
          <w:rFonts w:hint="eastAsia" w:ascii="Times New Roman" w:hAnsi="Times New Roman"/>
          <w:color w:val="auto"/>
          <w:spacing w:val="-4"/>
        </w:rPr>
        <w:t>90</w:t>
      </w:r>
      <w:r>
        <w:rPr>
          <w:rFonts w:ascii="Times New Roman" w:hAnsi="Times New Roman"/>
          <w:color w:val="auto"/>
          <w:spacing w:val="-4"/>
        </w:rPr>
        <w:t>%。废气收集后经</w:t>
      </w:r>
      <w:r>
        <w:rPr>
          <w:rFonts w:ascii="Times New Roman" w:hAnsi="Times New Roman"/>
          <w:color w:val="auto"/>
        </w:rPr>
        <w:t>喷射塔+</w:t>
      </w:r>
      <w:r>
        <w:rPr>
          <w:rFonts w:hint="eastAsia" w:ascii="Times New Roman" w:hAnsi="Times New Roman"/>
          <w:color w:val="auto"/>
        </w:rPr>
        <w:t>油烟净化器+</w:t>
      </w:r>
      <w:r>
        <w:rPr>
          <w:rFonts w:ascii="Times New Roman" w:hAnsi="Times New Roman"/>
          <w:color w:val="auto"/>
        </w:rPr>
        <w:t>UV光氧+活性炭装置</w:t>
      </w:r>
      <w:r>
        <w:rPr>
          <w:rFonts w:hint="eastAsia" w:ascii="Times New Roman" w:hAnsi="Times New Roman"/>
          <w:color w:val="auto"/>
          <w:spacing w:val="-4"/>
        </w:rPr>
        <w:t>净化后通过20m高的排气筒高空排放。</w:t>
      </w:r>
    </w:p>
    <w:p>
      <w:pPr>
        <w:adjustRightInd w:val="0"/>
        <w:snapToGrid w:val="0"/>
        <w:ind w:firstLine="480"/>
        <w:rPr>
          <w:rFonts w:ascii="Times New Roman" w:hAnsi="Times New Roman"/>
          <w:color w:val="auto"/>
        </w:rPr>
      </w:pPr>
      <w:r>
        <w:rPr>
          <w:rFonts w:ascii="Times New Roman" w:hAnsi="Times New Roman"/>
          <w:color w:val="auto"/>
        </w:rPr>
        <w:t>预计排气筒臭气浓度可达到《恶臭污染物排放标准》（GB14554-93）中臭气浓度二级标准；同时通过加强造粒车间室内通风，将不能完全收集的臭气及时排出，经大气稀释后，项目厂界臭气浓度可达到《恶臭污染物排放标准》（GB14554-93）中臭气浓度厂界标准，对周边环境影响不大。</w:t>
      </w:r>
    </w:p>
    <w:p>
      <w:pPr>
        <w:adjustRightInd w:val="0"/>
        <w:snapToGrid w:val="0"/>
        <w:ind w:firstLine="464"/>
        <w:rPr>
          <w:rFonts w:ascii="Times New Roman" w:hAnsi="Times New Roman"/>
          <w:color w:val="auto"/>
          <w:spacing w:val="-4"/>
          <w:szCs w:val="24"/>
        </w:rPr>
      </w:pPr>
      <w:r>
        <w:rPr>
          <w:rFonts w:hint="eastAsia" w:ascii="Times New Roman" w:hAnsi="Times New Roman"/>
          <w:color w:val="auto"/>
          <w:spacing w:val="-4"/>
          <w:szCs w:val="24"/>
        </w:rPr>
        <w:t>（2）粉尘、有机废气、氨</w:t>
      </w:r>
    </w:p>
    <w:p>
      <w:pPr>
        <w:adjustRightInd w:val="0"/>
        <w:snapToGrid w:val="0"/>
        <w:ind w:firstLine="480"/>
        <w:rPr>
          <w:rFonts w:ascii="Times New Roman" w:hAnsi="Times New Roman"/>
          <w:color w:val="auto"/>
          <w:szCs w:val="24"/>
        </w:rPr>
      </w:pPr>
      <w:r>
        <w:rPr>
          <w:rFonts w:ascii="Times New Roman" w:hAnsi="Times New Roman"/>
          <w:color w:val="auto"/>
        </w:rPr>
        <w:t>在正常工况下，项目排放废气污染物的最大地面浓度占标率Pi中最大值为</w:t>
      </w:r>
      <w:r>
        <w:rPr>
          <w:rFonts w:hint="eastAsia" w:ascii="Times New Roman" w:hAnsi="Times New Roman"/>
          <w:color w:val="auto"/>
        </w:rPr>
        <w:t>6.34</w:t>
      </w:r>
      <w:r>
        <w:rPr>
          <w:rFonts w:ascii="Times New Roman" w:hAnsi="Times New Roman"/>
          <w:color w:val="auto"/>
        </w:rPr>
        <w:t>%，属于1%≤Pmax&lt;10％，依据《环境影响评价技术导则—大气环境》(HJ2.2-2018)确定大气环境评价等级为二级</w:t>
      </w:r>
      <w:r>
        <w:rPr>
          <w:rFonts w:hint="eastAsia" w:ascii="Times New Roman" w:hAnsi="Times New Roman"/>
          <w:color w:val="auto"/>
        </w:rPr>
        <w:t>。</w:t>
      </w:r>
    </w:p>
    <w:p>
      <w:pPr>
        <w:ind w:firstLine="480"/>
        <w:rPr>
          <w:rFonts w:ascii="Times New Roman" w:hAnsi="Times New Roman"/>
          <w:snapToGrid w:val="0"/>
          <w:color w:val="auto"/>
        </w:rPr>
      </w:pPr>
      <w:r>
        <w:rPr>
          <w:rFonts w:ascii="Times New Roman" w:hAnsi="Times New Roman"/>
          <w:snapToGrid w:val="0"/>
          <w:color w:val="auto"/>
        </w:rPr>
        <w:t>根据区域环境质量现状监测可知，本项目评价区域内环境空气质量良好，非甲烷总烃均有一定的环境容量。因此，在正常运营情况下，本项目所排放的废气对周边环境产生的影响不大。</w:t>
      </w:r>
    </w:p>
    <w:p>
      <w:pPr>
        <w:ind w:firstLine="482"/>
        <w:rPr>
          <w:rFonts w:ascii="Times New Roman" w:hAnsi="Times New Roman"/>
          <w:b/>
          <w:color w:val="auto"/>
        </w:rPr>
      </w:pPr>
      <w:r>
        <w:rPr>
          <w:rFonts w:ascii="Times New Roman" w:hAnsi="Times New Roman"/>
          <w:b/>
          <w:color w:val="auto"/>
        </w:rPr>
        <w:t>2、</w:t>
      </w:r>
      <w:r>
        <w:rPr>
          <w:rFonts w:hint="eastAsia" w:ascii="Times New Roman" w:hAnsi="Times New Roman"/>
          <w:b/>
          <w:color w:val="auto"/>
        </w:rPr>
        <w:t>地表水</w:t>
      </w:r>
      <w:r>
        <w:rPr>
          <w:rFonts w:ascii="Times New Roman" w:hAnsi="Times New Roman"/>
          <w:b/>
          <w:color w:val="auto"/>
        </w:rPr>
        <w:t>环境影响评价结论</w:t>
      </w:r>
    </w:p>
    <w:p>
      <w:pPr>
        <w:adjustRightInd w:val="0"/>
        <w:snapToGrid w:val="0"/>
        <w:ind w:firstLine="480"/>
        <w:rPr>
          <w:rFonts w:ascii="Times New Roman" w:hAnsi="Times New Roman"/>
          <w:color w:val="auto"/>
        </w:rPr>
      </w:pPr>
      <w:r>
        <w:rPr>
          <w:rFonts w:hint="eastAsia" w:ascii="Times New Roman" w:hAnsi="Times New Roman"/>
          <w:color w:val="auto"/>
        </w:rPr>
        <w:t>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Fonts w:hint="eastAsia" w:ascii="Times New Roman" w:hAnsi="Times New Roman"/>
          <w:color w:val="auto"/>
        </w:rPr>
        <w:t>排入污水管网，</w:t>
      </w:r>
      <w:r>
        <w:rPr>
          <w:rStyle w:val="782"/>
          <w:rFonts w:hint="default" w:ascii="Times New Roman" w:hAnsi="Times New Roman"/>
          <w:color w:val="auto"/>
        </w:rPr>
        <w:t>最终进入苍南县临港产业基地启动区污水处理厂处理达标后排放</w:t>
      </w:r>
      <w:r>
        <w:rPr>
          <w:rFonts w:hint="eastAsia" w:ascii="Times New Roman" w:hAnsi="Times New Roman"/>
          <w:color w:val="auto"/>
        </w:rPr>
        <w:t>。</w:t>
      </w:r>
    </w:p>
    <w:p>
      <w:pPr>
        <w:adjustRightInd w:val="0"/>
        <w:snapToGrid w:val="0"/>
        <w:ind w:firstLine="480"/>
        <w:rPr>
          <w:rFonts w:ascii="Times New Roman" w:hAnsi="Times New Roman"/>
          <w:color w:val="auto"/>
        </w:rPr>
      </w:pPr>
      <w:r>
        <w:rPr>
          <w:rFonts w:ascii="Times New Roman" w:hAnsi="Times New Roman"/>
          <w:color w:val="auto"/>
        </w:rPr>
        <w:t>在此基础上，项目外排污水不会对周围地表水环境产生明显的不利影响。</w:t>
      </w:r>
    </w:p>
    <w:p>
      <w:pPr>
        <w:ind w:firstLine="482"/>
        <w:rPr>
          <w:rFonts w:ascii="Times New Roman" w:hAnsi="Times New Roman"/>
          <w:b/>
          <w:color w:val="auto"/>
        </w:rPr>
      </w:pPr>
      <w:r>
        <w:rPr>
          <w:rFonts w:hint="eastAsia" w:ascii="Times New Roman" w:hAnsi="Times New Roman"/>
          <w:b/>
          <w:color w:val="auto"/>
        </w:rPr>
        <w:t>3、地下水环境影响评价结论</w:t>
      </w:r>
    </w:p>
    <w:p>
      <w:pPr>
        <w:ind w:firstLine="480"/>
        <w:rPr>
          <w:rFonts w:ascii="Times New Roman" w:hAnsi="Times New Roman"/>
          <w:color w:val="auto"/>
          <w:szCs w:val="24"/>
        </w:rPr>
      </w:pPr>
      <w:r>
        <w:rPr>
          <w:rFonts w:ascii="Times New Roman" w:hAnsi="Times New Roman"/>
          <w:color w:val="auto"/>
          <w:szCs w:val="24"/>
        </w:rPr>
        <w:t>根据工程分析，用水由市政给水管网统一供应，不以地下水为供水水源。</w:t>
      </w:r>
      <w:r>
        <w:rPr>
          <w:rFonts w:hint="eastAsia" w:ascii="Times New Roman" w:hAnsi="Times New Roman"/>
          <w:color w:val="auto"/>
          <w:spacing w:val="4"/>
        </w:rPr>
        <w:t>项目污废水</w:t>
      </w:r>
      <w:r>
        <w:rPr>
          <w:rFonts w:ascii="Times New Roman" w:hAnsi="Times New Roman"/>
          <w:color w:val="auto"/>
          <w:spacing w:val="4"/>
          <w:szCs w:val="24"/>
        </w:rPr>
        <w:t>经</w:t>
      </w:r>
      <w:r>
        <w:rPr>
          <w:rFonts w:hint="eastAsia" w:ascii="Times New Roman" w:hAnsi="Times New Roman"/>
          <w:color w:val="auto"/>
          <w:spacing w:val="4"/>
          <w:szCs w:val="24"/>
        </w:rPr>
        <w:t>处理设施</w:t>
      </w:r>
      <w:r>
        <w:rPr>
          <w:rFonts w:ascii="Times New Roman" w:hAnsi="Times New Roman"/>
          <w:color w:val="auto"/>
          <w:spacing w:val="4"/>
          <w:szCs w:val="24"/>
        </w:rPr>
        <w:t>处理后</w:t>
      </w:r>
      <w:r>
        <w:rPr>
          <w:rFonts w:hint="eastAsia" w:ascii="Times New Roman" w:hAnsi="Times New Roman"/>
          <w:color w:val="auto"/>
          <w:spacing w:val="4"/>
          <w:szCs w:val="24"/>
        </w:rPr>
        <w:t>排放</w:t>
      </w:r>
      <w:r>
        <w:rPr>
          <w:rFonts w:ascii="Times New Roman" w:hAnsi="Times New Roman"/>
          <w:color w:val="auto"/>
          <w:szCs w:val="24"/>
        </w:rPr>
        <w:t>，对该区域地下水基本没有影响。但企业需加强生产、输送和储存过程中液体泄漏的监测和监管，对易发生泄漏的设备与管线组件，定期检测、及时修复，对泄漏率超过标准的设备实施改造，防止或减少跑、冒、滴、漏，减少液体泄漏对地下水的影响；按照相关标准要求做好废水处理设施等构筑物的防渗防漏措施，如采用防渗钢筋混凝土，池体内表面涂刷水泥基渗透结晶型防渗涂料，严防污水泄漏事故的发生。</w:t>
      </w:r>
    </w:p>
    <w:p>
      <w:pPr>
        <w:ind w:firstLine="480"/>
        <w:rPr>
          <w:rFonts w:ascii="Times New Roman" w:hAnsi="Times New Roman"/>
          <w:color w:val="auto"/>
          <w:szCs w:val="24"/>
        </w:rPr>
      </w:pPr>
      <w:r>
        <w:rPr>
          <w:rFonts w:ascii="Times New Roman" w:hAnsi="Times New Roman"/>
          <w:color w:val="auto"/>
          <w:szCs w:val="24"/>
        </w:rPr>
        <w:t>防止地下水污染遵循源头控制、防止渗漏、污染监测及事故应急处理的主动及被动防渗相结合，以及地上污染地上防治、地下污染地下防治的设计原则。</w:t>
      </w:r>
    </w:p>
    <w:p>
      <w:pPr>
        <w:ind w:firstLine="480"/>
        <w:rPr>
          <w:rFonts w:ascii="Times New Roman" w:hAnsi="Times New Roman"/>
          <w:b/>
          <w:color w:val="auto"/>
        </w:rPr>
      </w:pPr>
      <w:r>
        <w:rPr>
          <w:rFonts w:ascii="Times New Roman" w:hAnsi="Times New Roman"/>
          <w:color w:val="auto"/>
          <w:szCs w:val="24"/>
        </w:rPr>
        <w:t>在采取以上措施后，本项目对地下水的影响较小。</w:t>
      </w:r>
    </w:p>
    <w:p>
      <w:pPr>
        <w:ind w:firstLine="482"/>
        <w:rPr>
          <w:rFonts w:ascii="Times New Roman" w:hAnsi="Times New Roman"/>
          <w:b/>
          <w:color w:val="auto"/>
        </w:rPr>
      </w:pPr>
      <w:r>
        <w:rPr>
          <w:rFonts w:hint="eastAsia" w:ascii="Times New Roman" w:hAnsi="Times New Roman"/>
          <w:b/>
          <w:color w:val="auto"/>
        </w:rPr>
        <w:t>4</w:t>
      </w:r>
      <w:r>
        <w:rPr>
          <w:rFonts w:ascii="Times New Roman" w:hAnsi="Times New Roman"/>
          <w:b/>
          <w:color w:val="auto"/>
        </w:rPr>
        <w:t>、声环境影响评价结论</w:t>
      </w:r>
    </w:p>
    <w:p>
      <w:pPr>
        <w:adjustRightInd w:val="0"/>
        <w:snapToGrid w:val="0"/>
        <w:ind w:firstLine="480"/>
        <w:rPr>
          <w:rFonts w:ascii="Times New Roman" w:hAnsi="Times New Roman"/>
          <w:color w:val="auto"/>
          <w:szCs w:val="24"/>
        </w:rPr>
      </w:pPr>
      <w:r>
        <w:rPr>
          <w:rFonts w:ascii="Times New Roman" w:hAnsi="Times New Roman"/>
          <w:color w:val="auto"/>
          <w:szCs w:val="24"/>
        </w:rPr>
        <w:t>在严格采取本报告提出的噪声污染防治措施，预计本项目四周厂界噪声排放能够达到《工业企业厂界环境噪声排放标准》（GB12348-2008）中的</w:t>
      </w:r>
      <w:r>
        <w:rPr>
          <w:rFonts w:hint="eastAsia" w:ascii="Times New Roman" w:hAnsi="Times New Roman"/>
          <w:color w:val="auto"/>
          <w:szCs w:val="24"/>
        </w:rPr>
        <w:t>3</w:t>
      </w:r>
      <w:r>
        <w:rPr>
          <w:rFonts w:ascii="Times New Roman" w:hAnsi="Times New Roman"/>
          <w:color w:val="auto"/>
          <w:szCs w:val="24"/>
        </w:rPr>
        <w:t>类标准，不会对周边环境造成不良影响。</w:t>
      </w:r>
    </w:p>
    <w:p>
      <w:pPr>
        <w:ind w:firstLine="482"/>
        <w:rPr>
          <w:rFonts w:ascii="Times New Roman" w:hAnsi="Times New Roman"/>
          <w:b/>
          <w:color w:val="auto"/>
        </w:rPr>
      </w:pPr>
      <w:r>
        <w:rPr>
          <w:rFonts w:hint="eastAsia" w:ascii="Times New Roman" w:hAnsi="Times New Roman"/>
          <w:b/>
          <w:color w:val="auto"/>
        </w:rPr>
        <w:t>5</w:t>
      </w:r>
      <w:r>
        <w:rPr>
          <w:rFonts w:ascii="Times New Roman" w:hAnsi="Times New Roman"/>
          <w:b/>
          <w:color w:val="auto"/>
        </w:rPr>
        <w:t>、固体废物环境影响评价结论</w:t>
      </w:r>
    </w:p>
    <w:p>
      <w:pPr>
        <w:ind w:firstLine="480"/>
        <w:rPr>
          <w:rFonts w:ascii="Times New Roman" w:hAnsi="Times New Roman"/>
          <w:color w:val="auto"/>
        </w:rPr>
      </w:pPr>
      <w:r>
        <w:rPr>
          <w:rFonts w:hint="eastAsia" w:ascii="Times New Roman" w:hAnsi="Times New Roman"/>
          <w:color w:val="auto"/>
        </w:rPr>
        <w:t>废包装材料和一般分拣废物、挤出机废弃过滤网由相关单位回收综合利用；收集的粉尘和</w:t>
      </w:r>
      <w:r>
        <w:rPr>
          <w:rFonts w:ascii="Times New Roman" w:hAnsi="Times New Roman"/>
          <w:color w:val="auto"/>
        </w:rPr>
        <w:t>生活垃圾收集</w:t>
      </w:r>
      <w:r>
        <w:rPr>
          <w:rFonts w:hint="eastAsia" w:ascii="Times New Roman" w:hAnsi="Times New Roman"/>
          <w:color w:val="auto"/>
        </w:rPr>
        <w:t>后</w:t>
      </w:r>
      <w:r>
        <w:rPr>
          <w:rFonts w:ascii="Times New Roman" w:hAnsi="Times New Roman"/>
          <w:color w:val="auto"/>
        </w:rPr>
        <w:t>委托环卫部门统一处理、处置。</w:t>
      </w:r>
      <w:r>
        <w:rPr>
          <w:rFonts w:hint="eastAsia" w:ascii="Times New Roman" w:hAnsi="Times New Roman"/>
          <w:color w:val="auto"/>
        </w:rPr>
        <w:t>废活性炭、</w:t>
      </w:r>
      <w:r>
        <w:rPr>
          <w:rFonts w:hint="eastAsia" w:ascii="Times New Roman" w:hAnsi="Times New Roman"/>
          <w:color w:val="auto"/>
          <w:szCs w:val="24"/>
        </w:rPr>
        <w:t>废齿轮油、油烟处理收集的废油、</w:t>
      </w:r>
      <w:r>
        <w:rPr>
          <w:rFonts w:hint="eastAsia" w:ascii="Times New Roman" w:hAnsi="Times New Roman"/>
          <w:color w:val="auto"/>
          <w:szCs w:val="22"/>
        </w:rPr>
        <w:t>废UV灯管、</w:t>
      </w:r>
      <w:r>
        <w:rPr>
          <w:rFonts w:hint="eastAsia" w:ascii="Times New Roman" w:hAnsi="Times New Roman"/>
          <w:color w:val="auto"/>
        </w:rPr>
        <w:t>危险分拣废物委托有资质单位处置</w:t>
      </w:r>
      <w:r>
        <w:rPr>
          <w:rFonts w:ascii="Times New Roman" w:hAnsi="Times New Roman"/>
          <w:color w:val="auto"/>
        </w:rPr>
        <w:t>。</w:t>
      </w:r>
    </w:p>
    <w:p>
      <w:pPr>
        <w:ind w:firstLine="480"/>
        <w:rPr>
          <w:rFonts w:ascii="Times New Roman" w:hAnsi="Times New Roman"/>
          <w:color w:val="auto"/>
        </w:rPr>
      </w:pPr>
      <w:r>
        <w:rPr>
          <w:rFonts w:ascii="Times New Roman" w:hAnsi="Times New Roman"/>
          <w:color w:val="auto"/>
        </w:rPr>
        <w:t>此外，业主应强化废物产生、收集、贮放各环节的管理，各种固废按照类别分类存放，杜绝固废在厂区内散失、渗漏，达到无害化的目的，避免产生二次污染。因此，在采取以上措施后，本项目产生的各种固体废物均得到了有效处理，不会造成二次污染。</w:t>
      </w:r>
    </w:p>
    <w:p>
      <w:pPr>
        <w:ind w:firstLine="482"/>
        <w:rPr>
          <w:rFonts w:ascii="Times New Roman" w:hAnsi="Times New Roman"/>
          <w:b/>
          <w:color w:val="auto"/>
        </w:rPr>
      </w:pPr>
      <w:r>
        <w:rPr>
          <w:rFonts w:hint="eastAsia" w:ascii="Times New Roman" w:hAnsi="Times New Roman"/>
          <w:b/>
          <w:color w:val="auto"/>
        </w:rPr>
        <w:t>6、土壤环境影响分析结论</w:t>
      </w:r>
    </w:p>
    <w:p>
      <w:pPr>
        <w:ind w:firstLine="480"/>
        <w:rPr>
          <w:rFonts w:ascii="Times New Roman" w:hAnsi="Times New Roman"/>
          <w:b/>
          <w:color w:val="auto"/>
        </w:rPr>
      </w:pPr>
      <w:r>
        <w:rPr>
          <w:rFonts w:ascii="Times New Roman" w:hAnsi="Times New Roman"/>
          <w:color w:val="auto"/>
        </w:rPr>
        <w:t>根据《环境影响评价技术导则—土壤环境（试行）》（HJ610--2018)附录A（规范性附录）土壤环境影响评价项目类别，</w:t>
      </w:r>
      <w:r>
        <w:rPr>
          <w:rFonts w:hint="eastAsia" w:ascii="Times New Roman" w:hAnsi="Times New Roman"/>
          <w:color w:val="auto"/>
        </w:rPr>
        <w:t>本</w:t>
      </w:r>
      <w:r>
        <w:rPr>
          <w:rFonts w:ascii="Times New Roman" w:hAnsi="Times New Roman"/>
          <w:color w:val="auto"/>
        </w:rPr>
        <w:t>项目属于其中</w:t>
      </w:r>
      <w:r>
        <w:rPr>
          <w:rFonts w:hint="eastAsia" w:ascii="Times New Roman" w:hAnsi="Times New Roman"/>
          <w:color w:val="auto"/>
          <w:szCs w:val="24"/>
        </w:rPr>
        <w:t>“</w:t>
      </w:r>
      <w:r>
        <w:rPr>
          <w:rFonts w:hint="eastAsia" w:ascii="Times New Roman" w:hAnsi="Times New Roman"/>
          <w:color w:val="auto"/>
        </w:rPr>
        <w:t>环境和公共管理业”中的“废旧资源加工、再生利用”类</w:t>
      </w:r>
      <w:r>
        <w:rPr>
          <w:rFonts w:ascii="Times New Roman" w:hAnsi="Times New Roman"/>
          <w:color w:val="auto"/>
        </w:rPr>
        <w:t>，土壤环境影响评价类别为</w:t>
      </w:r>
      <w:r>
        <w:rPr>
          <w:rFonts w:hint="eastAsia" w:ascii="Times New Roman" w:hAnsi="Times New Roman"/>
          <w:color w:val="auto"/>
        </w:rPr>
        <w:t>II</w:t>
      </w:r>
      <w:r>
        <w:rPr>
          <w:rFonts w:ascii="Times New Roman" w:hAnsi="Times New Roman"/>
          <w:color w:val="auto"/>
        </w:rPr>
        <w:t>I类；根据《环境影响评价技术导则—土壤环境（试行）》（HJ610--2018)中污染影响型敏感程度分级表，</w:t>
      </w:r>
      <w:r>
        <w:rPr>
          <w:rFonts w:ascii="Times New Roman" w:hAnsi="Times New Roman"/>
          <w:color w:val="auto"/>
          <w:szCs w:val="24"/>
        </w:rPr>
        <w:t>本项目位于</w:t>
      </w:r>
      <w:r>
        <w:rPr>
          <w:rFonts w:ascii="Times New Roman" w:hAnsi="Times New Roman"/>
          <w:color w:val="auto"/>
        </w:rPr>
        <w:t>温州市龙港</w:t>
      </w:r>
      <w:r>
        <w:rPr>
          <w:rFonts w:hint="eastAsia" w:ascii="Times New Roman" w:hAnsi="Times New Roman"/>
          <w:color w:val="auto"/>
        </w:rPr>
        <w:t>临港产业基地启动区</w:t>
      </w:r>
      <w:r>
        <w:rPr>
          <w:rFonts w:ascii="Times New Roman" w:hAnsi="Times New Roman"/>
          <w:color w:val="auto"/>
        </w:rPr>
        <w:t>，属于工业区，</w:t>
      </w:r>
      <w:r>
        <w:rPr>
          <w:rFonts w:ascii="Times New Roman" w:hAnsi="Times New Roman"/>
          <w:color w:val="auto"/>
          <w:szCs w:val="24"/>
        </w:rPr>
        <w:t>土壤环境敏感程度为</w:t>
      </w:r>
      <w:r>
        <w:rPr>
          <w:rFonts w:hint="eastAsia" w:ascii="Times New Roman" w:hAnsi="Times New Roman"/>
          <w:color w:val="auto"/>
          <w:szCs w:val="24"/>
        </w:rPr>
        <w:t>不</w:t>
      </w:r>
      <w:r>
        <w:rPr>
          <w:rFonts w:ascii="Times New Roman" w:hAnsi="Times New Roman"/>
          <w:color w:val="auto"/>
          <w:szCs w:val="24"/>
        </w:rPr>
        <w:t>敏感</w:t>
      </w:r>
      <w:r>
        <w:rPr>
          <w:rFonts w:ascii="Times New Roman" w:hAnsi="Times New Roman"/>
          <w:color w:val="auto"/>
        </w:rPr>
        <w:t>；</w:t>
      </w:r>
      <w:r>
        <w:rPr>
          <w:rFonts w:hint="eastAsia" w:ascii="Times New Roman" w:hAnsi="Times New Roman"/>
          <w:color w:val="auto"/>
        </w:rPr>
        <w:t>本</w:t>
      </w:r>
      <w:r>
        <w:rPr>
          <w:rFonts w:ascii="Times New Roman" w:hAnsi="Times New Roman"/>
          <w:color w:val="auto"/>
        </w:rPr>
        <w:t>项目占地面积约为</w:t>
      </w:r>
      <w:r>
        <w:rPr>
          <w:rFonts w:hint="eastAsia" w:ascii="Times New Roman" w:hAnsi="Times New Roman"/>
          <w:color w:val="auto"/>
        </w:rPr>
        <w:t>900</w:t>
      </w:r>
      <w:r>
        <w:rPr>
          <w:rFonts w:ascii="Times New Roman" w:hAnsi="Times New Roman"/>
          <w:color w:val="auto"/>
        </w:rPr>
        <w:t>m</w:t>
      </w:r>
      <w:r>
        <w:rPr>
          <w:rFonts w:ascii="Times New Roman" w:hAnsi="Times New Roman"/>
          <w:color w:val="auto"/>
          <w:vertAlign w:val="superscript"/>
        </w:rPr>
        <w:t>2</w:t>
      </w:r>
      <w:r>
        <w:rPr>
          <w:rFonts w:ascii="Times New Roman" w:hAnsi="Times New Roman"/>
          <w:color w:val="auto"/>
        </w:rPr>
        <w:t>≤5hm</w:t>
      </w:r>
      <w:r>
        <w:rPr>
          <w:rFonts w:ascii="Times New Roman" w:hAnsi="Times New Roman"/>
          <w:color w:val="auto"/>
          <w:vertAlign w:val="superscript"/>
        </w:rPr>
        <w:t>2</w:t>
      </w:r>
      <w:r>
        <w:rPr>
          <w:rFonts w:ascii="Times New Roman" w:hAnsi="Times New Roman"/>
          <w:color w:val="auto"/>
        </w:rPr>
        <w:t>，故建设项目占地规模为小型用地。结合上述条件，对照《环境影响评价技术导则—土壤环境（试行）》（HJ610--2018)中评价工作等级划分依据，本项目</w:t>
      </w:r>
      <w:r>
        <w:rPr>
          <w:rFonts w:hint="eastAsia" w:ascii="Times New Roman" w:hAnsi="Times New Roman"/>
          <w:color w:val="auto"/>
        </w:rPr>
        <w:t>可不开展土壤环境影响评价工作</w:t>
      </w:r>
      <w:r>
        <w:rPr>
          <w:rFonts w:ascii="Times New Roman" w:hAnsi="Times New Roman"/>
          <w:color w:val="auto"/>
        </w:rPr>
        <w:t>。</w:t>
      </w:r>
    </w:p>
    <w:p>
      <w:pPr>
        <w:pStyle w:val="592"/>
        <w:numPr>
          <w:ilvl w:val="0"/>
          <w:numId w:val="40"/>
        </w:numPr>
        <w:rPr>
          <w:color w:val="auto"/>
        </w:rPr>
      </w:pPr>
      <w:bookmarkStart w:id="151" w:name="_Toc37350094"/>
      <w:r>
        <w:rPr>
          <w:color w:val="auto"/>
        </w:rPr>
        <w:t>污染防治措施汇总</w:t>
      </w:r>
      <w:bookmarkEnd w:id="151"/>
    </w:p>
    <w:p>
      <w:pPr>
        <w:widowControl/>
        <w:ind w:firstLine="480" w:firstLineChars="0"/>
        <w:rPr>
          <w:rFonts w:ascii="Times New Roman" w:hAnsi="Times New Roman"/>
          <w:color w:val="auto"/>
        </w:rPr>
      </w:pPr>
      <w:r>
        <w:rPr>
          <w:rFonts w:ascii="Times New Roman" w:hAnsi="Times New Roman"/>
          <w:color w:val="auto"/>
        </w:rPr>
        <w:t>项目拟采取的污染防治对策汇总详见表9-2。</w:t>
      </w:r>
    </w:p>
    <w:p>
      <w:pPr>
        <w:numPr>
          <w:ilvl w:val="0"/>
          <w:numId w:val="41"/>
        </w:numPr>
        <w:spacing w:line="240" w:lineRule="auto"/>
        <w:ind w:firstLineChars="0"/>
        <w:jc w:val="center"/>
        <w:rPr>
          <w:rFonts w:ascii="Times New Roman" w:hAnsi="Times New Roman"/>
          <w:b/>
          <w:color w:val="auto"/>
          <w:sz w:val="21"/>
        </w:rPr>
      </w:pPr>
      <w:r>
        <w:rPr>
          <w:rFonts w:ascii="Times New Roman" w:hAnsi="Times New Roman"/>
          <w:b/>
          <w:color w:val="auto"/>
          <w:sz w:val="21"/>
        </w:rPr>
        <w:t>项目需采取的污染防治对策汇总表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591"/>
        <w:gridCol w:w="5315"/>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13"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bookmarkStart w:id="152" w:name="_Toc37350095"/>
            <w:r>
              <w:rPr>
                <w:rFonts w:ascii="Times New Roman" w:hAnsi="Times New Roman"/>
                <w:color w:val="auto"/>
                <w:kern w:val="0"/>
                <w:sz w:val="21"/>
              </w:rPr>
              <w:t>污染类型</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污染防治对策</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废水</w:t>
            </w: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废水</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sz w:val="21"/>
              </w:rPr>
              <w:t>造粒冷却水和喷射塔废水循环使用，不外排。</w:t>
            </w:r>
            <w:r>
              <w:rPr>
                <w:rFonts w:ascii="Times New Roman" w:hAnsi="Times New Roman"/>
                <w:color w:val="auto"/>
                <w:sz w:val="21"/>
              </w:rPr>
              <w:t>生活</w:t>
            </w:r>
            <w:r>
              <w:rPr>
                <w:rFonts w:hint="eastAsia" w:ascii="Times New Roman" w:hAnsi="Times New Roman"/>
                <w:color w:val="auto"/>
                <w:sz w:val="21"/>
              </w:rPr>
              <w:t>污</w:t>
            </w:r>
            <w:r>
              <w:rPr>
                <w:rFonts w:ascii="Times New Roman" w:hAnsi="Times New Roman"/>
                <w:color w:val="auto"/>
                <w:sz w:val="21"/>
              </w:rPr>
              <w:t>水</w:t>
            </w:r>
            <w:r>
              <w:rPr>
                <w:rFonts w:hint="eastAsia" w:ascii="Times New Roman" w:hAnsi="Times New Roman"/>
                <w:color w:val="auto"/>
                <w:sz w:val="21"/>
              </w:rPr>
              <w:t>经</w:t>
            </w:r>
            <w:r>
              <w:rPr>
                <w:rFonts w:ascii="Times New Roman" w:hAnsi="Times New Roman"/>
                <w:color w:val="auto"/>
                <w:sz w:val="21"/>
              </w:rPr>
              <w:t>化粪池预处理达《污水综合排放标准》（GB8978-1996）三级标准后</w:t>
            </w:r>
            <w:r>
              <w:rPr>
                <w:rFonts w:hint="eastAsia" w:ascii="Times New Roman" w:hAnsi="Times New Roman"/>
                <w:color w:val="auto"/>
                <w:sz w:val="21"/>
              </w:rPr>
              <w:t>排入污水管网，</w:t>
            </w:r>
            <w:r>
              <w:rPr>
                <w:rStyle w:val="782"/>
                <w:rFonts w:hint="default" w:ascii="Times New Roman" w:hAnsi="Times New Roman"/>
                <w:color w:val="auto"/>
                <w:sz w:val="21"/>
                <w:szCs w:val="21"/>
              </w:rPr>
              <w:t>最终进入苍南县临港产业基地启动区污水处理厂处理达标后排放</w:t>
            </w:r>
            <w:r>
              <w:rPr>
                <w:rFonts w:hint="eastAsia" w:ascii="Times New Roman" w:hAnsi="Times New Roman"/>
                <w:color w:val="auto"/>
                <w:sz w:val="21"/>
              </w:rPr>
              <w:t>。</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废气</w:t>
            </w: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有机废气</w:t>
            </w:r>
            <w:r>
              <w:rPr>
                <w:rFonts w:hint="eastAsia" w:ascii="Times New Roman" w:hAnsi="Times New Roman"/>
                <w:color w:val="auto"/>
                <w:kern w:val="0"/>
                <w:sz w:val="21"/>
              </w:rPr>
              <w:t>、氨</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造粒车间</w:t>
            </w:r>
            <w:r>
              <w:rPr>
                <w:rFonts w:ascii="Times New Roman" w:hAnsi="Times New Roman"/>
                <w:color w:val="auto"/>
                <w:kern w:val="0"/>
                <w:sz w:val="21"/>
              </w:rPr>
              <w:t>各</w:t>
            </w:r>
            <w:r>
              <w:rPr>
                <w:rFonts w:hint="eastAsia" w:ascii="Times New Roman" w:hAnsi="Times New Roman"/>
                <w:color w:val="auto"/>
                <w:kern w:val="0"/>
                <w:sz w:val="21"/>
              </w:rPr>
              <w:t>熔融</w:t>
            </w:r>
            <w:r>
              <w:rPr>
                <w:rFonts w:ascii="Times New Roman" w:hAnsi="Times New Roman"/>
                <w:color w:val="auto"/>
                <w:kern w:val="0"/>
                <w:sz w:val="21"/>
              </w:rPr>
              <w:t>挤出机机头上方设置集气罩，业主单位应委托有资质的单位设计并安装集气罩，废气收集后经</w:t>
            </w:r>
            <w:r>
              <w:rPr>
                <w:rFonts w:ascii="Times New Roman" w:hAnsi="Times New Roman"/>
                <w:color w:val="auto"/>
                <w:sz w:val="21"/>
              </w:rPr>
              <w:t>喷射塔+</w:t>
            </w:r>
            <w:r>
              <w:rPr>
                <w:rFonts w:hint="eastAsia" w:ascii="Times New Roman" w:hAnsi="Times New Roman"/>
                <w:color w:val="auto"/>
                <w:sz w:val="21"/>
              </w:rPr>
              <w:t>油烟净化器+</w:t>
            </w:r>
            <w:r>
              <w:rPr>
                <w:rFonts w:ascii="Times New Roman" w:hAnsi="Times New Roman"/>
                <w:color w:val="auto"/>
                <w:sz w:val="21"/>
              </w:rPr>
              <w:t>UV光氧+活性炭装置</w:t>
            </w:r>
            <w:r>
              <w:rPr>
                <w:rFonts w:hint="eastAsia" w:ascii="Times New Roman" w:hAnsi="Times New Roman"/>
                <w:color w:val="auto"/>
                <w:kern w:val="0"/>
                <w:sz w:val="21"/>
              </w:rPr>
              <w:t>净化后通过20m高的排气筒高空排放。</w:t>
            </w:r>
          </w:p>
        </w:tc>
        <w:tc>
          <w:tcPr>
            <w:tcW w:w="1312"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粉尘</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spacing w:val="-4"/>
                <w:sz w:val="21"/>
              </w:rPr>
              <w:t>破碎</w:t>
            </w:r>
            <w:r>
              <w:rPr>
                <w:rFonts w:ascii="Times New Roman" w:hAnsi="Times New Roman"/>
                <w:color w:val="auto"/>
                <w:sz w:val="21"/>
              </w:rPr>
              <w:t>粉尘收集经布袋除尘处理后</w:t>
            </w:r>
            <w:r>
              <w:rPr>
                <w:rFonts w:hint="eastAsia" w:ascii="Times New Roman" w:hAnsi="Times New Roman"/>
                <w:color w:val="auto"/>
                <w:sz w:val="21"/>
              </w:rPr>
              <w:t>高空排放（</w:t>
            </w:r>
            <w:r>
              <w:rPr>
                <w:rFonts w:ascii="Times New Roman" w:hAnsi="Times New Roman"/>
                <w:color w:val="auto"/>
                <w:sz w:val="21"/>
              </w:rPr>
              <w:t>2</w:t>
            </w:r>
            <w:r>
              <w:rPr>
                <w:rFonts w:hint="eastAsia" w:ascii="Times New Roman" w:hAnsi="Times New Roman"/>
                <w:color w:val="auto"/>
                <w:sz w:val="21"/>
              </w:rPr>
              <w:t>0</w:t>
            </w:r>
            <w:r>
              <w:rPr>
                <w:rFonts w:ascii="Times New Roman" w:hAnsi="Times New Roman"/>
                <w:color w:val="auto"/>
                <w:sz w:val="21"/>
              </w:rPr>
              <w:t>m），废气收集率不小于 85%，除尘效率不低于 9</w:t>
            </w:r>
            <w:r>
              <w:rPr>
                <w:rFonts w:hint="eastAsia" w:ascii="Times New Roman" w:hAnsi="Times New Roman"/>
                <w:color w:val="auto"/>
                <w:sz w:val="21"/>
              </w:rPr>
              <w:t>9</w:t>
            </w:r>
            <w:r>
              <w:rPr>
                <w:rFonts w:ascii="Times New Roman" w:hAnsi="Times New Roman"/>
                <w:color w:val="auto"/>
                <w:sz w:val="21"/>
              </w:rPr>
              <w:t>%。</w:t>
            </w:r>
          </w:p>
        </w:tc>
        <w:tc>
          <w:tcPr>
            <w:tcW w:w="131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臭气</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spacing w:val="-4"/>
                <w:sz w:val="21"/>
              </w:rPr>
              <w:t>加强对车间通风换气，保持车间内空气流通。</w:t>
            </w:r>
          </w:p>
        </w:tc>
        <w:tc>
          <w:tcPr>
            <w:tcW w:w="131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噪声</w:t>
            </w:r>
          </w:p>
        </w:tc>
        <w:tc>
          <w:tcPr>
            <w:tcW w:w="159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车间噪声</w:t>
            </w:r>
          </w:p>
        </w:tc>
        <w:tc>
          <w:tcPr>
            <w:tcW w:w="53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在设备选取时应考虑低噪声要求，采用高效低噪声设备，做好消声、隔声、减震等措施。加强设备的维护，确保设备处于良好的运转状态。</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t>固废</w:t>
            </w:r>
          </w:p>
        </w:tc>
        <w:tc>
          <w:tcPr>
            <w:tcW w:w="159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危险废物、一般废物</w:t>
            </w:r>
          </w:p>
        </w:tc>
        <w:tc>
          <w:tcPr>
            <w:tcW w:w="531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分类、处理</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1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环境风险</w:t>
            </w:r>
          </w:p>
        </w:tc>
        <w:tc>
          <w:tcPr>
            <w:tcW w:w="531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编制应急预案</w:t>
            </w:r>
            <w:r>
              <w:rPr>
                <w:rFonts w:hint="eastAsia" w:ascii="Times New Roman" w:hAnsi="Times New Roman"/>
                <w:color w:val="auto"/>
                <w:sz w:val="21"/>
              </w:rPr>
              <w:t>、应急物资、日常演练等</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1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环境监测</w:t>
            </w:r>
          </w:p>
        </w:tc>
        <w:tc>
          <w:tcPr>
            <w:tcW w:w="5315"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hint="eastAsia" w:ascii="Times New Roman" w:hAnsi="Times New Roman"/>
                <w:color w:val="auto"/>
                <w:sz w:val="21"/>
              </w:rPr>
              <w:t>大气、噪声、废水自行监测等</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8"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环保设施运行费用</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8"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hint="eastAsia" w:ascii="Times New Roman" w:hAnsi="Times New Roman"/>
                <w:color w:val="auto"/>
                <w:kern w:val="0"/>
                <w:sz w:val="21"/>
              </w:rPr>
              <w:t>合计</w:t>
            </w:r>
          </w:p>
        </w:tc>
        <w:tc>
          <w:tcPr>
            <w:tcW w:w="131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textAlignment w:val="baseline"/>
              <w:rPr>
                <w:rFonts w:ascii="Times New Roman" w:hAnsi="Times New Roman"/>
                <w:color w:val="auto"/>
                <w:kern w:val="0"/>
                <w:sz w:val="21"/>
              </w:rPr>
            </w:pPr>
            <w:r>
              <w:rPr>
                <w:rFonts w:ascii="Times New Roman" w:hAnsi="Times New Roman"/>
                <w:color w:val="auto"/>
                <w:kern w:val="0"/>
                <w:sz w:val="21"/>
              </w:rPr>
              <w:fldChar w:fldCharType="begin"/>
            </w:r>
            <w:r>
              <w:rPr>
                <w:rFonts w:ascii="Times New Roman" w:hAnsi="Times New Roman"/>
                <w:color w:val="auto"/>
                <w:kern w:val="0"/>
                <w:sz w:val="21"/>
              </w:rPr>
              <w:instrText xml:space="preserve"> </w:instrText>
            </w:r>
            <w:r>
              <w:rPr>
                <w:rFonts w:hint="eastAsia" w:ascii="Times New Roman" w:hAnsi="Times New Roman"/>
                <w:color w:val="auto"/>
                <w:kern w:val="0"/>
                <w:sz w:val="21"/>
              </w:rPr>
              <w:instrText xml:space="preserve">=SUM(ABOVE)</w:instrText>
            </w:r>
            <w:r>
              <w:rPr>
                <w:rFonts w:ascii="Times New Roman" w:hAnsi="Times New Roman"/>
                <w:color w:val="auto"/>
                <w:kern w:val="0"/>
                <w:sz w:val="21"/>
              </w:rPr>
              <w:instrText xml:space="preserve"> </w:instrText>
            </w:r>
            <w:r>
              <w:rPr>
                <w:rFonts w:ascii="Times New Roman" w:hAnsi="Times New Roman"/>
                <w:color w:val="auto"/>
                <w:kern w:val="0"/>
                <w:sz w:val="21"/>
              </w:rPr>
              <w:fldChar w:fldCharType="separate"/>
            </w:r>
            <w:r>
              <w:rPr>
                <w:rFonts w:ascii="Times New Roman" w:hAnsi="Times New Roman"/>
                <w:color w:val="auto"/>
                <w:kern w:val="0"/>
                <w:sz w:val="21"/>
              </w:rPr>
              <w:t>46</w:t>
            </w:r>
            <w:r>
              <w:rPr>
                <w:rFonts w:ascii="Times New Roman" w:hAnsi="Times New Roman"/>
                <w:color w:val="auto"/>
                <w:kern w:val="0"/>
                <w:sz w:val="21"/>
              </w:rPr>
              <w:fldChar w:fldCharType="end"/>
            </w:r>
          </w:p>
        </w:tc>
      </w:tr>
    </w:tbl>
    <w:p>
      <w:pPr>
        <w:pStyle w:val="592"/>
        <w:numPr>
          <w:ilvl w:val="0"/>
          <w:numId w:val="40"/>
        </w:numPr>
        <w:rPr>
          <w:color w:val="auto"/>
        </w:rPr>
      </w:pPr>
      <w:r>
        <w:rPr>
          <w:color w:val="auto"/>
        </w:rPr>
        <w:t>公众意见采纳情况</w:t>
      </w:r>
      <w:bookmarkEnd w:id="152"/>
    </w:p>
    <w:p>
      <w:pPr>
        <w:ind w:firstLine="480"/>
        <w:rPr>
          <w:rFonts w:ascii="Times New Roman" w:hAnsi="Times New Roman"/>
          <w:color w:val="auto"/>
        </w:rPr>
      </w:pPr>
      <w:r>
        <w:rPr>
          <w:rFonts w:ascii="Times New Roman" w:hAnsi="Times New Roman"/>
          <w:color w:val="auto"/>
        </w:rPr>
        <w:t>本项目在环评期间，建设单位采取在浙江政务服务网和张贴公告的方式对项目建设以及环评的信息进行了公告；整个</w:t>
      </w:r>
      <w:r>
        <w:rPr>
          <w:rFonts w:hint="eastAsia" w:ascii="Times New Roman" w:hAnsi="Times New Roman"/>
          <w:color w:val="auto"/>
        </w:rPr>
        <w:t>公示</w:t>
      </w:r>
      <w:r>
        <w:rPr>
          <w:rFonts w:ascii="Times New Roman" w:hAnsi="Times New Roman"/>
          <w:color w:val="auto"/>
        </w:rPr>
        <w:t>的过程符合《浙江省建设项目环境保护管理办法</w:t>
      </w:r>
      <w:r>
        <w:rPr>
          <w:rFonts w:hint="eastAsia" w:ascii="Times New Roman" w:hAnsi="Times New Roman"/>
          <w:color w:val="auto"/>
        </w:rPr>
        <w:t>（2018年修订）</w:t>
      </w:r>
      <w:r>
        <w:rPr>
          <w:rFonts w:ascii="Times New Roman" w:hAnsi="Times New Roman"/>
          <w:color w:val="auto"/>
        </w:rPr>
        <w:t>》</w:t>
      </w:r>
      <w:r>
        <w:rPr>
          <w:rFonts w:hint="eastAsia" w:ascii="Times New Roman" w:hAnsi="Times New Roman"/>
          <w:color w:val="auto"/>
        </w:rPr>
        <w:t>（</w:t>
      </w:r>
      <w:r>
        <w:rPr>
          <w:rFonts w:ascii="Times New Roman" w:hAnsi="Times New Roman"/>
          <w:color w:val="auto"/>
        </w:rPr>
        <w:t>省政府令</w:t>
      </w:r>
      <w:r>
        <w:rPr>
          <w:rFonts w:hint="eastAsia" w:ascii="Times New Roman" w:hAnsi="Times New Roman"/>
          <w:color w:val="auto"/>
        </w:rPr>
        <w:t>364</w:t>
      </w:r>
      <w:r>
        <w:rPr>
          <w:rFonts w:ascii="Times New Roman" w:hAnsi="Times New Roman"/>
          <w:color w:val="auto"/>
        </w:rPr>
        <w:t>号</w:t>
      </w:r>
      <w:r>
        <w:rPr>
          <w:rFonts w:hint="eastAsia" w:ascii="Times New Roman" w:hAnsi="Times New Roman"/>
          <w:color w:val="auto"/>
        </w:rPr>
        <w:t>）</w:t>
      </w:r>
      <w:r>
        <w:rPr>
          <w:rFonts w:ascii="Times New Roman" w:hAnsi="Times New Roman"/>
          <w:color w:val="auto"/>
        </w:rPr>
        <w:t>的要求</w:t>
      </w:r>
      <w:r>
        <w:rPr>
          <w:rFonts w:hint="eastAsia" w:ascii="Times New Roman" w:hAnsi="Times New Roman"/>
          <w:color w:val="auto"/>
        </w:rPr>
        <w:t>，</w:t>
      </w:r>
      <w:r>
        <w:rPr>
          <w:rFonts w:ascii="Times New Roman" w:hAnsi="Times New Roman"/>
          <w:color w:val="auto"/>
        </w:rPr>
        <w:t>公示期间未收到书面意见</w:t>
      </w:r>
      <w:r>
        <w:rPr>
          <w:rFonts w:hint="eastAsia" w:ascii="Times New Roman" w:hAnsi="Times New Roman"/>
          <w:color w:val="auto"/>
        </w:rPr>
        <w:t>。</w:t>
      </w:r>
    </w:p>
    <w:p>
      <w:pPr>
        <w:pStyle w:val="592"/>
        <w:numPr>
          <w:ilvl w:val="0"/>
          <w:numId w:val="40"/>
        </w:numPr>
        <w:rPr>
          <w:color w:val="auto"/>
        </w:rPr>
      </w:pPr>
      <w:bookmarkStart w:id="153" w:name="_Toc37350096"/>
      <w:r>
        <w:rPr>
          <w:rFonts w:hint="eastAsia"/>
          <w:color w:val="auto"/>
        </w:rPr>
        <w:t>相关管理规定及技术规范符合性分析</w:t>
      </w:r>
      <w:bookmarkEnd w:id="153"/>
    </w:p>
    <w:p>
      <w:pPr>
        <w:ind w:firstLine="480"/>
        <w:rPr>
          <w:rFonts w:ascii="Times New Roman" w:hAnsi="Times New Roman"/>
          <w:color w:val="auto"/>
        </w:rPr>
      </w:pPr>
      <w:r>
        <w:rPr>
          <w:rFonts w:hint="eastAsia" w:ascii="Times New Roman" w:hAnsi="Times New Roman"/>
          <w:color w:val="auto"/>
        </w:rPr>
        <w:t>（1）</w:t>
      </w:r>
      <w:r>
        <w:rPr>
          <w:rFonts w:ascii="Times New Roman" w:hAnsi="Times New Roman"/>
          <w:color w:val="auto"/>
        </w:rPr>
        <w:t>《</w:t>
      </w:r>
      <w:r>
        <w:rPr>
          <w:rFonts w:hint="eastAsia" w:ascii="Times New Roman" w:hAnsi="Times New Roman"/>
          <w:color w:val="auto"/>
        </w:rPr>
        <w:t>废塑料加工利用污染防治管理规定</w:t>
      </w:r>
      <w:r>
        <w:rPr>
          <w:rFonts w:ascii="Times New Roman" w:hAnsi="Times New Roman"/>
          <w:color w:val="auto"/>
        </w:rPr>
        <w:t>》</w:t>
      </w:r>
      <w:r>
        <w:rPr>
          <w:rFonts w:hint="eastAsia" w:ascii="Times New Roman" w:hAnsi="Times New Roman"/>
          <w:color w:val="auto"/>
        </w:rPr>
        <w:t>符合性分析</w:t>
      </w:r>
    </w:p>
    <w:p>
      <w:pPr>
        <w:numPr>
          <w:ilvl w:val="0"/>
          <w:numId w:val="41"/>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《废塑料加工利用污染防治管理规定》符合性分析</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507"/>
        <w:gridCol w:w="2771"/>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序号</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判断依据</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本项目情况</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1</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禁止在居民区加工利用废塑料</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本项目位于温州市龙港</w:t>
            </w:r>
            <w:r>
              <w:rPr>
                <w:rFonts w:hint="eastAsia" w:ascii="Times New Roman" w:cs="Times New Roman"/>
                <w:color w:val="auto"/>
                <w:kern w:val="2"/>
                <w:sz w:val="21"/>
                <w:szCs w:val="21"/>
              </w:rPr>
              <w:t>临港产业基地启动区东塘路385-441号内4号楼</w:t>
            </w:r>
            <w:r>
              <w:rPr>
                <w:rFonts w:ascii="Times New Roman" w:cs="Times New Roman"/>
                <w:color w:val="auto"/>
                <w:kern w:val="2"/>
                <w:sz w:val="21"/>
                <w:szCs w:val="21"/>
              </w:rPr>
              <w:t>厂房</w:t>
            </w:r>
            <w:r>
              <w:rPr>
                <w:rFonts w:hint="eastAsia" w:ascii="Times New Roman" w:cs="Times New Roman"/>
                <w:color w:val="auto"/>
                <w:kern w:val="2"/>
                <w:sz w:val="21"/>
                <w:szCs w:val="21"/>
              </w:rPr>
              <w:t>。</w:t>
            </w:r>
            <w:r>
              <w:rPr>
                <w:rFonts w:ascii="Times New Roman" w:cs="Times New Roman"/>
                <w:color w:val="auto"/>
                <w:kern w:val="2"/>
                <w:sz w:val="21"/>
                <w:szCs w:val="21"/>
              </w:rPr>
              <w:t xml:space="preserve"> </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2</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禁止利用废塑料生产厚度小于0.025mm的超薄塑料购物袋和厚度小于0.015mm超薄塑料袋</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hint="eastAsia" w:ascii="Times New Roman" w:cs="Times New Roman"/>
                <w:color w:val="auto"/>
                <w:kern w:val="2"/>
                <w:sz w:val="21"/>
                <w:szCs w:val="21"/>
              </w:rPr>
              <w:t>本项目不</w:t>
            </w:r>
            <w:r>
              <w:rPr>
                <w:rFonts w:ascii="Times New Roman" w:cs="Times New Roman"/>
                <w:color w:val="auto"/>
                <w:kern w:val="2"/>
                <w:sz w:val="21"/>
                <w:szCs w:val="21"/>
              </w:rPr>
              <w:t>生产塑料袋</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3</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禁止利用废塑料生产食品用塑料袋</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hint="eastAsia" w:ascii="Times New Roman" w:cs="Times New Roman"/>
                <w:color w:val="auto"/>
                <w:kern w:val="2"/>
                <w:sz w:val="21"/>
                <w:szCs w:val="21"/>
              </w:rPr>
              <w:t>本项目不</w:t>
            </w:r>
            <w:r>
              <w:rPr>
                <w:rFonts w:ascii="Times New Roman" w:cs="Times New Roman"/>
                <w:color w:val="auto"/>
                <w:kern w:val="2"/>
                <w:sz w:val="21"/>
                <w:szCs w:val="21"/>
              </w:rPr>
              <w:t>生产食品用塑料袋</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4</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禁止无危险废物经营许可证从事废塑料类危险废物的回收利用活动，包括被危险化学品、农药等污染的废弃塑料包装物，废弃的一次性医疗用塑料制品（如输液器、血袋）等</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本项目回收塑料为</w:t>
            </w:r>
            <w:r>
              <w:rPr>
                <w:rFonts w:hint="eastAsia" w:ascii="Times New Roman" w:cs="Times New Roman"/>
                <w:color w:val="auto"/>
                <w:kern w:val="2"/>
                <w:sz w:val="21"/>
                <w:szCs w:val="21"/>
              </w:rPr>
              <w:t>废塑料膜边角料</w:t>
            </w:r>
            <w:r>
              <w:rPr>
                <w:rFonts w:ascii="Times New Roman" w:cs="Times New Roman"/>
                <w:color w:val="auto"/>
                <w:kern w:val="2"/>
                <w:sz w:val="21"/>
                <w:szCs w:val="21"/>
              </w:rPr>
              <w:t>，</w:t>
            </w:r>
            <w:r>
              <w:rPr>
                <w:rFonts w:hint="eastAsia" w:ascii="Times New Roman" w:cs="Times New Roman"/>
                <w:color w:val="auto"/>
                <w:kern w:val="2"/>
                <w:sz w:val="21"/>
                <w:szCs w:val="21"/>
              </w:rPr>
              <w:t>不涉及</w:t>
            </w:r>
            <w:r>
              <w:rPr>
                <w:rFonts w:ascii="Times New Roman" w:cs="Times New Roman"/>
                <w:color w:val="auto"/>
                <w:kern w:val="2"/>
                <w:sz w:val="21"/>
                <w:szCs w:val="21"/>
              </w:rPr>
              <w:t>废塑料类危险废物</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5</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无符合环保要求污水治理设施的，禁止从事废编织袋造粒、缸脚料淘洗、废塑料退镀（涂）、盐卤分拣等加工活动</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本项目不属于废编织袋造粒、缸脚料淘洗、废塑料退镀（涂）、盐卤分拣等加工活动</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6</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废塑料加工利用单位应当以环境无害化方式处理废塑料加工利用过程产生的残余垃圾、滤网；禁止交不符合环保要求的单位或个人处置。</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本项目固废分类处理</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hint="eastAsia" w:ascii="Times New Roman"/>
                <w:color w:val="auto"/>
                <w:kern w:val="2"/>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7</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禁止露天焚烧废塑料及加工利用过程产生的残余垃圾、滤网。</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hint="eastAsia" w:ascii="Times New Roman" w:cs="Times New Roman"/>
                <w:color w:val="auto"/>
                <w:kern w:val="2"/>
                <w:sz w:val="21"/>
                <w:szCs w:val="21"/>
              </w:rPr>
              <w:t>按要求落实</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8</w:t>
            </w:r>
          </w:p>
        </w:tc>
        <w:tc>
          <w:tcPr>
            <w:tcW w:w="4507"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进口废塑料加工利用企业应当符合《固体废物进口管理办法》以及环境保护部关于进口可用作原料的固体废物和废塑料环境保护管理相关规定</w:t>
            </w:r>
          </w:p>
        </w:tc>
        <w:tc>
          <w:tcPr>
            <w:tcW w:w="277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本项目不涉及进口塑料、废塑料</w:t>
            </w:r>
          </w:p>
        </w:tc>
        <w:tc>
          <w:tcPr>
            <w:tcW w:w="1041" w:type="dxa"/>
            <w:vAlign w:val="center"/>
          </w:tcPr>
          <w:p>
            <w:pPr>
              <w:pStyle w:val="749"/>
              <w:keepNext w:val="0"/>
              <w:keepLines w:val="0"/>
              <w:suppressLineNumbers w:val="0"/>
              <w:snapToGrid w:val="0"/>
              <w:spacing w:before="0" w:beforeAutospacing="0" w:after="0" w:afterAutospacing="0" w:line="240" w:lineRule="auto"/>
              <w:ind w:left="0" w:right="0"/>
              <w:jc w:val="center"/>
              <w:rPr>
                <w:rFonts w:ascii="Times New Roman" w:cs="Times New Roman"/>
                <w:color w:val="auto"/>
                <w:kern w:val="2"/>
                <w:sz w:val="21"/>
                <w:szCs w:val="21"/>
              </w:rPr>
            </w:pPr>
            <w:r>
              <w:rPr>
                <w:rFonts w:ascii="Times New Roman" w:cs="Times New Roman"/>
                <w:color w:val="auto"/>
                <w:kern w:val="2"/>
                <w:sz w:val="21"/>
                <w:szCs w:val="21"/>
              </w:rPr>
              <w:t>符合</w:t>
            </w:r>
          </w:p>
        </w:tc>
      </w:tr>
    </w:tbl>
    <w:p>
      <w:pPr>
        <w:ind w:firstLine="480"/>
        <w:rPr>
          <w:rFonts w:ascii="Times New Roman" w:hAnsi="Times New Roman"/>
          <w:color w:val="auto"/>
        </w:rPr>
      </w:pPr>
      <w:r>
        <w:rPr>
          <w:rFonts w:ascii="Times New Roman" w:hAnsi="Times New Roman"/>
          <w:color w:val="auto"/>
          <w:szCs w:val="24"/>
        </w:rPr>
        <w:t>由上表可知，本项目</w:t>
      </w:r>
      <w:r>
        <w:rPr>
          <w:rFonts w:hint="eastAsia" w:ascii="Times New Roman" w:hAnsi="Times New Roman"/>
          <w:color w:val="auto"/>
          <w:szCs w:val="24"/>
        </w:rPr>
        <w:t>各方面</w:t>
      </w:r>
      <w:r>
        <w:rPr>
          <w:rFonts w:ascii="Times New Roman" w:hAnsi="Times New Roman"/>
          <w:color w:val="auto"/>
          <w:szCs w:val="24"/>
        </w:rPr>
        <w:t>符合</w:t>
      </w:r>
      <w:r>
        <w:rPr>
          <w:rFonts w:ascii="Times New Roman" w:hAnsi="Times New Roman"/>
          <w:color w:val="auto"/>
        </w:rPr>
        <w:t>《</w:t>
      </w:r>
      <w:r>
        <w:rPr>
          <w:rFonts w:hint="eastAsia" w:ascii="Times New Roman" w:hAnsi="Times New Roman"/>
          <w:color w:val="auto"/>
        </w:rPr>
        <w:t>废塑料加工利用污染防治管理规定</w:t>
      </w:r>
      <w:r>
        <w:rPr>
          <w:rFonts w:ascii="Times New Roman" w:hAnsi="Times New Roman"/>
          <w:color w:val="auto"/>
        </w:rPr>
        <w:t>》</w:t>
      </w:r>
      <w:r>
        <w:rPr>
          <w:rFonts w:hint="eastAsia" w:ascii="Times New Roman" w:hAnsi="Times New Roman"/>
          <w:color w:val="auto"/>
        </w:rPr>
        <w:t>的相关</w:t>
      </w:r>
      <w:r>
        <w:rPr>
          <w:rFonts w:ascii="Times New Roman" w:hAnsi="Times New Roman"/>
          <w:color w:val="auto"/>
        </w:rPr>
        <w:t>要求。</w:t>
      </w:r>
    </w:p>
    <w:p>
      <w:pPr>
        <w:ind w:firstLine="480"/>
        <w:rPr>
          <w:rFonts w:ascii="Times New Roman" w:hAnsi="Times New Roman"/>
          <w:color w:val="auto"/>
        </w:rPr>
      </w:pPr>
      <w:r>
        <w:rPr>
          <w:rFonts w:hint="eastAsia" w:ascii="Times New Roman" w:hAnsi="Times New Roman"/>
          <w:color w:val="auto"/>
        </w:rPr>
        <w:t>（2）</w:t>
      </w:r>
      <w:r>
        <w:rPr>
          <w:rFonts w:ascii="Times New Roman" w:hAnsi="Times New Roman"/>
          <w:color w:val="auto"/>
        </w:rPr>
        <w:t>《</w:t>
      </w:r>
      <w:r>
        <w:rPr>
          <w:rFonts w:hint="eastAsia" w:ascii="Times New Roman" w:hAnsi="Times New Roman"/>
          <w:color w:val="auto"/>
        </w:rPr>
        <w:t>废塑料回收与再生利用污染控制技术规范</w:t>
      </w:r>
      <w:r>
        <w:rPr>
          <w:rFonts w:ascii="Times New Roman" w:hAnsi="Times New Roman"/>
          <w:color w:val="auto"/>
        </w:rPr>
        <w:t>》（</w:t>
      </w:r>
      <w:r>
        <w:rPr>
          <w:rFonts w:hint="eastAsia" w:ascii="Times New Roman" w:hAnsi="Times New Roman"/>
          <w:color w:val="auto"/>
        </w:rPr>
        <w:t>试行</w:t>
      </w:r>
      <w:r>
        <w:rPr>
          <w:rFonts w:ascii="Times New Roman" w:hAnsi="Times New Roman"/>
          <w:color w:val="auto"/>
        </w:rPr>
        <w:t>）</w:t>
      </w:r>
      <w:r>
        <w:rPr>
          <w:rFonts w:hint="eastAsia" w:ascii="Times New Roman" w:hAnsi="Times New Roman"/>
          <w:color w:val="auto"/>
        </w:rPr>
        <w:t>符合性分析</w:t>
      </w:r>
    </w:p>
    <w:p>
      <w:pPr>
        <w:numPr>
          <w:ilvl w:val="0"/>
          <w:numId w:val="41"/>
        </w:numPr>
        <w:spacing w:line="240" w:lineRule="auto"/>
        <w:ind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废塑料回收与再生利用污染控制技术规范</w:t>
      </w:r>
      <w:r>
        <w:rPr>
          <w:rFonts w:ascii="Times New Roman" w:hAnsi="Times New Roman"/>
          <w:b/>
          <w:color w:val="auto"/>
          <w:sz w:val="21"/>
        </w:rPr>
        <w:t>》（</w:t>
      </w:r>
      <w:r>
        <w:rPr>
          <w:rFonts w:hint="eastAsia" w:ascii="Times New Roman" w:hAnsi="Times New Roman"/>
          <w:b/>
          <w:color w:val="auto"/>
          <w:sz w:val="21"/>
        </w:rPr>
        <w:t>试行</w:t>
      </w:r>
      <w:r>
        <w:rPr>
          <w:rFonts w:ascii="Times New Roman" w:hAnsi="Times New Roman"/>
          <w:b/>
          <w:color w:val="auto"/>
          <w:sz w:val="21"/>
        </w:rPr>
        <w:t>）</w:t>
      </w:r>
      <w:r>
        <w:rPr>
          <w:rFonts w:hint="eastAsia" w:ascii="Times New Roman" w:hAnsi="Times New Roman"/>
          <w:b/>
          <w:color w:val="auto"/>
          <w:sz w:val="21"/>
        </w:rPr>
        <w:t>符合性分析</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4113"/>
        <w:gridCol w:w="3301"/>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8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类别</w:t>
            </w:r>
          </w:p>
        </w:tc>
        <w:tc>
          <w:tcPr>
            <w:tcW w:w="4113"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技术规范要求</w:t>
            </w:r>
          </w:p>
        </w:tc>
        <w:tc>
          <w:tcPr>
            <w:tcW w:w="3301"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本项目情况</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回收要求</w:t>
            </w: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废塑料的回收应按原料树脂种类进行分类回收，并严格区分废塑料来源和原用途，不得回收和再生利用医疗废物和危险废物的废塑料</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本项目回收塑料</w:t>
            </w:r>
            <w:r>
              <w:rPr>
                <w:rFonts w:hint="eastAsia" w:ascii="Times New Roman" w:hAnsi="Times New Roman"/>
                <w:color w:val="auto"/>
                <w:sz w:val="21"/>
              </w:rPr>
              <w:t>不涉及医疗废物和</w:t>
            </w:r>
            <w:r>
              <w:rPr>
                <w:rFonts w:ascii="Times New Roman" w:hAnsi="Times New Roman"/>
                <w:color w:val="auto"/>
                <w:sz w:val="21"/>
              </w:rPr>
              <w:t>危险废物</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含卤素废塑料的回收和再生利用应与其他废塑料分开进行</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本项目不涉及含卤素废塑料</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废塑料的回收中转或贮存场所（企业）必经过当地人民政府环境保护行政主管部门的环保审批，并有相应的污染防治设施和设备</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本项目不设置回收中转或贮存场所</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废塑料的回收过程中不得进行就地清洗，如需进行减容破碎处理，应使用干法破碎技术，并配备相应的防尘、防噪声设备。</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本项目不涉及清洗工艺</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废塑料的回收过程中应避免遗洒</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本项目采用回收地打包处理，然后运输</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包装和运输要求</w:t>
            </w: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废塑料运输前应进行包装，或用封闭的交通工具运输，不得裸露运输废塑料</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本项目进行运输前打包处理</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废塑料包装物应进行防水、耐压、遮蔽性过程中应确保包装完好，无废塑料遗洒</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本项目废塑料包装物防水、耐用</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不得超高、超宽、超载运输废塑料，宜采用密闭集装箱或带有压缩装置的箱式货车运输</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本环评要求</w:t>
            </w:r>
            <w:r>
              <w:rPr>
                <w:rFonts w:ascii="Times New Roman" w:hAnsi="Times New Roman"/>
                <w:color w:val="auto"/>
                <w:sz w:val="21"/>
              </w:rPr>
              <w:t>不得超高、超宽、超载运输废塑料，宜采用密闭集装箱或带有压缩装置的箱式货车运输</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符合贮存要求</w:t>
            </w: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废塑料应贮存在通过环保审批的专门贮存场所内</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本项目废塑料贮存在厂区内，正在进行环保审批</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贮存场所必须为封闭或半封闭型设施，应有防雨、防晒、防渗、防尘、防扬散和防火措施</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本环评要求</w:t>
            </w:r>
            <w:r>
              <w:rPr>
                <w:rFonts w:ascii="Times New Roman" w:hAnsi="Times New Roman"/>
                <w:color w:val="auto"/>
                <w:sz w:val="21"/>
              </w:rPr>
              <w:t>贮存场所必须为封闭或半封闭型设施，应有防雨、防晒、防渗、防尘、防扬散和防火措施</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不同种类、不同来源的废塑料，应分开存放</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本项目废塑料分类存放</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预处理工艺要求</w:t>
            </w: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废塑料预处理只要包括分选、清洗、破碎和干燥</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项目预处理只涉及破碎工序</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废塑料预处理工艺应当遵循先进、稳定、无二次污染的原则、应采用节水、节能、高效、低污染的设备；宜采用机械和自动化设备，减少手工操作</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本项目采用自动化设备</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废塑料的清洗可分为物理清洗和化学清洗，应根据废塑料的来源和污染情况选择清洗工艺；宜采用节水的机械清洗技术；化学清洗不得使用有毒有害的化学清洗剂，宜采用无磷清洗剂</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本项目不涉及清洗工艺</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废塑料的破碎宜采用干法破碎技术，并应配有防治粉尘和噪声污染的设备。</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本项目采用干法破碎技术，</w:t>
            </w:r>
            <w:r>
              <w:rPr>
                <w:rFonts w:ascii="Times New Roman" w:hAnsi="Times New Roman"/>
                <w:color w:val="auto"/>
                <w:sz w:val="21"/>
              </w:rPr>
              <w:t>配有防治粉尘和噪声污染的设备</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废塑料干燥方法可采用人工干燥和自然干燥，人工干燥应采用节能、高效的干燥技术；自然干燥的场所应采取防风措施</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本项目不涉及清洗，无干燥工序</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再生利用技术要求</w:t>
            </w: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废塑料应按照直接再生、改性再生、能量回收的有限顺序进行再生利用</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本项目采用直接再生利用方式</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建设项目的环境保护要求</w:t>
            </w: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新建废塑料再生利用项目的选址应符合环境保护要求，不得建在城市居住区、商业区及其他环境敏感区内；现在再生企业如在上述区域内，必须按照当地规划和环境保护行政主管部门的要求限期搬迁</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w:t>
            </w:r>
            <w:r>
              <w:rPr>
                <w:rFonts w:ascii="Times New Roman" w:hAnsi="Times New Roman"/>
                <w:color w:val="auto"/>
                <w:sz w:val="21"/>
              </w:rPr>
              <w:t>目位于温州市龙港</w:t>
            </w:r>
            <w:r>
              <w:rPr>
                <w:rFonts w:hint="eastAsia" w:ascii="Times New Roman" w:hAnsi="Times New Roman"/>
                <w:color w:val="auto"/>
                <w:sz w:val="21"/>
              </w:rPr>
              <w:t>临港产业基地启动区东塘路385-441号内4号楼</w:t>
            </w:r>
            <w:r>
              <w:rPr>
                <w:rFonts w:ascii="Times New Roman" w:hAnsi="Times New Roman"/>
                <w:color w:val="auto"/>
                <w:sz w:val="21"/>
              </w:rPr>
              <w:t>厂房</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再生利用项目必须建有围墙并按功能划分厂区，包括管理区、原料区、生产区、产品贮存区、污染控制区（包括不可利用的废物的贮存和处理区）；各功能区应有明显的界限和标志</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本环评要求项目必须建有围墙并按功能划分厂区，包括管理区、原料区、生产区、产品贮存区、污染控制区（包括不可利用的废物的贮存和处理区）；各功能区应有明显的界限和标志</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所有功能区必须有封闭和半封闭设施，采取防风、防雨、防渗、防水等措施，并有足够的疏散通道</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本环评要求项目所有功能区必须有封闭和半封闭设施，采取防风、防雨、防渗、防水等措施，并有足够的疏散通道</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污染控制要求</w:t>
            </w: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废塑料预处理、再生利用等过程中产生的废水和厂区产生的生活废水，企业应有配套的废水收集设施。废水宜在厂区内处理并循环利用；并入市政污水管网集中处理的废水应符合CJ3082要求</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项目造粒冷却水和喷射塔废水循环使用，不外排；</w:t>
            </w:r>
            <w:r>
              <w:rPr>
                <w:rFonts w:ascii="Times New Roman" w:hAnsi="Times New Roman"/>
                <w:color w:val="auto"/>
                <w:sz w:val="21"/>
              </w:rPr>
              <w:t>生活</w:t>
            </w:r>
            <w:r>
              <w:rPr>
                <w:rFonts w:hint="eastAsia" w:ascii="Times New Roman" w:hAnsi="Times New Roman"/>
                <w:color w:val="auto"/>
                <w:sz w:val="21"/>
              </w:rPr>
              <w:t>污</w:t>
            </w:r>
            <w:r>
              <w:rPr>
                <w:rFonts w:ascii="Times New Roman" w:hAnsi="Times New Roman"/>
                <w:color w:val="auto"/>
                <w:sz w:val="21"/>
              </w:rPr>
              <w:t>水</w:t>
            </w:r>
            <w:r>
              <w:rPr>
                <w:rFonts w:hint="eastAsia" w:ascii="Times New Roman" w:hAnsi="Times New Roman"/>
                <w:color w:val="auto"/>
                <w:sz w:val="21"/>
              </w:rPr>
              <w:t>经</w:t>
            </w:r>
            <w:r>
              <w:rPr>
                <w:rFonts w:ascii="Times New Roman" w:hAnsi="Times New Roman"/>
                <w:color w:val="auto"/>
                <w:sz w:val="21"/>
              </w:rPr>
              <w:t>化粪池预处理达《污水综合排放标准》（GB8978-1996）三级标准后</w:t>
            </w:r>
            <w:r>
              <w:rPr>
                <w:rFonts w:hAnsi="Times New Roman"/>
                <w:color w:val="auto"/>
                <w:sz w:val="21"/>
              </w:rPr>
              <w:t>纳入市政污水管网，最终进入苍南县临港产业基地启动区污水处理厂处理达标后排放</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预处理、再生利用过程中产生的废气，企业应有集气装置收集，经净化处理的废气的排放应按企业所在环境功能区类别，应执行GB16297和GB14554</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kern w:val="0"/>
                <w:sz w:val="21"/>
              </w:rPr>
              <w:t>造粒车间</w:t>
            </w:r>
            <w:r>
              <w:rPr>
                <w:rFonts w:ascii="Times New Roman" w:hAnsi="Times New Roman"/>
                <w:color w:val="auto"/>
                <w:kern w:val="0"/>
                <w:sz w:val="21"/>
              </w:rPr>
              <w:t>各挤出机机头上方设置集气罩，业主单位应委托有资质的单位设计并安装集气罩，废气收集后经</w:t>
            </w:r>
            <w:r>
              <w:rPr>
                <w:rFonts w:ascii="Times New Roman" w:hAnsi="Times New Roman"/>
                <w:color w:val="auto"/>
                <w:sz w:val="21"/>
              </w:rPr>
              <w:t>喷射塔+</w:t>
            </w:r>
            <w:r>
              <w:rPr>
                <w:rFonts w:hint="eastAsia" w:ascii="Times New Roman" w:hAnsi="Times New Roman"/>
                <w:color w:val="auto"/>
                <w:sz w:val="21"/>
              </w:rPr>
              <w:t>油烟净化器+</w:t>
            </w:r>
            <w:r>
              <w:rPr>
                <w:rFonts w:ascii="Times New Roman" w:hAnsi="Times New Roman"/>
                <w:color w:val="auto"/>
                <w:sz w:val="21"/>
              </w:rPr>
              <w:t>UV光氧+活性炭装置</w:t>
            </w:r>
            <w:r>
              <w:rPr>
                <w:rFonts w:hint="eastAsia" w:ascii="Times New Roman" w:hAnsi="Times New Roman"/>
                <w:color w:val="auto"/>
                <w:kern w:val="0"/>
                <w:sz w:val="21"/>
              </w:rPr>
              <w:t>净化后通过20m高的排气筒高空排放</w:t>
            </w:r>
            <w:r>
              <w:rPr>
                <w:rFonts w:hint="eastAsia" w:ascii="Times New Roman" w:hAnsi="Times New Roman"/>
                <w:color w:val="auto"/>
                <w:sz w:val="21"/>
              </w:rPr>
              <w:t xml:space="preserve"> </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预处理和再生利用过程中应控制噪声污染，排放噪声应符合GB12348的要求</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本项目设备布局合理，采用一定的隔声降噪措施，并加强管理；厂界噪声能够达标。</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废塑料预处理、再生利用过程中产生的固体废物，包括分选出的不宜再生利用的废塑料，应按工业固体废物处置，并执行相关环境保护标准</w:t>
            </w:r>
          </w:p>
        </w:tc>
        <w:tc>
          <w:tcPr>
            <w:tcW w:w="3301"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本项目固废分类处理，</w:t>
            </w:r>
            <w:r>
              <w:rPr>
                <w:rFonts w:hint="eastAsia" w:ascii="Times New Roman" w:hAnsi="Times New Roman"/>
                <w:color w:val="auto"/>
                <w:sz w:val="21"/>
              </w:rPr>
              <w:t>废包装材料和一般分拣废物由相关单位回收综合利用；</w:t>
            </w:r>
            <w:r>
              <w:rPr>
                <w:rFonts w:ascii="Times New Roman"/>
                <w:color w:val="auto"/>
                <w:sz w:val="21"/>
              </w:rPr>
              <w:t>项目</w:t>
            </w:r>
            <w:r>
              <w:rPr>
                <w:rFonts w:ascii="Times New Roman" w:hAnsi="Times New Roman"/>
                <w:color w:val="auto"/>
                <w:sz w:val="21"/>
              </w:rPr>
              <w:t>挤出机废弃过滤网由废塑料加工单位回收进行滤网再生</w:t>
            </w:r>
            <w:r>
              <w:rPr>
                <w:rFonts w:hint="eastAsia" w:ascii="Times New Roman" w:hAnsi="Times New Roman"/>
                <w:color w:val="auto"/>
                <w:sz w:val="21"/>
              </w:rPr>
              <w:t>；收集的粉尘和</w:t>
            </w:r>
            <w:r>
              <w:rPr>
                <w:rFonts w:ascii="Times New Roman" w:hAnsi="Times New Roman"/>
                <w:color w:val="auto"/>
                <w:sz w:val="21"/>
              </w:rPr>
              <w:t>生活垃圾收集</w:t>
            </w:r>
            <w:r>
              <w:rPr>
                <w:rFonts w:hint="eastAsia" w:ascii="Times New Roman" w:hAnsi="Times New Roman"/>
                <w:color w:val="auto"/>
                <w:sz w:val="21"/>
              </w:rPr>
              <w:t>后</w:t>
            </w:r>
            <w:r>
              <w:rPr>
                <w:rFonts w:ascii="Times New Roman" w:hAnsi="Times New Roman"/>
                <w:color w:val="auto"/>
                <w:sz w:val="21"/>
              </w:rPr>
              <w:t>委托环卫部门统一处理、处置。</w:t>
            </w:r>
            <w:r>
              <w:rPr>
                <w:rFonts w:hint="eastAsia" w:ascii="Times New Roman" w:hAnsi="Times New Roman"/>
                <w:color w:val="auto"/>
                <w:sz w:val="21"/>
              </w:rPr>
              <w:t>危废委托资质单位处理。</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废塑料再生利用的制品要求</w:t>
            </w: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不宜使用废塑料制造直接接触食品的包装、制品或材料</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olor w:val="auto"/>
                <w:sz w:val="21"/>
              </w:rPr>
              <w:t>本项目的废塑料制作的产品不</w:t>
            </w:r>
            <w:r>
              <w:rPr>
                <w:rFonts w:hint="eastAsia" w:ascii="Times New Roman" w:hAnsi="Times New Roman" w:cs="宋体"/>
                <w:color w:val="auto"/>
                <w:kern w:val="0"/>
                <w:sz w:val="21"/>
              </w:rPr>
              <w:t>直接接触食品的包装、制品或材料，不用于原用途，用于其他用途时应符合不危害人体健康的原则，主要用于工业用途。</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再生塑料制品或材料在生产过程中不得使用氟氯化碳类化合物作发泡剂；制造人体接触的再生塑料制品或材料时，不得添加有毒有害的化学助剂。</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本项目废塑料生产过程中不添加氟氯化碳类化合物作发泡剂、不添加有毒有害的化学助剂。</w:t>
            </w:r>
          </w:p>
        </w:tc>
        <w:tc>
          <w:tcPr>
            <w:tcW w:w="745"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管理要求</w:t>
            </w: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废塑料的回收和再生利用企业应建立、健全环境保护管理责任制度，设置环境保护部门或者专（兼）职人员，负责监督废塑料回收和再生利用过程中的环境保护及相关管理工作</w:t>
            </w:r>
          </w:p>
        </w:tc>
        <w:tc>
          <w:tcPr>
            <w:tcW w:w="3301" w:type="dxa"/>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105" w:firstLineChars="50"/>
              <w:jc w:val="center"/>
              <w:rPr>
                <w:rFonts w:ascii="Times New Roman" w:hAnsi="Times New Roman" w:cs="宋体"/>
                <w:color w:val="auto"/>
                <w:kern w:val="0"/>
                <w:sz w:val="21"/>
              </w:rPr>
            </w:pPr>
            <w:r>
              <w:rPr>
                <w:rFonts w:hint="eastAsia" w:ascii="Times New Roman" w:hAnsi="Times New Roman" w:cs="宋体"/>
                <w:color w:val="auto"/>
                <w:kern w:val="0"/>
                <w:sz w:val="21"/>
              </w:rPr>
              <w:t>本企业严格按照管理要求执行</w:t>
            </w:r>
          </w:p>
        </w:tc>
        <w:tc>
          <w:tcPr>
            <w:tcW w:w="74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废塑料的回收和再生利用企业应对所有工作人员进行环境保护培训</w:t>
            </w:r>
          </w:p>
        </w:tc>
        <w:tc>
          <w:tcPr>
            <w:tcW w:w="3301"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p>
        </w:tc>
        <w:tc>
          <w:tcPr>
            <w:tcW w:w="74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的回收和再生利用企业应建立废塑料回收和再生利用情况记录制度，内容包括每批次废塑料的回收时间、地点、来源（包括名称和联系方式）、数量、种类、预处理情况、再生利用时间、再生制品名称、再生制品数量、再生制品流向、再生制品用途，并做好月度和年度汇总工作</w:t>
            </w:r>
          </w:p>
        </w:tc>
        <w:tc>
          <w:tcPr>
            <w:tcW w:w="3301"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p>
        </w:tc>
        <w:tc>
          <w:tcPr>
            <w:tcW w:w="74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废塑料的回收和再生利用企业应建立环境保护监测制度，不同污染物的采样监测方法和频次执行相关国家或行业标准，并做好监测记录以及特殊情况记录</w:t>
            </w:r>
          </w:p>
        </w:tc>
        <w:tc>
          <w:tcPr>
            <w:tcW w:w="3301"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p>
        </w:tc>
        <w:tc>
          <w:tcPr>
            <w:tcW w:w="74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废塑料的回收和再生利用企业应建立废塑料回收和再生利用企业建设、生产、消防、环保、工商、税务等档案台账，并设专人管理，资料至少应保存五年</w:t>
            </w:r>
          </w:p>
        </w:tc>
        <w:tc>
          <w:tcPr>
            <w:tcW w:w="3301"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p>
        </w:tc>
        <w:tc>
          <w:tcPr>
            <w:tcW w:w="74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废塑料的回收和再生利用企业应建立污染预防机制和处理环境污染事故的应急预案制度</w:t>
            </w:r>
          </w:p>
        </w:tc>
        <w:tc>
          <w:tcPr>
            <w:tcW w:w="3301"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p>
        </w:tc>
        <w:tc>
          <w:tcPr>
            <w:tcW w:w="74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r>
              <w:rPr>
                <w:rFonts w:hint="eastAsia" w:ascii="Times New Roman" w:hAnsi="Times New Roman" w:cs="宋体"/>
                <w:color w:val="auto"/>
                <w:kern w:val="0"/>
                <w:sz w:val="21"/>
              </w:rPr>
              <w:t>废塑料的回收和再生利用企业应认真执行排污申报制度，按时缴纳排污费</w:t>
            </w:r>
          </w:p>
        </w:tc>
        <w:tc>
          <w:tcPr>
            <w:tcW w:w="3301" w:type="dxa"/>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s="宋体"/>
                <w:color w:val="auto"/>
                <w:kern w:val="0"/>
                <w:sz w:val="21"/>
              </w:rPr>
            </w:pPr>
          </w:p>
        </w:tc>
        <w:tc>
          <w:tcPr>
            <w:tcW w:w="74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p>
        </w:tc>
      </w:tr>
    </w:tbl>
    <w:p>
      <w:pPr>
        <w:ind w:firstLine="480"/>
        <w:rPr>
          <w:rFonts w:ascii="Times New Roman" w:hAnsi="Times New Roman"/>
          <w:color w:val="auto"/>
          <w:szCs w:val="24"/>
        </w:rPr>
      </w:pPr>
      <w:r>
        <w:rPr>
          <w:rFonts w:ascii="Times New Roman" w:hAnsi="Times New Roman"/>
          <w:color w:val="auto"/>
          <w:szCs w:val="24"/>
        </w:rPr>
        <w:t>由上表可知，本项目符合</w:t>
      </w:r>
      <w:r>
        <w:rPr>
          <w:rFonts w:ascii="Times New Roman" w:hAnsi="Times New Roman"/>
          <w:color w:val="auto"/>
        </w:rPr>
        <w:t>《</w:t>
      </w:r>
      <w:r>
        <w:rPr>
          <w:rFonts w:hint="eastAsia" w:ascii="Times New Roman" w:hAnsi="Times New Roman"/>
          <w:color w:val="auto"/>
        </w:rPr>
        <w:t>废塑料回收与再生利用污染控制技术规范</w:t>
      </w:r>
      <w:r>
        <w:rPr>
          <w:rFonts w:ascii="Times New Roman" w:hAnsi="Times New Roman"/>
          <w:color w:val="auto"/>
        </w:rPr>
        <w:t>》（</w:t>
      </w:r>
      <w:r>
        <w:rPr>
          <w:rFonts w:hint="eastAsia" w:ascii="Times New Roman" w:hAnsi="Times New Roman"/>
          <w:color w:val="auto"/>
        </w:rPr>
        <w:t>试行</w:t>
      </w:r>
      <w:r>
        <w:rPr>
          <w:rFonts w:ascii="Times New Roman" w:hAnsi="Times New Roman"/>
          <w:color w:val="auto"/>
        </w:rPr>
        <w:t>）</w:t>
      </w:r>
      <w:r>
        <w:rPr>
          <w:rFonts w:ascii="Times New Roman" w:hAnsi="Times New Roman"/>
          <w:color w:val="auto"/>
          <w:szCs w:val="24"/>
        </w:rPr>
        <w:t>中相关要求。</w:t>
      </w:r>
    </w:p>
    <w:p>
      <w:pPr>
        <w:ind w:firstLine="480"/>
        <w:rPr>
          <w:rFonts w:ascii="Times New Roman" w:hAnsi="Times New Roman"/>
          <w:color w:val="auto"/>
        </w:rPr>
      </w:pPr>
      <w:r>
        <w:rPr>
          <w:rFonts w:hint="eastAsia" w:ascii="Times New Roman" w:hAnsi="Times New Roman"/>
          <w:color w:val="auto"/>
        </w:rPr>
        <w:t>（3）</w:t>
      </w:r>
      <w:r>
        <w:rPr>
          <w:rFonts w:ascii="Times New Roman" w:hAnsi="Times New Roman"/>
          <w:color w:val="auto"/>
        </w:rPr>
        <w:t>《</w:t>
      </w:r>
      <w:r>
        <w:rPr>
          <w:rFonts w:hint="eastAsia" w:ascii="Times New Roman" w:hAnsi="Times New Roman"/>
          <w:color w:val="auto"/>
        </w:rPr>
        <w:t>废旧塑料综合利用行业规范条件</w:t>
      </w:r>
      <w:r>
        <w:rPr>
          <w:rFonts w:ascii="Times New Roman" w:hAnsi="Times New Roman"/>
          <w:color w:val="auto"/>
        </w:rPr>
        <w:t>》</w:t>
      </w:r>
      <w:r>
        <w:rPr>
          <w:rFonts w:hint="eastAsia" w:ascii="Times New Roman" w:hAnsi="Times New Roman"/>
          <w:color w:val="auto"/>
        </w:rPr>
        <w:t>符合性分析</w:t>
      </w:r>
    </w:p>
    <w:p>
      <w:pPr>
        <w:numPr>
          <w:ilvl w:val="0"/>
          <w:numId w:val="41"/>
        </w:numPr>
        <w:spacing w:line="240" w:lineRule="auto"/>
        <w:ind w:firstLineChars="0"/>
        <w:jc w:val="center"/>
        <w:rPr>
          <w:rFonts w:ascii="Times New Roman" w:hAnsi="Times New Roman"/>
          <w:b/>
          <w:color w:val="auto"/>
          <w:sz w:val="21"/>
        </w:rPr>
      </w:pPr>
      <w:r>
        <w:rPr>
          <w:rFonts w:ascii="Times New Roman" w:hAnsi="Times New Roman"/>
          <w:b/>
          <w:color w:val="auto"/>
          <w:sz w:val="21"/>
        </w:rPr>
        <w:t>《</w:t>
      </w:r>
      <w:r>
        <w:rPr>
          <w:rFonts w:hint="eastAsia" w:ascii="Times New Roman" w:hAnsi="Times New Roman"/>
          <w:b/>
          <w:color w:val="auto"/>
          <w:sz w:val="21"/>
        </w:rPr>
        <w:t>废旧塑料综合利用行业规范条件</w:t>
      </w:r>
      <w:r>
        <w:rPr>
          <w:rFonts w:ascii="Times New Roman" w:hAnsi="Times New Roman"/>
          <w:b/>
          <w:color w:val="auto"/>
          <w:sz w:val="21"/>
        </w:rPr>
        <w:t>》</w:t>
      </w:r>
      <w:r>
        <w:rPr>
          <w:rFonts w:hint="eastAsia" w:ascii="Times New Roman" w:hAnsi="Times New Roman"/>
          <w:b/>
          <w:color w:val="auto"/>
          <w:sz w:val="21"/>
        </w:rPr>
        <w:t>符合性分析</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4113"/>
        <w:gridCol w:w="3301"/>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80"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类别</w:t>
            </w:r>
          </w:p>
        </w:tc>
        <w:tc>
          <w:tcPr>
            <w:tcW w:w="4113"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技术规范要求</w:t>
            </w:r>
          </w:p>
        </w:tc>
        <w:tc>
          <w:tcPr>
            <w:tcW w:w="3301" w:type="dxa"/>
            <w:vAlign w:val="center"/>
          </w:tcPr>
          <w:p>
            <w:pPr>
              <w:keepNext w:val="0"/>
              <w:keepLines w:val="0"/>
              <w:suppressLineNumbers w:val="0"/>
              <w:spacing w:before="0" w:beforeAutospacing="0" w:after="0" w:afterAutospacing="0" w:line="240" w:lineRule="auto"/>
              <w:ind w:left="0" w:right="0" w:firstLine="420"/>
              <w:jc w:val="center"/>
              <w:rPr>
                <w:rFonts w:ascii="Times New Roman" w:hAnsi="Times New Roman"/>
                <w:color w:val="auto"/>
                <w:sz w:val="21"/>
              </w:rPr>
            </w:pPr>
            <w:r>
              <w:rPr>
                <w:rFonts w:ascii="Times New Roman" w:hAnsi="Times New Roman"/>
                <w:color w:val="auto"/>
                <w:sz w:val="21"/>
              </w:rPr>
              <w:t>本项目情况</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ascii="Times New Roman" w:hAnsi="Times New Roman"/>
                <w:color w:val="auto"/>
                <w:sz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企业的设立和布局</w:t>
            </w: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新建及改造、扩建废塑料加工企业应符合国家产业政策及所在地区土地利用总体规划、城乡建设规划、环境保护、污染防治规划。企业建设应有规范化设计要求，采用节能环保技术及生产装备</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企业符合国家产业政策及所在地区土地利用总体规划、城乡建设规划、环境保护、污染防治规划，采用节能环保技术及生产装备</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hint="eastAsia" w:ascii="Times New Roman" w:hAnsi="Times New Roman"/>
                <w:color w:val="auto"/>
                <w:sz w:val="21"/>
              </w:rPr>
              <w:t>本项</w:t>
            </w:r>
            <w:r>
              <w:rPr>
                <w:rFonts w:ascii="Times New Roman" w:hAnsi="Times New Roman"/>
                <w:color w:val="auto"/>
                <w:sz w:val="21"/>
              </w:rPr>
              <w:t>目位于温州市龙港</w:t>
            </w:r>
            <w:r>
              <w:rPr>
                <w:rFonts w:hint="eastAsia" w:ascii="Times New Roman" w:hAnsi="Times New Roman"/>
                <w:color w:val="auto"/>
                <w:sz w:val="21"/>
              </w:rPr>
              <w:t>临港产业基地启动区东塘路385-441号内4号楼</w:t>
            </w:r>
            <w:r>
              <w:rPr>
                <w:rFonts w:ascii="Times New Roman" w:hAnsi="Times New Roman"/>
                <w:color w:val="auto"/>
                <w:sz w:val="21"/>
              </w:rPr>
              <w:t>厂房，不属于自然保护区、风景名胜区、饮用水源保护区、基本农田保护区和其他需要特别保护的区域</w:t>
            </w:r>
            <w:r>
              <w:rPr>
                <w:rFonts w:ascii="Times New Roman" w:hAnsi="Times New Roman"/>
                <w:color w:val="auto"/>
                <w:kern w:val="0"/>
                <w:sz w:val="21"/>
              </w:rPr>
              <w:t>内</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生产经营规模</w:t>
            </w: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废塑料破碎、清洗、分选类企业：新建企业年废塑料处理能力不低于30000吨；已建企业年废塑料处理能力不低于20000吨</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本项目年处理塑料能力为</w:t>
            </w:r>
            <w:r>
              <w:rPr>
                <w:rFonts w:hint="eastAsia" w:ascii="Times New Roman" w:hAnsi="Times New Roman"/>
                <w:color w:val="auto"/>
                <w:kern w:val="0"/>
                <w:sz w:val="21"/>
              </w:rPr>
              <w:t>3200</w:t>
            </w:r>
            <w:r>
              <w:rPr>
                <w:rFonts w:ascii="Times New Roman" w:hAnsi="Times New Roman"/>
                <w:color w:val="auto"/>
                <w:kern w:val="0"/>
                <w:sz w:val="21"/>
              </w:rPr>
              <w:t>0吨</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塑料再生造粒类企业：新建企业年废塑料处理能力不低于5000吨；已建企业年废塑料处理能力不低于3000吨</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本项目年处理塑料能力为</w:t>
            </w:r>
            <w:r>
              <w:rPr>
                <w:rFonts w:hint="eastAsia" w:ascii="Times New Roman" w:hAnsi="Times New Roman"/>
                <w:color w:val="auto"/>
                <w:kern w:val="0"/>
                <w:sz w:val="21"/>
              </w:rPr>
              <w:t>3200</w:t>
            </w:r>
            <w:r>
              <w:rPr>
                <w:rFonts w:ascii="Times New Roman" w:hAnsi="Times New Roman"/>
                <w:color w:val="auto"/>
                <w:kern w:val="0"/>
                <w:sz w:val="21"/>
              </w:rPr>
              <w:t>0吨</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工艺与装备</w:t>
            </w: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新建及改造、扩建废塑料综合利用企业应采用先进技术、工艺和装备，提高废塑料再生加工过程的自动化水平。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本项目为塑料再生造粒类企业，企业具有加工利用能力相适应的预处理设备和造粒设备，熔融挤出废气经集气罩收集后引至</w:t>
            </w:r>
            <w:r>
              <w:rPr>
                <w:rFonts w:hint="eastAsia" w:ascii="Times New Roman" w:hAnsi="Times New Roman"/>
                <w:color w:val="auto"/>
                <w:kern w:val="0"/>
                <w:sz w:val="21"/>
              </w:rPr>
              <w:t>活性炭+</w:t>
            </w:r>
            <w:r>
              <w:rPr>
                <w:rFonts w:ascii="Times New Roman" w:hAnsi="Times New Roman"/>
                <w:color w:val="auto"/>
                <w:spacing w:val="-4"/>
                <w:sz w:val="21"/>
              </w:rPr>
              <w:t>UV光催化设施净化</w:t>
            </w:r>
            <w:r>
              <w:rPr>
                <w:rFonts w:ascii="Times New Roman" w:hAnsi="Times New Roman"/>
                <w:color w:val="auto"/>
                <w:kern w:val="0"/>
                <w:sz w:val="21"/>
              </w:rPr>
              <w:t>处理后排放</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restart"/>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环境保护</w:t>
            </w: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企业加工存储场地应建有围墙，在园区内的企业可为单独厂房，地面全部硬化且无明显破损现象</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本环评要求企业加工存储场地建有围墙，地面全部硬化且无明显破损现象</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企业配备有废塑料分类存放场所。原料、产品、本企业不能利用废塑料及不可利用废物贮存在具有防雨、防风、防渗等功能的厂房内，无露天堆放现象。企业厂区管网按照雨污分流建设</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trPr>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企业对收集的废塑料中的金属、橡胶、纤维、渣土、油脂、添加物等夹杂物，应采取相应的处理措施。如企业不具备处理条件，应委托其他具有处理能力的企业处理，不得擅自丢弃、倾倒、焚烧与填埋</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本项目回收塑料为</w:t>
            </w:r>
            <w:r>
              <w:rPr>
                <w:rFonts w:hint="eastAsia" w:ascii="Times New Roman" w:hAnsi="Times New Roman"/>
                <w:color w:val="auto"/>
                <w:kern w:val="0"/>
                <w:sz w:val="21"/>
              </w:rPr>
              <w:t>废塑料膜边角料</w:t>
            </w:r>
            <w:r>
              <w:rPr>
                <w:rFonts w:ascii="Times New Roman" w:hAnsi="Times New Roman"/>
                <w:color w:val="auto"/>
                <w:kern w:val="0"/>
                <w:sz w:val="21"/>
              </w:rPr>
              <w:t>，不</w:t>
            </w:r>
            <w:r>
              <w:rPr>
                <w:rFonts w:hint="eastAsia" w:ascii="Times New Roman" w:hAnsi="Times New Roman"/>
                <w:color w:val="auto"/>
                <w:kern w:val="0"/>
                <w:sz w:val="21"/>
              </w:rPr>
              <w:t>使用</w:t>
            </w:r>
            <w:r>
              <w:rPr>
                <w:rFonts w:ascii="Times New Roman" w:hAnsi="Times New Roman"/>
                <w:color w:val="auto"/>
                <w:kern w:val="0"/>
                <w:sz w:val="21"/>
              </w:rPr>
              <w:t>医疗废物和危险废物，也不</w:t>
            </w:r>
            <w:r>
              <w:rPr>
                <w:rFonts w:hint="eastAsia" w:ascii="Times New Roman" w:hAnsi="Times New Roman"/>
                <w:color w:val="auto"/>
                <w:kern w:val="0"/>
                <w:sz w:val="21"/>
              </w:rPr>
              <w:t>使用</w:t>
            </w:r>
            <w:r>
              <w:rPr>
                <w:rFonts w:ascii="Times New Roman" w:hAnsi="Times New Roman"/>
                <w:color w:val="auto"/>
                <w:kern w:val="0"/>
                <w:sz w:val="21"/>
              </w:rPr>
              <w:t>国外进口的废塑料</w:t>
            </w:r>
            <w:r>
              <w:rPr>
                <w:rFonts w:hint="eastAsia" w:ascii="Times New Roman" w:hAnsi="Times New Roman"/>
                <w:color w:val="auto"/>
                <w:kern w:val="0"/>
                <w:sz w:val="21"/>
              </w:rPr>
              <w:t>，企业使用的塑料边角料均为上游正规厂家提供的生产过程中产生的不涉及有毒有害成分的边角料。</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hint="eastAsia" w:ascii="Times New Roman" w:hAnsi="Times New Roman"/>
                <w:color w:val="auto"/>
                <w:kern w:val="0"/>
                <w:sz w:val="21"/>
              </w:rPr>
              <w:t>项目造粒冷却水和喷射塔废水循环使用，不外排；</w:t>
            </w:r>
            <w:r>
              <w:rPr>
                <w:rFonts w:ascii="Times New Roman" w:hAnsi="Times New Roman"/>
                <w:color w:val="auto"/>
                <w:kern w:val="0"/>
                <w:sz w:val="21"/>
              </w:rPr>
              <w:t>生活</w:t>
            </w:r>
            <w:r>
              <w:rPr>
                <w:rFonts w:hint="eastAsia" w:ascii="Times New Roman" w:hAnsi="Times New Roman"/>
                <w:color w:val="auto"/>
                <w:kern w:val="0"/>
                <w:sz w:val="21"/>
              </w:rPr>
              <w:t>污</w:t>
            </w:r>
            <w:r>
              <w:rPr>
                <w:rFonts w:ascii="Times New Roman" w:hAnsi="Times New Roman"/>
                <w:color w:val="auto"/>
                <w:kern w:val="0"/>
                <w:sz w:val="21"/>
              </w:rPr>
              <w:t>水</w:t>
            </w:r>
            <w:r>
              <w:rPr>
                <w:rFonts w:hint="eastAsia" w:ascii="Times New Roman" w:hAnsi="Times New Roman"/>
                <w:color w:val="auto"/>
                <w:kern w:val="0"/>
                <w:sz w:val="21"/>
              </w:rPr>
              <w:t>经</w:t>
            </w:r>
            <w:r>
              <w:rPr>
                <w:rFonts w:ascii="Times New Roman" w:hAnsi="Times New Roman"/>
                <w:color w:val="auto"/>
                <w:kern w:val="0"/>
                <w:sz w:val="21"/>
              </w:rPr>
              <w:t>化粪池预处理达《污水综合排放标准》（GB8978-1996）三级标准后</w:t>
            </w:r>
            <w:r>
              <w:rPr>
                <w:rFonts w:hAnsi="Times New Roman"/>
                <w:color w:val="auto"/>
                <w:kern w:val="0"/>
                <w:sz w:val="21"/>
              </w:rPr>
              <w:t>纳入市政污水管网，最终进入苍南县临港产业基地启动区污水处理厂处理达标后排放</w:t>
            </w:r>
            <w:r>
              <w:rPr>
                <w:rFonts w:hint="eastAsia" w:hAnsi="Times New Roman"/>
                <w:color w:val="auto"/>
                <w:kern w:val="0"/>
                <w:sz w:val="21"/>
              </w:rPr>
              <w:t>。</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再生加工过程中产生废气、粉尘的加工车间应设置废气、粉尘收集处理设施，通过净化处理，达标后排放</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hint="eastAsia" w:ascii="Times New Roman" w:hAnsi="Times New Roman"/>
                <w:color w:val="auto"/>
                <w:kern w:val="0"/>
                <w:sz w:val="21"/>
              </w:rPr>
              <w:t>本项目</w:t>
            </w:r>
            <w:r>
              <w:rPr>
                <w:rFonts w:ascii="Times New Roman" w:hAnsi="Times New Roman"/>
                <w:color w:val="auto"/>
                <w:kern w:val="0"/>
                <w:sz w:val="21"/>
              </w:rPr>
              <w:t>熔融挤出废气经集气罩收集后引至</w:t>
            </w:r>
            <w:r>
              <w:rPr>
                <w:rFonts w:hint="eastAsia" w:ascii="Times New Roman" w:hAnsi="Times New Roman"/>
                <w:color w:val="auto"/>
                <w:kern w:val="0"/>
                <w:sz w:val="21"/>
              </w:rPr>
              <w:t>活性炭+</w:t>
            </w:r>
            <w:r>
              <w:rPr>
                <w:rFonts w:ascii="Times New Roman" w:hAnsi="Times New Roman"/>
                <w:color w:val="auto"/>
                <w:spacing w:val="-4"/>
                <w:sz w:val="21"/>
              </w:rPr>
              <w:t>UV光催化设施</w:t>
            </w:r>
            <w:r>
              <w:rPr>
                <w:rFonts w:ascii="Times New Roman" w:hAnsi="Times New Roman"/>
                <w:color w:val="auto"/>
                <w:kern w:val="0"/>
                <w:sz w:val="21"/>
              </w:rPr>
              <w:t>处理达《合成树脂工业污染物排放标准》(GB31572-2015)中</w:t>
            </w:r>
            <w:r>
              <w:rPr>
                <w:rFonts w:hint="eastAsia" w:ascii="Times New Roman" w:hAnsi="Times New Roman"/>
                <w:color w:val="auto"/>
                <w:kern w:val="0"/>
                <w:sz w:val="21"/>
              </w:rPr>
              <w:t>相关</w:t>
            </w:r>
            <w:r>
              <w:rPr>
                <w:rFonts w:ascii="Times New Roman" w:hAnsi="Times New Roman"/>
                <w:color w:val="auto"/>
                <w:kern w:val="0"/>
                <w:sz w:val="21"/>
              </w:rPr>
              <w:t>标准后排放</w:t>
            </w:r>
            <w:r>
              <w:rPr>
                <w:rFonts w:hint="eastAsia" w:ascii="Times New Roman" w:hAnsi="Times New Roman"/>
                <w:color w:val="auto"/>
                <w:kern w:val="0"/>
                <w:sz w:val="21"/>
              </w:rPr>
              <w:t>。</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Merge w:val="continue"/>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p>
        </w:tc>
        <w:tc>
          <w:tcPr>
            <w:tcW w:w="4113"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对于加工过程中噪音污染大的设备，必须采取降噪和隔音措施，企业噪声应达到《工业企业厂界环境噪声排放标准》。</w:t>
            </w:r>
          </w:p>
        </w:tc>
        <w:tc>
          <w:tcPr>
            <w:tcW w:w="3301" w:type="dxa"/>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left"/>
              <w:rPr>
                <w:rFonts w:ascii="Times New Roman" w:hAnsi="Times New Roman"/>
                <w:color w:val="auto"/>
                <w:kern w:val="0"/>
                <w:sz w:val="21"/>
              </w:rPr>
            </w:pPr>
            <w:r>
              <w:rPr>
                <w:rFonts w:ascii="Times New Roman" w:hAnsi="Times New Roman"/>
                <w:color w:val="auto"/>
                <w:kern w:val="0"/>
                <w:sz w:val="21"/>
              </w:rPr>
              <w:t>本项目噪声采取隔声减振等措施后，噪声排放能够满足《工业企业厂界环境噪声排放标准》</w:t>
            </w:r>
            <w:r>
              <w:rPr>
                <w:rFonts w:hint="eastAsia" w:ascii="Times New Roman" w:hAnsi="Times New Roman"/>
                <w:color w:val="auto"/>
                <w:kern w:val="0"/>
                <w:sz w:val="21"/>
              </w:rPr>
              <w:t>。</w:t>
            </w:r>
            <w:r>
              <w:rPr>
                <w:rFonts w:ascii="Times New Roman" w:hAnsi="Times New Roman"/>
                <w:color w:val="auto"/>
                <w:kern w:val="0"/>
                <w:sz w:val="21"/>
              </w:rPr>
              <w:t>（GB12348-2008）中</w:t>
            </w:r>
            <w:r>
              <w:rPr>
                <w:rFonts w:hint="eastAsia" w:ascii="Times New Roman" w:hAnsi="Times New Roman"/>
                <w:color w:val="auto"/>
                <w:kern w:val="0"/>
                <w:sz w:val="21"/>
              </w:rPr>
              <w:t>2</w:t>
            </w:r>
            <w:r>
              <w:rPr>
                <w:rFonts w:ascii="Times New Roman" w:hAnsi="Times New Roman"/>
                <w:color w:val="auto"/>
                <w:kern w:val="0"/>
                <w:sz w:val="21"/>
              </w:rPr>
              <w:t>类标准</w:t>
            </w:r>
          </w:p>
        </w:tc>
        <w:tc>
          <w:tcPr>
            <w:tcW w:w="745" w:type="dxa"/>
            <w:vAlign w:val="center"/>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sz w:val="21"/>
              </w:rPr>
            </w:pPr>
            <w:r>
              <w:rPr>
                <w:rFonts w:hint="eastAsia" w:ascii="Times New Roman" w:hAnsi="Times New Roman"/>
                <w:color w:val="auto"/>
                <w:sz w:val="21"/>
              </w:rPr>
              <w:t>符合</w:t>
            </w:r>
          </w:p>
        </w:tc>
      </w:tr>
    </w:tbl>
    <w:p>
      <w:pPr>
        <w:ind w:firstLine="480"/>
        <w:rPr>
          <w:rFonts w:ascii="Times New Roman" w:hAnsi="Times New Roman"/>
          <w:color w:val="auto"/>
          <w:szCs w:val="24"/>
        </w:rPr>
      </w:pPr>
      <w:r>
        <w:rPr>
          <w:rFonts w:ascii="Times New Roman" w:hAnsi="Times New Roman"/>
          <w:color w:val="auto"/>
          <w:szCs w:val="24"/>
        </w:rPr>
        <w:t>由上表可知，本项目符合</w:t>
      </w:r>
      <w:r>
        <w:rPr>
          <w:rFonts w:ascii="Times New Roman" w:hAnsi="Times New Roman"/>
          <w:color w:val="auto"/>
        </w:rPr>
        <w:t>《</w:t>
      </w:r>
      <w:r>
        <w:rPr>
          <w:rFonts w:hint="eastAsia" w:ascii="Times New Roman" w:hAnsi="Times New Roman"/>
          <w:color w:val="auto"/>
        </w:rPr>
        <w:t>废旧塑料综合利用行业规范条件</w:t>
      </w:r>
      <w:r>
        <w:rPr>
          <w:rFonts w:ascii="Times New Roman" w:hAnsi="Times New Roman"/>
          <w:color w:val="auto"/>
        </w:rPr>
        <w:t>》</w:t>
      </w:r>
      <w:r>
        <w:rPr>
          <w:rFonts w:ascii="Times New Roman" w:hAnsi="Times New Roman"/>
          <w:color w:val="auto"/>
          <w:szCs w:val="24"/>
        </w:rPr>
        <w:t>中相关要求。</w:t>
      </w:r>
    </w:p>
    <w:p>
      <w:pPr>
        <w:ind w:firstLine="480"/>
        <w:rPr>
          <w:rFonts w:ascii="Times New Roman" w:hAnsi="Times New Roman"/>
          <w:color w:val="auto"/>
        </w:rPr>
      </w:pPr>
      <w:r>
        <w:rPr>
          <w:rFonts w:hint="eastAsia" w:ascii="Times New Roman" w:hAnsi="Times New Roman"/>
          <w:color w:val="auto"/>
        </w:rPr>
        <w:t>（4）《浙江省挥发性有机物污染整治</w:t>
      </w:r>
      <w:r>
        <w:rPr>
          <w:rFonts w:ascii="Times New Roman" w:hAnsi="Times New Roman"/>
          <w:color w:val="auto"/>
        </w:rPr>
        <w:t>方案》符合性分析</w:t>
      </w:r>
    </w:p>
    <w:p>
      <w:pPr>
        <w:ind w:firstLine="480"/>
        <w:rPr>
          <w:rFonts w:ascii="Times New Roman" w:hAnsi="Times New Roman"/>
          <w:color w:val="auto"/>
        </w:rPr>
      </w:pPr>
      <w:r>
        <w:rPr>
          <w:rFonts w:ascii="Times New Roman" w:hAnsi="Times New Roman"/>
          <w:color w:val="auto"/>
        </w:rPr>
        <w:t>本项目参照</w:t>
      </w:r>
      <w:r>
        <w:rPr>
          <w:rFonts w:hint="eastAsia" w:ascii="Times New Roman" w:hAnsi="Times New Roman"/>
          <w:color w:val="auto"/>
        </w:rPr>
        <w:t>《浙江省挥发性有机物污染整治</w:t>
      </w:r>
      <w:r>
        <w:rPr>
          <w:rFonts w:ascii="Times New Roman" w:hAnsi="Times New Roman"/>
          <w:color w:val="auto"/>
        </w:rPr>
        <w:t>方案》文件中橡胶和塑料制品行业的符合性进行分析。</w:t>
      </w:r>
    </w:p>
    <w:p>
      <w:pPr>
        <w:numPr>
          <w:ilvl w:val="0"/>
          <w:numId w:val="41"/>
        </w:numPr>
        <w:spacing w:line="240" w:lineRule="auto"/>
        <w:ind w:firstLineChars="0"/>
        <w:jc w:val="center"/>
        <w:rPr>
          <w:rFonts w:ascii="Times New Roman" w:hAnsi="Times New Roman"/>
          <w:color w:val="auto"/>
          <w:sz w:val="21"/>
        </w:rPr>
      </w:pPr>
      <w:r>
        <w:rPr>
          <w:rFonts w:ascii="Times New Roman" w:hAnsi="Times New Roman"/>
          <w:b/>
          <w:color w:val="auto"/>
          <w:sz w:val="21"/>
        </w:rPr>
        <w:t>《浙江省挥发性有机物污染整治方案》符合性分析</w:t>
      </w:r>
    </w:p>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4946"/>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序号</w:t>
            </w:r>
          </w:p>
        </w:tc>
        <w:tc>
          <w:tcPr>
            <w:tcW w:w="273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判断依据</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273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参照化工行业要求，对所有有机溶剂及低沸点物料采取密闭式存储，以减少无组织排放。</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本项目</w:t>
            </w:r>
            <w:r>
              <w:rPr>
                <w:rFonts w:ascii="Times New Roman" w:hAnsi="Times New Roman"/>
                <w:color w:val="auto"/>
                <w:sz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w:t>
            </w:r>
          </w:p>
        </w:tc>
        <w:tc>
          <w:tcPr>
            <w:tcW w:w="2736"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橡胶制品企业产生VOCs污染物的生产工艺装置必须设立局部气体收集系统和集中高效净化处理装置，确保达标排放。</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（1）</w:t>
            </w:r>
          </w:p>
        </w:tc>
        <w:tc>
          <w:tcPr>
            <w:tcW w:w="2736"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密炼机单独设吸风管，进出料口设集气罩局部抽风，出料口水冷段、风冷段生产线应密闭化，风冷废气收集后集中处理。</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（2）</w:t>
            </w:r>
          </w:p>
        </w:tc>
        <w:tc>
          <w:tcPr>
            <w:tcW w:w="2736"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硫化罐泄压宜先抽负压再常压开盖，硫化机群上方设置大围罩导风，并宜采用下送冷风、上抽热风方式集气。</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（3）</w:t>
            </w:r>
          </w:p>
        </w:tc>
        <w:tc>
          <w:tcPr>
            <w:tcW w:w="2736"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炼胶废气优先采用袋除尘+介质过滤+吸附浓缩+蓄热催化焚烧处理，在规模不大、不至于扰民的情况下也可采用活性炭、光催化氧化、多级吸收、吸附处理。</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（4）</w:t>
            </w:r>
          </w:p>
        </w:tc>
        <w:tc>
          <w:tcPr>
            <w:tcW w:w="2736"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硫化废气可采用复合光催化、吸收、吸附、生物处理、浓缩燃烧或除臭剂处理法等适用技术。</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（5）</w:t>
            </w:r>
          </w:p>
        </w:tc>
        <w:tc>
          <w:tcPr>
            <w:tcW w:w="2736"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打浆、浸胶、喷涂、烘干应采用密闭设备和密闭集气，禁止敞开运输浆料，溶剂废气应采用活性炭或碳纤维吸附再生方式回收利用。橡胶企业车间应整体密闭化并换风，废气通过屋顶集中排放。</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3</w:t>
            </w:r>
          </w:p>
        </w:tc>
        <w:tc>
          <w:tcPr>
            <w:tcW w:w="2736"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PVC制品企业增塑剂应密闭储存，配料、混炼、造粒、挤塑、压延、发泡等生产环节应设集气罩局部抽风集气，废气应采用静电除雾器处理。</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ascii="Times New Roman" w:hAnsi="Times New Roman"/>
                <w:color w:val="auto"/>
                <w:sz w:val="21"/>
              </w:rPr>
              <w:t>本项目不属于PVC制品企业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sz w:val="21"/>
              </w:rPr>
              <w:t>4</w:t>
            </w:r>
          </w:p>
        </w:tc>
        <w:tc>
          <w:tcPr>
            <w:tcW w:w="2736" w:type="pct"/>
            <w:vAlign w:val="center"/>
          </w:tcPr>
          <w:p>
            <w:pPr>
              <w:pStyle w:val="187"/>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szCs w:val="21"/>
              </w:rPr>
            </w:pPr>
            <w:r>
              <w:rPr>
                <w:rFonts w:ascii="Times New Roman" w:hAnsi="Times New Roman"/>
                <w:color w:val="auto"/>
                <w:sz w:val="21"/>
                <w:szCs w:val="21"/>
              </w:rPr>
              <w:t>其他塑料制品企业应对工艺</w:t>
            </w:r>
            <w:r>
              <w:rPr>
                <w:rFonts w:ascii="Times New Roman" w:hAnsi="Times New Roman" w:cs="Times New Roman"/>
                <w:color w:val="auto"/>
                <w:sz w:val="21"/>
                <w:szCs w:val="21"/>
              </w:rPr>
              <w:t>温度高、易产生VOCs废气的岗位进行抽风排气，废气可采用活性炭吸附或活性炭技术处理。</w:t>
            </w:r>
          </w:p>
        </w:tc>
        <w:tc>
          <w:tcPr>
            <w:tcW w:w="1667"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sz w:val="21"/>
              </w:rPr>
            </w:pPr>
            <w:r>
              <w:rPr>
                <w:rFonts w:hint="eastAsia" w:ascii="Times New Roman" w:hAnsi="Times New Roman"/>
                <w:color w:val="auto"/>
                <w:kern w:val="0"/>
                <w:sz w:val="21"/>
              </w:rPr>
              <w:t>本项目</w:t>
            </w:r>
            <w:r>
              <w:rPr>
                <w:rFonts w:ascii="Times New Roman" w:hAnsi="Times New Roman"/>
                <w:color w:val="auto"/>
                <w:kern w:val="0"/>
                <w:sz w:val="21"/>
              </w:rPr>
              <w:t>熔融挤出废气经集气罩收集后引至</w:t>
            </w:r>
            <w:r>
              <w:rPr>
                <w:rFonts w:hint="eastAsia" w:ascii="Times New Roman" w:hAnsi="Times New Roman"/>
                <w:color w:val="auto"/>
                <w:kern w:val="0"/>
                <w:sz w:val="21"/>
              </w:rPr>
              <w:t>活性炭+</w:t>
            </w:r>
            <w:r>
              <w:rPr>
                <w:rFonts w:ascii="Times New Roman" w:hAnsi="Times New Roman"/>
                <w:color w:val="auto"/>
                <w:spacing w:val="-4"/>
                <w:sz w:val="21"/>
              </w:rPr>
              <w:t>UV光催化设施</w:t>
            </w:r>
            <w:r>
              <w:rPr>
                <w:rFonts w:ascii="Times New Roman" w:hAnsi="Times New Roman"/>
                <w:color w:val="auto"/>
                <w:kern w:val="0"/>
                <w:sz w:val="21"/>
              </w:rPr>
              <w:t>处理达《合成树脂工业污染物排放标准》(GB31572-2015)中</w:t>
            </w:r>
            <w:r>
              <w:rPr>
                <w:rFonts w:hint="eastAsia" w:ascii="Times New Roman" w:hAnsi="Times New Roman"/>
                <w:color w:val="auto"/>
                <w:kern w:val="0"/>
                <w:sz w:val="21"/>
              </w:rPr>
              <w:t>相关</w:t>
            </w:r>
            <w:r>
              <w:rPr>
                <w:rFonts w:ascii="Times New Roman" w:hAnsi="Times New Roman"/>
                <w:color w:val="auto"/>
                <w:kern w:val="0"/>
                <w:sz w:val="21"/>
              </w:rPr>
              <w:t>标准后排放</w:t>
            </w:r>
          </w:p>
        </w:tc>
      </w:tr>
    </w:tbl>
    <w:p>
      <w:pPr>
        <w:ind w:firstLine="480"/>
        <w:rPr>
          <w:rFonts w:ascii="Times New Roman" w:hAnsi="Times New Roman"/>
          <w:color w:val="auto"/>
          <w:szCs w:val="24"/>
        </w:rPr>
      </w:pPr>
      <w:r>
        <w:rPr>
          <w:rFonts w:ascii="Times New Roman" w:hAnsi="Times New Roman"/>
          <w:color w:val="auto"/>
          <w:szCs w:val="24"/>
        </w:rPr>
        <w:t>由上表可知，本项目符合《浙江省挥发性有机物污染整治方案》</w:t>
      </w:r>
      <w:r>
        <w:rPr>
          <w:rFonts w:hint="eastAsia" w:ascii="Times New Roman" w:hAnsi="Times New Roman"/>
          <w:color w:val="auto"/>
        </w:rPr>
        <w:t>中的“</w:t>
      </w:r>
      <w:r>
        <w:rPr>
          <w:rFonts w:ascii="Times New Roman" w:hAnsi="Times New Roman"/>
          <w:color w:val="auto"/>
        </w:rPr>
        <w:t>橡胶和塑料制品行业</w:t>
      </w:r>
      <w:r>
        <w:rPr>
          <w:rFonts w:hint="eastAsia" w:ascii="Times New Roman" w:hAnsi="Times New Roman"/>
          <w:color w:val="auto"/>
        </w:rPr>
        <w:t>”</w:t>
      </w:r>
      <w:r>
        <w:rPr>
          <w:rFonts w:ascii="Times New Roman" w:hAnsi="Times New Roman"/>
          <w:color w:val="auto"/>
          <w:szCs w:val="24"/>
        </w:rPr>
        <w:t>中相关要求。</w:t>
      </w:r>
    </w:p>
    <w:p>
      <w:pPr>
        <w:ind w:firstLine="480"/>
        <w:rPr>
          <w:rFonts w:ascii="Times New Roman" w:hAnsi="Times New Roman"/>
          <w:color w:val="auto"/>
          <w:szCs w:val="24"/>
        </w:rPr>
      </w:pPr>
      <w:r>
        <w:rPr>
          <w:rFonts w:hint="eastAsia" w:ascii="Times New Roman" w:hAnsi="Times New Roman"/>
          <w:color w:val="auto"/>
          <w:szCs w:val="24"/>
        </w:rPr>
        <w:t>（5）《浙江省废塑料行业污染整治提升技术规范》</w:t>
      </w:r>
      <w:r>
        <w:rPr>
          <w:rFonts w:ascii="Times New Roman" w:hAnsi="Times New Roman"/>
          <w:color w:val="auto"/>
          <w:szCs w:val="24"/>
        </w:rPr>
        <w:t>符合性分析</w:t>
      </w:r>
    </w:p>
    <w:p>
      <w:pPr>
        <w:numPr>
          <w:ilvl w:val="0"/>
          <w:numId w:val="41"/>
        </w:numPr>
        <w:spacing w:line="240" w:lineRule="auto"/>
        <w:ind w:firstLineChars="0"/>
        <w:jc w:val="center"/>
        <w:rPr>
          <w:rFonts w:ascii="Times New Roman" w:hAnsi="Times New Roman"/>
          <w:b/>
          <w:color w:val="auto"/>
          <w:sz w:val="21"/>
        </w:rPr>
      </w:pPr>
      <w:r>
        <w:rPr>
          <w:rFonts w:hint="eastAsia" w:ascii="Times New Roman" w:hAnsi="Times New Roman"/>
          <w:b/>
          <w:color w:val="auto"/>
          <w:sz w:val="21"/>
        </w:rPr>
        <w:t>浙江省废塑料行业污染整治提升技术规范</w:t>
      </w:r>
    </w:p>
    <w:tbl>
      <w:tblPr>
        <w:tblStyle w:val="83"/>
        <w:tblW w:w="8937"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43"/>
        <w:gridCol w:w="843"/>
        <w:gridCol w:w="672"/>
        <w:gridCol w:w="5021"/>
        <w:gridCol w:w="155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843"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b/>
                <w:color w:val="auto"/>
                <w:kern w:val="0"/>
                <w:sz w:val="21"/>
              </w:rPr>
            </w:pPr>
            <w:r>
              <w:rPr>
                <w:rFonts w:ascii="Times New Roman" w:hAnsi="Times New Roman"/>
                <w:b/>
                <w:color w:val="auto"/>
                <w:kern w:val="0"/>
                <w:sz w:val="21"/>
              </w:rPr>
              <w:t>类别</w:t>
            </w:r>
          </w:p>
        </w:tc>
        <w:tc>
          <w:tcPr>
            <w:tcW w:w="843"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b/>
                <w:color w:val="auto"/>
                <w:kern w:val="0"/>
                <w:sz w:val="21"/>
              </w:rPr>
            </w:pPr>
            <w:r>
              <w:rPr>
                <w:rFonts w:ascii="Times New Roman" w:hAnsi="Times New Roman"/>
                <w:b/>
                <w:color w:val="auto"/>
                <w:kern w:val="0"/>
                <w:sz w:val="21"/>
              </w:rPr>
              <w:t>内容</w:t>
            </w: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b/>
                <w:color w:val="auto"/>
                <w:kern w:val="0"/>
                <w:sz w:val="21"/>
              </w:rPr>
            </w:pPr>
            <w:r>
              <w:rPr>
                <w:rFonts w:ascii="Times New Roman" w:hAnsi="Times New Roman"/>
                <w:b/>
                <w:color w:val="auto"/>
                <w:kern w:val="0"/>
                <w:sz w:val="21"/>
              </w:rPr>
              <w:t>序号</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b/>
                <w:color w:val="auto"/>
                <w:kern w:val="0"/>
                <w:sz w:val="21"/>
              </w:rPr>
            </w:pPr>
            <w:r>
              <w:rPr>
                <w:rFonts w:ascii="Times New Roman" w:hAnsi="Times New Roman"/>
                <w:b/>
                <w:color w:val="auto"/>
                <w:kern w:val="0"/>
                <w:sz w:val="21"/>
              </w:rPr>
              <w:t>判断依据</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b/>
                <w:color w:val="auto"/>
                <w:kern w:val="0"/>
                <w:sz w:val="21"/>
              </w:rPr>
            </w:pPr>
            <w:r>
              <w:rPr>
                <w:rFonts w:ascii="Times New Roman" w:hAnsi="Times New Roman"/>
                <w:b/>
                <w:color w:val="auto"/>
                <w:kern w:val="0"/>
                <w:sz w:val="21"/>
              </w:rPr>
              <w:t>是否符合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0" w:hRule="atLeast"/>
        </w:trPr>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政策</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 xml:space="preserve">法规 </w:t>
            </w:r>
          </w:p>
        </w:tc>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生产</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合法性</w:t>
            </w: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严格执行环境影响评价制度和“三同时”验收制度</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项目建成后需按要求</w:t>
            </w:r>
            <w:r>
              <w:rPr>
                <w:rFonts w:hint="eastAsia" w:ascii="Times New Roman" w:hAnsi="Times New Roman"/>
                <w:color w:val="auto"/>
                <w:kern w:val="0"/>
                <w:sz w:val="21"/>
              </w:rPr>
              <w:t>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2"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bottom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依法申领排污许可证，严格落实企业排污主体责任</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项目建成后需按要求</w:t>
            </w:r>
            <w:r>
              <w:rPr>
                <w:rFonts w:hint="eastAsia" w:ascii="Times New Roman" w:hAnsi="Times New Roman"/>
                <w:color w:val="auto"/>
                <w:kern w:val="0"/>
                <w:sz w:val="21"/>
              </w:rPr>
              <w:t>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trPr>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工艺装备/生产现场</w:t>
            </w:r>
          </w:p>
        </w:tc>
        <w:tc>
          <w:tcPr>
            <w:tcW w:w="843" w:type="dxa"/>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工艺装备水平</w:t>
            </w: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3</w:t>
            </w:r>
          </w:p>
        </w:tc>
        <w:tc>
          <w:tcPr>
            <w:tcW w:w="5021"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淘汰产业结构调整指导目录中明确的落后工艺与设备</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281" w:leftChars="-117" w:right="0" w:firstLine="0" w:firstLineChars="0"/>
              <w:jc w:val="center"/>
              <w:rPr>
                <w:rFonts w:ascii="Times New Roman" w:hAnsi="Times New Roman"/>
                <w:color w:val="auto"/>
                <w:kern w:val="0"/>
                <w:sz w:val="21"/>
              </w:rPr>
            </w:pPr>
            <w:r>
              <w:rPr>
                <w:rFonts w:hint="eastAsia" w:ascii="Times New Roman" w:hAnsi="Times New Roman"/>
                <w:color w:val="auto"/>
                <w:kern w:val="0"/>
                <w:sz w:val="21"/>
              </w:rPr>
              <w:t>本项目不涉及</w:t>
            </w:r>
            <w:r>
              <w:rPr>
                <w:rFonts w:ascii="Times New Roman" w:hAnsi="Times New Roman"/>
                <w:color w:val="auto"/>
                <w:kern w:val="0"/>
                <w:sz w:val="21"/>
              </w:rPr>
              <w:t>产业结构调整指导目录中明确的落后工艺与设备</w:t>
            </w:r>
            <w:r>
              <w:rPr>
                <w:rFonts w:hint="eastAsia" w:ascii="Times New Roman" w:hAnsi="Times New Roman"/>
                <w:color w:val="auto"/>
                <w:kern w:val="0"/>
                <w:sz w:val="21"/>
              </w:rPr>
              <w:t>，</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36"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清洁生产</w:t>
            </w: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4</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企业要对收集的废塑料进行充分利用，提高资源回收利用效率，不得随意倾倒、焚烧与填埋</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本项目对废塑料充分利用，不倾倒、焚</w:t>
            </w:r>
            <w:r>
              <w:rPr>
                <w:rFonts w:ascii="Times New Roman" w:hAnsi="Times New Roman"/>
                <w:color w:val="auto"/>
                <w:kern w:val="0"/>
                <w:sz w:val="21"/>
              </w:rPr>
              <w:t>烧与填埋</w:t>
            </w:r>
            <w:r>
              <w:rPr>
                <w:rFonts w:hint="eastAsia" w:ascii="Times New Roman" w:hAnsi="Times New Roman"/>
                <w:color w:val="auto"/>
                <w:kern w:val="0"/>
                <w:sz w:val="21"/>
              </w:rPr>
              <w:t>，</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22"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5</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鼓励采取工业污水回用、多级回收、逆流漂洗等节水型清洁生产工艺，禁止采用单级漂洗或直接冲洗等落后工艺</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项目造粒冷却水循环使用不外排，定期补充新鲜水</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8"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6</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鼓励企业开展清洁生产审核，使用自动化先进设备和工艺，从源头上削减污染，提高资源利用效率</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本项目造粒生产线为自动化生产线，</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9"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生产现场</w:t>
            </w: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7</w:t>
            </w:r>
          </w:p>
        </w:tc>
        <w:tc>
          <w:tcPr>
            <w:tcW w:w="5021" w:type="dxa"/>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废塑料原料、产品、固体废物不得露天堆放</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本项目废塑料原料不露天堆放，</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35"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8</w:t>
            </w:r>
          </w:p>
        </w:tc>
        <w:tc>
          <w:tcPr>
            <w:tcW w:w="5021" w:type="dxa"/>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所有分拣、加工过程必须在室内进行，不得露天作业，同时根据《废塑料回收与再生利用污染控制技术规范（试行）》（HJ/T364－2007）要求，废塑料应贮存在专门贮存场所内，堆放场所要设置防雨、防晒、防尘、防扬散和防火措施</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本项目所有工作均在车间内进行，废塑料储存场所应按要求落实，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90"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9</w:t>
            </w:r>
          </w:p>
        </w:tc>
        <w:tc>
          <w:tcPr>
            <w:tcW w:w="5021" w:type="dxa"/>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工艺废水管线采取明管套明沟（渠）或架空敷设，废水管道（沟、渠）应满足防腐、防渗漏要求；废水收集池附近设立观测井</w:t>
            </w:r>
          </w:p>
        </w:tc>
        <w:tc>
          <w:tcPr>
            <w:tcW w:w="1558" w:type="dxa"/>
            <w:tcBorders>
              <w:top w:val="outset" w:color="auto" w:sz="6" w:space="0"/>
              <w:left w:val="outset" w:color="auto" w:sz="6" w:space="0"/>
              <w:right w:val="outset" w:color="auto" w:sz="6" w:space="0"/>
            </w:tcBorders>
            <w:shd w:val="clear" w:color="auto" w:fill="FFFFFF"/>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99"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10</w:t>
            </w:r>
          </w:p>
        </w:tc>
        <w:tc>
          <w:tcPr>
            <w:tcW w:w="5021" w:type="dxa"/>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废水收集和排放系统等各类废水管网设置清晰，有流向、污染物种类等标示</w:t>
            </w:r>
          </w:p>
        </w:tc>
        <w:tc>
          <w:tcPr>
            <w:tcW w:w="1558" w:type="dxa"/>
            <w:tcBorders>
              <w:top w:val="outset" w:color="auto" w:sz="6" w:space="0"/>
              <w:left w:val="outset" w:color="auto" w:sz="6" w:space="0"/>
              <w:right w:val="outset" w:color="auto" w:sz="6" w:space="0"/>
            </w:tcBorders>
            <w:shd w:val="clear" w:color="auto" w:fill="FFFFFF"/>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9"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11</w:t>
            </w:r>
          </w:p>
        </w:tc>
        <w:tc>
          <w:tcPr>
            <w:tcW w:w="5021" w:type="dxa"/>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厂区地面必须实现全部硬化，满足防渗漏要求，渗漏水必须由管网收集</w:t>
            </w:r>
          </w:p>
        </w:tc>
        <w:tc>
          <w:tcPr>
            <w:tcW w:w="1558" w:type="dxa"/>
            <w:tcBorders>
              <w:top w:val="outset" w:color="auto" w:sz="6" w:space="0"/>
              <w:left w:val="outset" w:color="auto" w:sz="6" w:space="0"/>
              <w:right w:val="outset" w:color="auto" w:sz="6" w:space="0"/>
            </w:tcBorders>
            <w:shd w:val="clear" w:color="auto" w:fill="FFFFFF"/>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污染治理</w:t>
            </w:r>
          </w:p>
        </w:tc>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废水处理</w:t>
            </w: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12</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雨污分流、清污分流和污水分质分流，并配套合适的废水处理设施</w:t>
            </w:r>
          </w:p>
        </w:tc>
        <w:tc>
          <w:tcPr>
            <w:tcW w:w="1558" w:type="dxa"/>
            <w:tcBorders>
              <w:top w:val="outset" w:color="auto" w:sz="6" w:space="0"/>
              <w:left w:val="outset" w:color="auto" w:sz="6" w:space="0"/>
              <w:bottom w:val="outset" w:color="auto" w:sz="6" w:space="0"/>
              <w:right w:val="outset" w:color="auto" w:sz="6" w:space="0"/>
            </w:tcBorders>
            <w:shd w:val="clear" w:color="auto" w:fill="FFFFFF"/>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01"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13</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污水处理设施排放口及污水回用管道需安装流量计</w:t>
            </w:r>
          </w:p>
        </w:tc>
        <w:tc>
          <w:tcPr>
            <w:tcW w:w="1558" w:type="dxa"/>
            <w:tcBorders>
              <w:top w:val="outset" w:color="auto" w:sz="6" w:space="0"/>
              <w:left w:val="outset" w:color="auto" w:sz="6" w:space="0"/>
              <w:bottom w:val="outset" w:color="auto" w:sz="6" w:space="0"/>
              <w:right w:val="outset" w:color="auto" w:sz="6" w:space="0"/>
            </w:tcBorders>
            <w:shd w:val="clear" w:color="auto" w:fill="FFFFFF"/>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1"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14</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设置标准化、规范化排污口</w:t>
            </w:r>
          </w:p>
        </w:tc>
        <w:tc>
          <w:tcPr>
            <w:tcW w:w="1558" w:type="dxa"/>
            <w:tcBorders>
              <w:top w:val="outset" w:color="auto" w:sz="6" w:space="0"/>
              <w:left w:val="outset" w:color="auto" w:sz="6" w:space="0"/>
              <w:bottom w:val="outset" w:color="auto" w:sz="6" w:space="0"/>
              <w:right w:val="outset" w:color="auto" w:sz="6" w:space="0"/>
            </w:tcBorders>
            <w:shd w:val="clear" w:color="auto" w:fill="FFFFFF"/>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4"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15</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污水处理设施实现稳定达标排放</w:t>
            </w:r>
          </w:p>
        </w:tc>
        <w:tc>
          <w:tcPr>
            <w:tcW w:w="1558" w:type="dxa"/>
            <w:tcBorders>
              <w:top w:val="outset" w:color="auto" w:sz="6" w:space="0"/>
              <w:left w:val="outset" w:color="auto" w:sz="6" w:space="0"/>
              <w:bottom w:val="outset" w:color="auto" w:sz="6" w:space="0"/>
              <w:right w:val="outset" w:color="auto" w:sz="6" w:space="0"/>
            </w:tcBorders>
            <w:shd w:val="clear" w:color="auto" w:fill="FFFFFF"/>
          </w:tcPr>
          <w:p>
            <w:pPr>
              <w:keepNext w:val="0"/>
              <w:keepLines w:val="0"/>
              <w:suppressLineNumbers w:val="0"/>
              <w:spacing w:before="0" w:beforeAutospacing="0" w:after="0" w:afterAutospacing="0" w:line="240" w:lineRule="auto"/>
              <w:ind w:left="0" w:right="0" w:firstLine="0" w:firstLineChars="0"/>
              <w:rPr>
                <w:rFonts w:ascii="Times New Roman" w:hAnsi="Times New Roman"/>
                <w:color w:val="auto"/>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0"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废气处理</w:t>
            </w: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16</w:t>
            </w:r>
          </w:p>
        </w:tc>
        <w:tc>
          <w:tcPr>
            <w:tcW w:w="5021" w:type="dxa"/>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破碎、造粒过程产生的粉尘应设置收集系统，并配置相应的处理设施</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spacing w:val="-4"/>
                <w:sz w:val="21"/>
              </w:rPr>
              <w:t>破碎</w:t>
            </w:r>
            <w:r>
              <w:rPr>
                <w:rFonts w:ascii="Times New Roman" w:hAnsi="Times New Roman"/>
                <w:color w:val="auto"/>
                <w:sz w:val="21"/>
              </w:rPr>
              <w:t>粉尘收集经布袋除尘处理后</w:t>
            </w:r>
            <w:r>
              <w:rPr>
                <w:rFonts w:hint="eastAsia" w:ascii="Times New Roman" w:hAnsi="Times New Roman"/>
                <w:color w:val="auto"/>
                <w:sz w:val="21"/>
              </w:rPr>
              <w:t>高空排放（</w:t>
            </w:r>
            <w:r>
              <w:rPr>
                <w:rFonts w:ascii="Times New Roman" w:hAnsi="Times New Roman"/>
                <w:color w:val="auto"/>
                <w:sz w:val="21"/>
              </w:rPr>
              <w:t>2</w:t>
            </w:r>
            <w:r>
              <w:rPr>
                <w:rFonts w:hint="eastAsia" w:ascii="Times New Roman" w:hAnsi="Times New Roman"/>
                <w:color w:val="auto"/>
                <w:sz w:val="21"/>
              </w:rPr>
              <w:t>0</w:t>
            </w:r>
            <w:r>
              <w:rPr>
                <w:rFonts w:ascii="Times New Roman" w:hAnsi="Times New Roman"/>
                <w:color w:val="auto"/>
                <w:sz w:val="21"/>
              </w:rPr>
              <w:t>m）</w:t>
            </w:r>
            <w:r>
              <w:rPr>
                <w:rFonts w:hint="eastAsia" w:ascii="Times New Roman" w:hAnsi="Times New Roman"/>
                <w:color w:val="auto"/>
                <w:kern w:val="0"/>
                <w:sz w:val="21"/>
              </w:rPr>
              <w:t>，</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27"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17</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含塑料造粒等产生挥发性有机污染物工段的企业，有机废气的收集、处理应符合《关于转发&lt;杭州市化纤行业挥发性有机物污染整治规范（试行）&gt;等12个行业VOCs污染整治规范的通知》中塑料行业的治理规范，并达标排放</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项目建成后需按要求落实，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18</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锅炉按照要求进行清洁化改造，污染物排放达到《锅炉大气污染物排放标准》（GB 13271-2014）中燃气锅炉大气污染物特别排放限值</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本项目采用电能</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70"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固废处理</w:t>
            </w: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19</w:t>
            </w:r>
          </w:p>
        </w:tc>
        <w:tc>
          <w:tcPr>
            <w:tcW w:w="5021"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根据“减量化、资源化、无害化”的原则，对固废进行分类收集、规范处置</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项目建成后按要求对固废进行分类，</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7"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20</w:t>
            </w:r>
          </w:p>
        </w:tc>
        <w:tc>
          <w:tcPr>
            <w:tcW w:w="5021"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一般固废和危险固废的暂存处置分别满足《一般工业废物贮存、处置污染控制标准》（GB18599-2001）和《危险废物贮存污染控制标准》（GB18597- 2001）要求</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项目建成后按要求设置，</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7"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21</w:t>
            </w:r>
          </w:p>
        </w:tc>
        <w:tc>
          <w:tcPr>
            <w:tcW w:w="5021"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设立危险废物、一般工业固体废物台账，记录危险废物的产生、贮存、处置以及运输情况</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22</w:t>
            </w:r>
          </w:p>
        </w:tc>
        <w:tc>
          <w:tcPr>
            <w:tcW w:w="5021"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rPr>
                <w:rFonts w:ascii="Times New Roman" w:hAnsi="Times New Roman"/>
                <w:color w:val="auto"/>
                <w:kern w:val="0"/>
                <w:sz w:val="21"/>
              </w:rPr>
            </w:pPr>
            <w:r>
              <w:rPr>
                <w:rFonts w:ascii="Times New Roman" w:hAnsi="Times New Roman"/>
                <w:color w:val="auto"/>
                <w:kern w:val="0"/>
                <w:sz w:val="21"/>
              </w:rPr>
              <w:t>危险废物运输应符合《危险废物收集贮存运输技术规范》（HJ2025- 2012）技术要求</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90" w:hRule="atLeast"/>
        </w:trPr>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环境</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监管</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水平</w:t>
            </w:r>
          </w:p>
        </w:tc>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环境</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应急</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管理</w:t>
            </w: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23</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切实落实雨、污排放口设置应急阀门</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25"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24</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建有规模合适的事故应急池，应急事故水池的容积应符合相关要求且能确保事故废水能自流导入</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项目拟设置事故应急池，</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34"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25</w:t>
            </w:r>
          </w:p>
        </w:tc>
        <w:tc>
          <w:tcPr>
            <w:tcW w:w="5021"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制定了环境污染事故应急预案，具备可操作性并及时更新完善</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86"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26</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配备相应的应急物资与设备</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2"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27</w:t>
            </w:r>
          </w:p>
        </w:tc>
        <w:tc>
          <w:tcPr>
            <w:tcW w:w="5021"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定期进行环境事故应急演练</w:t>
            </w:r>
          </w:p>
        </w:tc>
        <w:tc>
          <w:tcPr>
            <w:tcW w:w="1558"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843" w:type="dxa"/>
            <w:vMerge w:val="restart"/>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环境</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监管</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水平</w:t>
            </w:r>
          </w:p>
        </w:tc>
        <w:tc>
          <w:tcPr>
            <w:tcW w:w="843" w:type="dxa"/>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环境</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监测</w:t>
            </w: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28</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制定监测计划并开展排污口、雨水排放口及周边环境的监督性监测</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9"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内部</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管理</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档案</w:t>
            </w: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29</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配备专职、专业人员负责日常环境管理和“三废”处理</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9"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top w:val="outset" w:color="auto" w:sz="6" w:space="0"/>
              <w:left w:val="outset" w:color="auto" w:sz="6" w:space="0"/>
              <w:right w:val="outset" w:color="auto" w:sz="6" w:space="0"/>
            </w:tcBorders>
            <w:shd w:val="clear" w:color="auto" w:fill="FFFFFF"/>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30</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建立完善的环保组织体系、健全的环保规章制度</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3" w:hRule="atLeast"/>
        </w:trPr>
        <w:tc>
          <w:tcPr>
            <w:tcW w:w="843" w:type="dxa"/>
            <w:vMerge w:val="continue"/>
            <w:tcBorders>
              <w:left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843" w:type="dxa"/>
            <w:vMerge w:val="continue"/>
            <w:tcBorders>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672"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31</w:t>
            </w:r>
          </w:p>
        </w:tc>
        <w:tc>
          <w:tcPr>
            <w:tcW w:w="502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完善相关台帐制度，记录每天的废水、废气处理设施运行、加药、电耗、维修情况；污染物监测台帐规范完备</w:t>
            </w:r>
          </w:p>
        </w:tc>
        <w:tc>
          <w:tcPr>
            <w:tcW w:w="155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项目建成后按要求落实，</w:t>
            </w:r>
            <w:r>
              <w:rPr>
                <w:rFonts w:ascii="Times New Roman" w:hAnsi="Times New Roman"/>
                <w:color w:val="auto"/>
                <w:kern w:val="0"/>
                <w:sz w:val="21"/>
              </w:rPr>
              <w:t>符合</w:t>
            </w:r>
          </w:p>
        </w:tc>
      </w:tr>
    </w:tbl>
    <w:p>
      <w:pPr>
        <w:ind w:firstLine="480"/>
        <w:rPr>
          <w:rFonts w:ascii="Times New Roman" w:hAnsi="Times New Roman"/>
          <w:color w:val="auto"/>
          <w:szCs w:val="24"/>
        </w:rPr>
      </w:pPr>
      <w:r>
        <w:rPr>
          <w:rFonts w:ascii="Times New Roman" w:hAnsi="Times New Roman"/>
          <w:color w:val="auto"/>
          <w:szCs w:val="24"/>
        </w:rPr>
        <w:t>由上表可知，本项目符合</w:t>
      </w:r>
      <w:r>
        <w:rPr>
          <w:rFonts w:hint="eastAsia" w:ascii="Times New Roman" w:hAnsi="Times New Roman"/>
          <w:color w:val="auto"/>
          <w:szCs w:val="24"/>
        </w:rPr>
        <w:t>《浙江省废塑料行业污染整治提升技术规范》</w:t>
      </w:r>
      <w:r>
        <w:rPr>
          <w:rFonts w:ascii="Times New Roman" w:hAnsi="Times New Roman"/>
          <w:color w:val="auto"/>
          <w:szCs w:val="24"/>
        </w:rPr>
        <w:t>中相关要求。</w:t>
      </w:r>
    </w:p>
    <w:p>
      <w:pPr>
        <w:ind w:firstLine="480"/>
        <w:rPr>
          <w:color w:val="auto"/>
        </w:rPr>
      </w:pPr>
      <w:r>
        <w:rPr>
          <w:rFonts w:hint="eastAsia" w:ascii="Times New Roman" w:hAnsi="Times New Roman"/>
          <w:color w:val="auto"/>
          <w:szCs w:val="24"/>
        </w:rPr>
        <w:t>（6）</w:t>
      </w:r>
      <w:r>
        <w:rPr>
          <w:color w:val="auto"/>
        </w:rPr>
        <w:t>《台州市塑料行业挥发性有机物污染整治规范》</w:t>
      </w:r>
      <w:r>
        <w:rPr>
          <w:rFonts w:hint="eastAsia"/>
          <w:color w:val="auto"/>
        </w:rPr>
        <w:t>符合性分析</w:t>
      </w:r>
    </w:p>
    <w:p>
      <w:pPr>
        <w:ind w:firstLine="480"/>
        <w:rPr>
          <w:rFonts w:ascii="Times New Roman"/>
          <w:color w:val="auto"/>
        </w:rPr>
      </w:pPr>
      <w:r>
        <w:rPr>
          <w:color w:val="auto"/>
        </w:rPr>
        <w:t>项目</w:t>
      </w:r>
      <w:r>
        <w:rPr>
          <w:rFonts w:hint="eastAsia"/>
          <w:color w:val="auto"/>
        </w:rPr>
        <w:t>参照</w:t>
      </w:r>
      <w:r>
        <w:rPr>
          <w:color w:val="auto"/>
        </w:rPr>
        <w:t>《台州市塑料行业挥发性有机物污染整治规范》进行分析，具体见表</w:t>
      </w:r>
      <w:r>
        <w:rPr>
          <w:rFonts w:ascii="Times New Roman" w:hAnsi="Times New Roman"/>
          <w:color w:val="auto"/>
        </w:rPr>
        <w:t>9-</w:t>
      </w:r>
      <w:r>
        <w:rPr>
          <w:rFonts w:hint="eastAsia" w:ascii="Times New Roman" w:hAnsi="Times New Roman"/>
          <w:color w:val="auto"/>
        </w:rPr>
        <w:t>8</w:t>
      </w:r>
      <w:r>
        <w:rPr>
          <w:rFonts w:ascii="Times New Roman"/>
          <w:color w:val="auto"/>
        </w:rPr>
        <w:t>。</w:t>
      </w:r>
    </w:p>
    <w:p>
      <w:pPr>
        <w:numPr>
          <w:ilvl w:val="0"/>
          <w:numId w:val="41"/>
        </w:numPr>
        <w:spacing w:line="240" w:lineRule="auto"/>
        <w:ind w:firstLineChars="0"/>
        <w:jc w:val="center"/>
        <w:rPr>
          <w:rFonts w:ascii="Times New Roman" w:hAnsi="Times New Roman"/>
          <w:b/>
          <w:color w:val="auto"/>
          <w:sz w:val="21"/>
        </w:rPr>
      </w:pPr>
      <w:r>
        <w:rPr>
          <w:rFonts w:ascii="Times New Roman" w:hAnsi="Times New Roman"/>
          <w:b/>
          <w:color w:val="auto"/>
          <w:sz w:val="21"/>
        </w:rPr>
        <w:t>《台州市塑料行业挥发性有机物污染整治规范》符合性分析</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6"/>
        <w:gridCol w:w="680"/>
        <w:gridCol w:w="604"/>
        <w:gridCol w:w="3347"/>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13"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类别</w:t>
            </w:r>
          </w:p>
        </w:tc>
        <w:tc>
          <w:tcPr>
            <w:tcW w:w="38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内容</w:t>
            </w:r>
          </w:p>
        </w:tc>
        <w:tc>
          <w:tcPr>
            <w:tcW w:w="342"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序号</w:t>
            </w:r>
          </w:p>
        </w:tc>
        <w:tc>
          <w:tcPr>
            <w:tcW w:w="189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判断依据</w:t>
            </w:r>
          </w:p>
        </w:tc>
        <w:tc>
          <w:tcPr>
            <w:tcW w:w="1865" w:type="pct"/>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污染防治</w:t>
            </w:r>
          </w:p>
        </w:tc>
        <w:tc>
          <w:tcPr>
            <w:tcW w:w="38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总图布置</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易产生粉尘、噪声、恶臭废气的工序和装置应避免布置在靠近住宅楼的厂界以及厂区上风向，与周边环境敏感点距离满足环保要求。</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w:t>
            </w:r>
            <w:r>
              <w:rPr>
                <w:rFonts w:ascii="Times New Roman" w:hAnsi="Times New Roman"/>
                <w:color w:val="auto"/>
                <w:kern w:val="0"/>
                <w:sz w:val="21"/>
              </w:rPr>
              <w:t>产生噪声、废气的工序和装置已避免布置在靠近住宅楼的厂界以及厂区上风向，与周边环境敏感点距离满足环保要求，符合。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原辅</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物料</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采用环保型原辅料，禁止使用附带生物污染、有毒有害物质的废塑料作为生产原辅料。</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企业使用的废塑料边角料均为上游正规厂家提供的生产过程中产生的不涉及有毒有害成分的边角料，无需进行清洗。符合。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3</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进口的废塑料应符合《进口可用作原料的固体废物环境保护控制标准 废塑料》（GB16487.12-2005）要求。</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企业不涉及进口废塑料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现场</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管理</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4</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增塑剂等含有VOCs组分的物料应密闭储存。</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w:t>
            </w:r>
            <w:r>
              <w:rPr>
                <w:rFonts w:ascii="Times New Roman" w:hAnsi="Times New Roman"/>
                <w:color w:val="auto"/>
                <w:kern w:val="0"/>
                <w:sz w:val="21"/>
              </w:rPr>
              <w:t>不使用增塑剂，符合。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5</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涉及大宗有机物料使用的应采用储罐存储，并优先考虑管道输送。★</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工艺</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装备</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6</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破碎工艺宜采用干法破碎技术。</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w:t>
            </w:r>
            <w:r>
              <w:rPr>
                <w:rFonts w:ascii="Times New Roman" w:hAnsi="Times New Roman"/>
                <w:color w:val="auto"/>
                <w:kern w:val="0"/>
                <w:sz w:val="21"/>
              </w:rPr>
              <w:t>边角料破碎采用干法破碎工艺，符合要求。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7</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选用自动化程度高、密闭性强、废气产生量少的生产工艺和装备，鼓励企业选用密闭自动配套装置及生产线。★</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废气</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收集</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8</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破碎、配料、干燥、塑化挤出等易产生恶臭废气的岗位应设置相应的废气收集系统，集气方向应与废气流动方向一致。使用塑料新料（不含回料）的企业视其废气产生情况可不设置相应的有机废气收集系统，但需获得当地环保部门认可。</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w:t>
            </w:r>
            <w:r>
              <w:rPr>
                <w:rFonts w:ascii="Times New Roman" w:hAnsi="Times New Roman"/>
                <w:color w:val="auto"/>
                <w:kern w:val="0"/>
                <w:sz w:val="21"/>
              </w:rPr>
              <w:t>在塑化挤出</w:t>
            </w:r>
            <w:r>
              <w:rPr>
                <w:rFonts w:hint="eastAsia" w:ascii="Times New Roman" w:hAnsi="Times New Roman"/>
                <w:color w:val="auto"/>
                <w:kern w:val="0"/>
                <w:sz w:val="21"/>
              </w:rPr>
              <w:t>工序</w:t>
            </w:r>
            <w:r>
              <w:rPr>
                <w:rFonts w:ascii="Times New Roman" w:hAnsi="Times New Roman"/>
                <w:color w:val="auto"/>
                <w:kern w:val="0"/>
                <w:sz w:val="21"/>
              </w:rPr>
              <w:t>设置相应的废气收集系统，集气方向应与废气流动方向一致。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9</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破碎、配料、干燥等工序应采用密闭化措施，减少废气无组织排放；无法做到密闭部分可灵活选择集气罩局部抽风、车间整体换风等多种方式进行。</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要求企业</w:t>
            </w:r>
            <w:r>
              <w:rPr>
                <w:rFonts w:ascii="Times New Roman" w:hAnsi="Times New Roman"/>
                <w:color w:val="auto"/>
                <w:kern w:val="0"/>
                <w:sz w:val="21"/>
              </w:rPr>
              <w:t>破碎工序采用密闭化措施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10</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塑化挤出工序出料口应设集气罩局部抽风，出料口水冷段、风冷段生产线应密闭化，风冷废气收集后集中处理。</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企业熔融</w:t>
            </w:r>
            <w:r>
              <w:rPr>
                <w:rFonts w:ascii="Times New Roman" w:hAnsi="Times New Roman"/>
                <w:color w:val="auto"/>
                <w:kern w:val="0"/>
                <w:sz w:val="21"/>
              </w:rPr>
              <w:t>挤出工序出料口设集气罩局部抽风</w:t>
            </w:r>
            <w:r>
              <w:rPr>
                <w:rFonts w:hint="eastAsia" w:ascii="Times New Roman" w:hAnsi="Times New Roman"/>
                <w:color w:val="auto"/>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11</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当采用上吸罩收集废气时，排风罩设计应符合《排风罩的分类和技术条件》（GB/T16758-2008）要求，尽量靠近污染物排放点，除满足安全生产和职业卫生要求外，控制集气罩口断面平均风速不低于0.6m/s。</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企业集气罩设计符合《排风罩的分类和技术条件》（GB/T16758-2008）要求，尽量靠近污染物排放点，控制集气罩口断面平均风速不低于0.6m/s。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12</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采用生产线整体密闭，密闭区域内换风次数原则上不少于20次/小时；采用车间整体密闭换风，车间换风次数原则上不少于8次/小时。</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13</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废气收集和输送应满足《大气污染治理工程技术导则》(HJ2000-2010)要求，管路应有明显的颜色区分及走向标识。</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w:t>
            </w:r>
            <w:r>
              <w:rPr>
                <w:rFonts w:ascii="Times New Roman" w:hAnsi="Times New Roman"/>
                <w:color w:val="auto"/>
                <w:kern w:val="0"/>
                <w:sz w:val="21"/>
              </w:rPr>
              <w:t>废气收集和输送满足《大气污染治理工程技术导则》(HJ2000-2010)要求，管路应有明显的颜色区分及走向标识，按要求落实后符合。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废气</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治理</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14</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废气处理设施满足选型要求。使用塑料新料（不含回料）的企业视其废气产生情况可不进行专门的有机废气治理，但需获得当地环保部门认可。</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w:t>
            </w:r>
            <w:r>
              <w:rPr>
                <w:rFonts w:ascii="Times New Roman" w:hAnsi="Times New Roman"/>
                <w:color w:val="auto"/>
                <w:kern w:val="0"/>
                <w:sz w:val="21"/>
              </w:rPr>
              <w:t>废气处理设施满足选型要求，符合。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15</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废气排放应满足《大气污染物综合排放标准》（GB16297-1996）、《恶臭污染物排放标准》（GB14554-93）等相关标准要求。</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hint="eastAsia" w:ascii="Times New Roman" w:hAnsi="Times New Roman"/>
                <w:color w:val="auto"/>
                <w:kern w:val="0"/>
                <w:sz w:val="21"/>
              </w:rPr>
              <w:t>企业</w:t>
            </w:r>
            <w:r>
              <w:rPr>
                <w:rFonts w:ascii="Times New Roman" w:hAnsi="Times New Roman"/>
                <w:color w:val="auto"/>
                <w:kern w:val="0"/>
                <w:sz w:val="21"/>
              </w:rPr>
              <w:t>废气排放满足《合成树脂工业污染物排放标准》(GB31572-2015)、《恶臭污染物排放标准》（GB14554-93）等相关标准要求。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环境管理</w:t>
            </w:r>
          </w:p>
        </w:tc>
        <w:tc>
          <w:tcPr>
            <w:tcW w:w="385"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内部</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管理</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16</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企业应建立健全环境保护责任制度，包括环保人员管理制度、环保设施运行维护制度、废气例行监测制度等。</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项目建成后需按要求落实环境保护责任制度，符合。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17</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设置环境保护监督管理部门或专职人员，负责有效落实环境保护及相关管理工作。</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项目建成后需按要求落实相关要求，符合。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18</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禁止露天焚烧废塑料及加工利用过程产生的残余垃圾、滤网等。</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本项目不露天焚烧废塑料及加工利用过程产生的残余垃圾、滤网等，符合。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restar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档案</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管理</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19</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加强企业VOCs排放申报登记和环境统计，建立完善的“一厂一档”。</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项目建成后需按要求落实相关要求，符合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20</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VOCs治理设施运行台帐完整，定期更换VOCs治理设备的吸附剂、催化剂或吸收液，应有详细的购买及更换台帐。</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项目建成后需按要求落实相关要求，符合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3" w:type="pct"/>
            <w:vMerge w:val="continue"/>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p>
        </w:tc>
        <w:tc>
          <w:tcPr>
            <w:tcW w:w="38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环境</w:t>
            </w:r>
          </w:p>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监测</w:t>
            </w:r>
          </w:p>
        </w:tc>
        <w:tc>
          <w:tcPr>
            <w:tcW w:w="342"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21</w:t>
            </w:r>
          </w:p>
        </w:tc>
        <w:tc>
          <w:tcPr>
            <w:tcW w:w="189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企业应根据废气治理情况建立环境保护监测制度。每年定期对废气总排口及厂界开展监测，监测指标须包含臭气浓度和非甲烷总烃；废气处理设施须监测进、出口参数，并核算VOCs去除率。</w:t>
            </w:r>
          </w:p>
        </w:tc>
        <w:tc>
          <w:tcPr>
            <w:tcW w:w="1865" w:type="pct"/>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ascii="Times New Roman" w:hAnsi="Times New Roman"/>
                <w:color w:val="auto"/>
                <w:kern w:val="0"/>
                <w:sz w:val="21"/>
              </w:rPr>
            </w:pPr>
            <w:r>
              <w:rPr>
                <w:rFonts w:ascii="Times New Roman" w:hAnsi="Times New Roman"/>
                <w:color w:val="auto"/>
                <w:kern w:val="0"/>
                <w:sz w:val="21"/>
              </w:rPr>
              <w:t>项目建成后需按要求落实环境保护监测制度相关要求，符合。</w:t>
            </w:r>
          </w:p>
        </w:tc>
      </w:tr>
    </w:tbl>
    <w:p>
      <w:pPr>
        <w:ind w:firstLine="480"/>
        <w:rPr>
          <w:rFonts w:ascii="Times New Roman" w:hAnsi="Times New Roman"/>
          <w:color w:val="auto"/>
          <w:szCs w:val="24"/>
        </w:rPr>
      </w:pPr>
      <w:r>
        <w:rPr>
          <w:rFonts w:ascii="Times New Roman" w:hAnsi="Times New Roman"/>
          <w:color w:val="auto"/>
        </w:rPr>
        <w:t>综上所述，本项目建设符合</w:t>
      </w:r>
      <w:r>
        <w:rPr>
          <w:color w:val="auto"/>
        </w:rPr>
        <w:t>《台州市塑料行业挥发性有机物污染整治规范》</w:t>
      </w:r>
      <w:r>
        <w:rPr>
          <w:rFonts w:hint="eastAsia"/>
          <w:color w:val="auto"/>
        </w:rPr>
        <w:t>要求</w:t>
      </w:r>
      <w:r>
        <w:rPr>
          <w:rFonts w:ascii="Times New Roman" w:hAnsi="Times New Roman"/>
          <w:color w:val="auto"/>
        </w:rPr>
        <w:t>。</w:t>
      </w:r>
    </w:p>
    <w:p>
      <w:pPr>
        <w:pStyle w:val="592"/>
        <w:numPr>
          <w:ilvl w:val="0"/>
          <w:numId w:val="40"/>
        </w:numPr>
        <w:rPr>
          <w:color w:val="auto"/>
        </w:rPr>
      </w:pPr>
      <w:bookmarkStart w:id="154" w:name="_Toc37350097"/>
      <w:r>
        <w:rPr>
          <w:color w:val="auto"/>
        </w:rPr>
        <w:t>环境影响经济损益分析</w:t>
      </w:r>
      <w:bookmarkEnd w:id="154"/>
    </w:p>
    <w:p>
      <w:pPr>
        <w:ind w:firstLine="480"/>
        <w:rPr>
          <w:rFonts w:ascii="Times New Roman" w:hAnsi="Times New Roman"/>
          <w:color w:val="auto"/>
        </w:rPr>
      </w:pPr>
      <w:r>
        <w:rPr>
          <w:rFonts w:ascii="Times New Roman" w:hAnsi="Times New Roman"/>
          <w:color w:val="auto"/>
        </w:rPr>
        <w:t>结合本项目的环保投入和环境效益进行综合分析得出，项目在创造良好经济效益和社会效益的同时，经采取污染防治措施后，对环境的影响较小，能够将工程带来的环境损失降到可接受程度。因此，本项目可以实现经济效益与环保效益的相统一。</w:t>
      </w:r>
    </w:p>
    <w:p>
      <w:pPr>
        <w:pStyle w:val="592"/>
        <w:numPr>
          <w:ilvl w:val="0"/>
          <w:numId w:val="40"/>
        </w:numPr>
        <w:rPr>
          <w:color w:val="auto"/>
        </w:rPr>
      </w:pPr>
      <w:bookmarkStart w:id="155" w:name="_Toc37350098"/>
      <w:r>
        <w:rPr>
          <w:color w:val="auto"/>
        </w:rPr>
        <w:t>环境管理与监测计划</w:t>
      </w:r>
      <w:bookmarkEnd w:id="155"/>
    </w:p>
    <w:p>
      <w:pPr>
        <w:ind w:firstLine="480"/>
        <w:rPr>
          <w:rFonts w:ascii="Times New Roman" w:hAnsi="Times New Roman"/>
          <w:color w:val="auto"/>
        </w:rPr>
      </w:pPr>
      <w:r>
        <w:rPr>
          <w:rFonts w:ascii="Times New Roman" w:hAnsi="Times New Roman"/>
          <w:color w:val="auto"/>
        </w:rPr>
        <w:t>本项目正常生产时会对周围环境产生一定的影响，因此必须通过环境措施来减缓和消除不利的环境影响。为了保证环保措施的切实落实，使项目的社会、经济和环境效益得以协调发展，必须加强环境管理，使项目建设符合国家要求经济建设、社会发展和环境建设的同步规划、同步发展和同步实施的方针。</w:t>
      </w:r>
    </w:p>
    <w:p>
      <w:pPr>
        <w:ind w:firstLine="480"/>
        <w:rPr>
          <w:rFonts w:ascii="Times New Roman" w:hAnsi="Times New Roman"/>
          <w:color w:val="auto"/>
        </w:rPr>
      </w:pPr>
      <w:r>
        <w:rPr>
          <w:rFonts w:ascii="Times New Roman" w:hAnsi="Times New Roman"/>
          <w:color w:val="auto"/>
        </w:rPr>
        <w:t>环境监测信息是环境管理的根本依据，是环保工作不可缺少的基础，可委托当地环境监测机构开展常规监测，以指导环境管理及污染防治工作。环境监测机构的选择应为国家明文规定的资质机构，按就近、就便原则选择环境监测站。建设项目的监测计划包括二个部分，一为竣工验收监测，二为运营期的常规监测计划。</w:t>
      </w:r>
    </w:p>
    <w:p>
      <w:pPr>
        <w:pStyle w:val="592"/>
        <w:numPr>
          <w:ilvl w:val="0"/>
          <w:numId w:val="40"/>
        </w:numPr>
        <w:rPr>
          <w:color w:val="auto"/>
        </w:rPr>
      </w:pPr>
      <w:bookmarkStart w:id="156" w:name="_Toc37350099"/>
      <w:r>
        <w:rPr>
          <w:rFonts w:hint="eastAsia"/>
          <w:color w:val="auto"/>
        </w:rPr>
        <w:t>项目选址合理性分析</w:t>
      </w:r>
      <w:bookmarkEnd w:id="156"/>
    </w:p>
    <w:p>
      <w:pPr>
        <w:pStyle w:val="187"/>
        <w:spacing w:line="360" w:lineRule="auto"/>
        <w:ind w:firstLine="480"/>
        <w:rPr>
          <w:rFonts w:ascii="Times New Roman" w:hAnsi="Times New Roman" w:cs="Times New Roman"/>
          <w:bCs/>
          <w:color w:val="auto"/>
        </w:rPr>
      </w:pPr>
      <w:r>
        <w:rPr>
          <w:rFonts w:hint="eastAsia" w:ascii="Times New Roman" w:hAnsi="Times New Roman" w:cs="Times New Roman"/>
          <w:bCs/>
          <w:color w:val="auto"/>
        </w:rPr>
        <w:t>本项目位于</w:t>
      </w:r>
      <w:r>
        <w:rPr>
          <w:rFonts w:ascii="Times New Roman" w:hAnsi="Times New Roman" w:cs="Times New Roman"/>
          <w:bCs/>
          <w:color w:val="auto"/>
        </w:rPr>
        <w:t>温州市龙港</w:t>
      </w:r>
      <w:r>
        <w:rPr>
          <w:rFonts w:hint="eastAsia" w:ascii="Times New Roman" w:hAnsi="Times New Roman" w:cs="Times New Roman"/>
          <w:bCs/>
          <w:color w:val="auto"/>
        </w:rPr>
        <w:t>临港产业基地启动区东塘路385-441号内4号楼</w:t>
      </w:r>
      <w:r>
        <w:rPr>
          <w:rFonts w:ascii="Times New Roman" w:hAnsi="Times New Roman" w:cs="Times New Roman"/>
          <w:bCs/>
          <w:color w:val="auto"/>
        </w:rPr>
        <w:t>厂房</w:t>
      </w:r>
      <w:r>
        <w:rPr>
          <w:rFonts w:hint="eastAsia" w:ascii="Times New Roman" w:hAnsi="Times New Roman" w:cs="Times New Roman"/>
          <w:bCs/>
          <w:color w:val="auto"/>
        </w:rPr>
        <w:t>，</w:t>
      </w:r>
      <w:r>
        <w:rPr>
          <w:rFonts w:ascii="Times New Roman" w:hAnsi="Times New Roman" w:cs="Times New Roman"/>
          <w:bCs/>
          <w:color w:val="auto"/>
        </w:rPr>
        <w:t>根据《</w:t>
      </w:r>
      <w:r>
        <w:rPr>
          <w:rFonts w:hint="eastAsia" w:ascii="Times New Roman" w:hAnsi="Times New Roman" w:cs="Times New Roman"/>
          <w:bCs/>
          <w:color w:val="auto"/>
        </w:rPr>
        <w:t>浙江省</w:t>
      </w:r>
      <w:r>
        <w:rPr>
          <w:rFonts w:ascii="Times New Roman" w:hAnsi="Times New Roman" w:cs="Times New Roman"/>
          <w:bCs/>
          <w:color w:val="auto"/>
        </w:rPr>
        <w:t>环境功能区划》（201</w:t>
      </w:r>
      <w:r>
        <w:rPr>
          <w:rFonts w:hint="eastAsia" w:ascii="Times New Roman" w:hAnsi="Times New Roman" w:cs="Times New Roman"/>
          <w:bCs/>
          <w:color w:val="auto"/>
        </w:rPr>
        <w:t>6</w:t>
      </w:r>
      <w:r>
        <w:rPr>
          <w:rFonts w:ascii="Times New Roman" w:hAnsi="Times New Roman" w:cs="Times New Roman"/>
          <w:bCs/>
          <w:color w:val="auto"/>
        </w:rPr>
        <w:t>年</w:t>
      </w:r>
      <w:r>
        <w:rPr>
          <w:rFonts w:hint="eastAsia" w:ascii="Times New Roman" w:hAnsi="Times New Roman" w:cs="Times New Roman"/>
          <w:bCs/>
          <w:color w:val="auto"/>
        </w:rPr>
        <w:t>7月</w:t>
      </w:r>
      <w:r>
        <w:rPr>
          <w:rFonts w:ascii="Times New Roman" w:hAnsi="Times New Roman" w:cs="Times New Roman"/>
          <w:bCs/>
          <w:color w:val="auto"/>
        </w:rPr>
        <w:t>），本项目选址地属于苍南县临港产业新城环境重点准入区（功能区编号 0327-VI-0-1）</w:t>
      </w:r>
      <w:r>
        <w:rPr>
          <w:rFonts w:hint="eastAsia" w:ascii="Times New Roman" w:hAnsi="Times New Roman" w:cs="Times New Roman"/>
          <w:bCs/>
          <w:color w:val="auto"/>
        </w:rPr>
        <w:t>，根据业主提供的土地证可知，项目现状用地为工业用地，</w:t>
      </w:r>
      <w:r>
        <w:rPr>
          <w:rFonts w:ascii="Times New Roman" w:hAnsi="Times New Roman" w:cs="Times New Roman"/>
          <w:bCs/>
          <w:color w:val="auto"/>
        </w:rPr>
        <w:t>根据龙港新城产业集聚区控制性详细规划</w:t>
      </w:r>
      <w:r>
        <w:rPr>
          <w:rFonts w:hint="eastAsia" w:ascii="Times New Roman" w:hAnsi="Times New Roman" w:cs="Times New Roman"/>
          <w:bCs/>
          <w:color w:val="auto"/>
        </w:rPr>
        <w:t>图</w:t>
      </w:r>
      <w:r>
        <w:rPr>
          <w:rFonts w:ascii="Times New Roman" w:hAnsi="Times New Roman" w:cs="Times New Roman"/>
          <w:bCs/>
          <w:color w:val="auto"/>
        </w:rPr>
        <w:t>可知，规划用地性质为工业用地</w:t>
      </w:r>
      <w:r>
        <w:rPr>
          <w:rFonts w:hint="eastAsia" w:ascii="Times New Roman" w:hAnsi="Times New Roman" w:cs="Times New Roman"/>
          <w:bCs/>
          <w:color w:val="auto"/>
        </w:rPr>
        <w:t>，</w:t>
      </w:r>
      <w:r>
        <w:rPr>
          <w:rFonts w:ascii="Times New Roman" w:hAnsi="Times New Roman" w:cs="Times New Roman"/>
          <w:bCs/>
          <w:color w:val="auto"/>
        </w:rPr>
        <w:t>不属于《苍南县龙港新城产业集聚区控制性详细规划环境影响报告书》所规定的环评审批“负面清单”行业，</w:t>
      </w:r>
      <w:r>
        <w:rPr>
          <w:rFonts w:hint="eastAsia" w:ascii="Times New Roman" w:hAnsi="Times New Roman" w:cs="Times New Roman"/>
          <w:bCs/>
          <w:color w:val="auto"/>
        </w:rPr>
        <w:t>因此项目选址合理。</w:t>
      </w:r>
    </w:p>
    <w:p>
      <w:pPr>
        <w:pStyle w:val="592"/>
        <w:numPr>
          <w:ilvl w:val="0"/>
          <w:numId w:val="40"/>
        </w:numPr>
        <w:rPr>
          <w:color w:val="auto"/>
        </w:rPr>
      </w:pPr>
      <w:bookmarkStart w:id="157" w:name="_Toc37350100"/>
      <w:r>
        <w:rPr>
          <w:color w:val="auto"/>
        </w:rPr>
        <w:t>“三线一单”符合性分析</w:t>
      </w:r>
      <w:bookmarkEnd w:id="157"/>
    </w:p>
    <w:p>
      <w:pPr>
        <w:ind w:firstLine="482"/>
        <w:rPr>
          <w:rFonts w:ascii="Times New Roman" w:hAnsi="Times New Roman"/>
          <w:b/>
          <w:color w:val="auto"/>
        </w:rPr>
      </w:pPr>
      <w:r>
        <w:rPr>
          <w:rFonts w:ascii="Times New Roman" w:hAnsi="Times New Roman"/>
          <w:b/>
          <w:color w:val="auto"/>
        </w:rPr>
        <w:t>（1）生态保护红线符合性分析</w:t>
      </w:r>
    </w:p>
    <w:p>
      <w:pPr>
        <w:pStyle w:val="187"/>
        <w:spacing w:line="360" w:lineRule="auto"/>
        <w:ind w:firstLine="480"/>
        <w:rPr>
          <w:rFonts w:ascii="Times New Roman" w:hAnsi="Times New Roman" w:cs="Times New Roman"/>
          <w:bCs/>
          <w:color w:val="auto"/>
        </w:rPr>
      </w:pPr>
      <w:r>
        <w:rPr>
          <w:rFonts w:ascii="Times New Roman" w:hAnsi="Times New Roman" w:cs="Times New Roman"/>
          <w:bCs/>
          <w:color w:val="auto"/>
        </w:rPr>
        <w:t>根据《浙江省人民政府关于发布浙江省生态保护红线的通知》（浙政发〔2018〕30号）文件划定的生态保护红线范围</w:t>
      </w:r>
      <w:r>
        <w:rPr>
          <w:rFonts w:hint="eastAsia" w:ascii="Times New Roman" w:hAnsi="Times New Roman" w:cs="Times New Roman"/>
          <w:bCs/>
          <w:color w:val="auto"/>
        </w:rPr>
        <w:t>及苍南县生态红线图</w:t>
      </w:r>
      <w:r>
        <w:rPr>
          <w:rFonts w:ascii="Times New Roman" w:hAnsi="Times New Roman" w:cs="Times New Roman"/>
          <w:bCs/>
          <w:color w:val="auto"/>
        </w:rPr>
        <w:t>，本项目不在当地饮用水源、风景区、自然保护区等生态保护红线范围内，满足生态保护红线要求。</w:t>
      </w:r>
    </w:p>
    <w:p>
      <w:pPr>
        <w:ind w:firstLine="482"/>
        <w:rPr>
          <w:rFonts w:ascii="Times New Roman" w:hAnsi="Times New Roman"/>
          <w:b/>
          <w:color w:val="auto"/>
        </w:rPr>
      </w:pPr>
      <w:r>
        <w:rPr>
          <w:rFonts w:ascii="Times New Roman" w:hAnsi="Times New Roman"/>
          <w:b/>
          <w:color w:val="auto"/>
        </w:rPr>
        <w:t>（2）环境质量底线符合性分析</w:t>
      </w:r>
    </w:p>
    <w:p>
      <w:pPr>
        <w:autoSpaceDE w:val="0"/>
        <w:autoSpaceDN w:val="0"/>
        <w:adjustRightInd w:val="0"/>
        <w:ind w:firstLine="480"/>
        <w:jc w:val="left"/>
        <w:rPr>
          <w:rFonts w:ascii="Times New Roman" w:hAnsi="Times New Roman"/>
          <w:color w:val="auto"/>
          <w:kern w:val="0"/>
        </w:rPr>
      </w:pPr>
      <w:r>
        <w:rPr>
          <w:rFonts w:hint="eastAsia" w:ascii="Times New Roman" w:hAnsi="Times New Roman"/>
          <w:color w:val="auto"/>
        </w:rPr>
        <w:t>根据项目环境质量现状监测结果可知，本项目所在区域的空气环境、噪声环境等均可达到相应的环境质量标准，本项目的建设后可维持区域的环境质量等级，不会出现降级。本项目所在区域的附近水体水质超过环境质量标准，项目造粒冷却水和喷射塔废水循环使用，不外排；</w:t>
      </w:r>
      <w:r>
        <w:rPr>
          <w:rFonts w:ascii="Times New Roman" w:hAnsi="Times New Roman"/>
          <w:color w:val="auto"/>
        </w:rPr>
        <w:t>生活</w:t>
      </w:r>
      <w:r>
        <w:rPr>
          <w:rFonts w:hint="eastAsia" w:ascii="Times New Roman" w:hAnsi="Times New Roman"/>
          <w:color w:val="auto"/>
        </w:rPr>
        <w:t>污</w:t>
      </w:r>
      <w:r>
        <w:rPr>
          <w:rFonts w:ascii="Times New Roman" w:hAnsi="Times New Roman"/>
          <w:color w:val="auto"/>
        </w:rPr>
        <w:t>水</w:t>
      </w:r>
      <w:r>
        <w:rPr>
          <w:rFonts w:hint="eastAsia" w:ascii="Times New Roman" w:hAnsi="Times New Roman"/>
          <w:color w:val="auto"/>
        </w:rPr>
        <w:t>经</w:t>
      </w:r>
      <w:r>
        <w:rPr>
          <w:rFonts w:ascii="Times New Roman" w:hAnsi="Times New Roman"/>
          <w:color w:val="auto"/>
        </w:rPr>
        <w:t>化粪池预处理达《污水综合排放标准》（GB8978-1996）三级标准后</w:t>
      </w:r>
      <w:r>
        <w:rPr>
          <w:rStyle w:val="782"/>
          <w:rFonts w:hint="default" w:ascii="Times New Roman"/>
          <w:color w:val="auto"/>
        </w:rPr>
        <w:t>纳入市政污水管网，最终进入苍南县临港产业基地启动区污水处理厂处理达标后排放</w:t>
      </w:r>
      <w:r>
        <w:rPr>
          <w:rFonts w:hint="eastAsia" w:ascii="Times New Roman" w:hAnsi="Times New Roman"/>
          <w:color w:val="auto"/>
        </w:rPr>
        <w:t>，不会对周边水体环境产生污染。本项目污染物经削减替代、落实总量控制方案后可满足污染物排放总量控制红线。本项目不涉及重大危险源，项目建设后采取一系列风险方法措施满足环境风险管理红线的要求。总体而言，本项目的建设满足环境质量底线的要求。</w:t>
      </w:r>
    </w:p>
    <w:p>
      <w:pPr>
        <w:ind w:firstLine="482"/>
        <w:rPr>
          <w:rFonts w:ascii="Times New Roman" w:hAnsi="Times New Roman"/>
          <w:b/>
          <w:color w:val="auto"/>
        </w:rPr>
      </w:pPr>
      <w:r>
        <w:rPr>
          <w:rFonts w:ascii="Times New Roman" w:hAnsi="Times New Roman"/>
          <w:b/>
          <w:color w:val="auto"/>
        </w:rPr>
        <w:t>（3）资源利用上线符合性分析</w:t>
      </w:r>
    </w:p>
    <w:p>
      <w:pPr>
        <w:autoSpaceDE w:val="0"/>
        <w:ind w:firstLine="480"/>
        <w:rPr>
          <w:rFonts w:ascii="Times New Roman" w:hAnsi="Times New Roman"/>
          <w:color w:val="auto"/>
        </w:rPr>
      </w:pPr>
      <w:r>
        <w:rPr>
          <w:rFonts w:hint="eastAsia" w:ascii="Times New Roman" w:hAnsi="Times New Roman"/>
          <w:color w:val="auto"/>
        </w:rPr>
        <w:t>本项目利用现有工业厂房进行生产，不新增工业用地，同时项目用水来自市政供水管网，不直接取用河水和地下水，且用水量不大。项目建成运行后通过内部管理、设备选择、原辅材料的选用和管理、废物回收利用、污染治理等多方面采取合理可行的防治措施，以“节能、降耗、减污”为目标，有效地控制污染。因此，项目的水、电、土地等资源利用不会突破区域的资源利用上线。</w:t>
      </w:r>
    </w:p>
    <w:p>
      <w:pPr>
        <w:autoSpaceDE w:val="0"/>
        <w:ind w:firstLine="482"/>
        <w:rPr>
          <w:rFonts w:ascii="Times New Roman" w:hAnsi="Times New Roman"/>
          <w:b/>
          <w:color w:val="auto"/>
          <w:kern w:val="0"/>
        </w:rPr>
      </w:pPr>
      <w:r>
        <w:rPr>
          <w:rFonts w:ascii="Times New Roman" w:hAnsi="Times New Roman"/>
          <w:b/>
          <w:color w:val="auto"/>
        </w:rPr>
        <w:t>（4）</w:t>
      </w:r>
      <w:r>
        <w:rPr>
          <w:rFonts w:ascii="Times New Roman" w:hAnsi="Times New Roman"/>
          <w:b/>
          <w:color w:val="auto"/>
          <w:kern w:val="0"/>
        </w:rPr>
        <w:t>负面清单符合性分析</w:t>
      </w:r>
    </w:p>
    <w:p>
      <w:pPr>
        <w:autoSpaceDE w:val="0"/>
        <w:ind w:firstLine="480"/>
        <w:rPr>
          <w:rFonts w:ascii="Times New Roman" w:hAnsi="Times New Roman"/>
          <w:color w:val="auto"/>
          <w:kern w:val="0"/>
        </w:rPr>
      </w:pPr>
      <w:r>
        <w:rPr>
          <w:rFonts w:ascii="Times New Roman" w:hAnsi="Times New Roman"/>
          <w:color w:val="auto"/>
          <w:kern w:val="0"/>
        </w:rPr>
        <w:t>根据《</w:t>
      </w:r>
      <w:r>
        <w:rPr>
          <w:rFonts w:hint="eastAsia" w:ascii="Times New Roman" w:hAnsi="Times New Roman"/>
          <w:color w:val="auto"/>
          <w:kern w:val="0"/>
        </w:rPr>
        <w:t>浙江省</w:t>
      </w:r>
      <w:r>
        <w:rPr>
          <w:rFonts w:ascii="Times New Roman" w:hAnsi="Times New Roman"/>
          <w:color w:val="auto"/>
          <w:kern w:val="0"/>
        </w:rPr>
        <w:t>环境功能区划》（201</w:t>
      </w:r>
      <w:r>
        <w:rPr>
          <w:rFonts w:hint="eastAsia" w:ascii="Times New Roman" w:hAnsi="Times New Roman"/>
          <w:color w:val="auto"/>
          <w:kern w:val="0"/>
        </w:rPr>
        <w:t>6</w:t>
      </w:r>
      <w:r>
        <w:rPr>
          <w:rFonts w:ascii="Times New Roman" w:hAnsi="Times New Roman"/>
          <w:color w:val="auto"/>
          <w:kern w:val="0"/>
        </w:rPr>
        <w:t>年</w:t>
      </w:r>
      <w:r>
        <w:rPr>
          <w:rFonts w:hint="eastAsia" w:ascii="Times New Roman" w:hAnsi="Times New Roman"/>
          <w:color w:val="auto"/>
          <w:kern w:val="0"/>
        </w:rPr>
        <w:t>7月</w:t>
      </w:r>
      <w:r>
        <w:rPr>
          <w:rFonts w:ascii="Times New Roman" w:hAnsi="Times New Roman"/>
          <w:color w:val="auto"/>
          <w:kern w:val="0"/>
        </w:rPr>
        <w:t>），本项目选址地属于苍南县临港产业新城环境重点准入区（功能区编号 0327-VI-0-1），建设项目不属于该环境功能区内的负面清单范畴内，因此，项目符合环境功能区负面清单控制要求。</w:t>
      </w:r>
    </w:p>
    <w:p>
      <w:pPr>
        <w:pStyle w:val="592"/>
        <w:numPr>
          <w:ilvl w:val="0"/>
          <w:numId w:val="40"/>
        </w:numPr>
        <w:rPr>
          <w:color w:val="auto"/>
        </w:rPr>
      </w:pPr>
      <w:bookmarkStart w:id="158" w:name="_Toc37350101"/>
      <w:bookmarkStart w:id="159" w:name="_Toc323721107"/>
      <w:r>
        <w:rPr>
          <w:color w:val="auto"/>
        </w:rPr>
        <w:t>建设项目环保审批原则符合性分析</w:t>
      </w:r>
      <w:bookmarkEnd w:id="158"/>
      <w:bookmarkEnd w:id="159"/>
    </w:p>
    <w:p>
      <w:pPr>
        <w:ind w:firstLine="480"/>
        <w:rPr>
          <w:rFonts w:ascii="Times New Roman" w:hAnsi="Times New Roman"/>
          <w:color w:val="auto"/>
        </w:rPr>
      </w:pPr>
      <w:r>
        <w:rPr>
          <w:rFonts w:ascii="Times New Roman" w:hAnsi="Times New Roman"/>
          <w:color w:val="auto"/>
        </w:rPr>
        <w:t>本次环评根据《浙江省建设项目环境保护管理办法（201</w:t>
      </w:r>
      <w:r>
        <w:rPr>
          <w:rFonts w:hint="eastAsia" w:ascii="Times New Roman" w:hAnsi="Times New Roman"/>
          <w:color w:val="auto"/>
        </w:rPr>
        <w:t>8</w:t>
      </w:r>
      <w:r>
        <w:rPr>
          <w:rFonts w:ascii="Times New Roman" w:hAnsi="Times New Roman"/>
          <w:color w:val="auto"/>
        </w:rPr>
        <w:t>年修订）》（省政府令第</w:t>
      </w:r>
      <w:r>
        <w:rPr>
          <w:rFonts w:hint="eastAsia" w:ascii="Times New Roman" w:hAnsi="Times New Roman"/>
          <w:color w:val="auto"/>
        </w:rPr>
        <w:t>364</w:t>
      </w:r>
      <w:r>
        <w:rPr>
          <w:rFonts w:ascii="Times New Roman" w:hAnsi="Times New Roman"/>
          <w:color w:val="auto"/>
        </w:rPr>
        <w:t>号）中相关要求进行环保审批原则分析。</w:t>
      </w:r>
    </w:p>
    <w:p>
      <w:pPr>
        <w:pStyle w:val="4"/>
        <w:numPr>
          <w:ilvl w:val="0"/>
          <w:numId w:val="42"/>
        </w:numPr>
        <w:spacing w:beforeLines="0"/>
        <w:rPr>
          <w:rFonts w:ascii="Times New Roman" w:hAnsi="Times New Roman"/>
          <w:color w:val="auto"/>
          <w:sz w:val="24"/>
          <w:szCs w:val="24"/>
        </w:rPr>
      </w:pPr>
      <w:bookmarkStart w:id="160" w:name="_Toc323721108"/>
      <w:r>
        <w:rPr>
          <w:rFonts w:ascii="Times New Roman" w:hAnsi="Times New Roman"/>
          <w:color w:val="auto"/>
          <w:sz w:val="24"/>
          <w:szCs w:val="24"/>
        </w:rPr>
        <w:t>建设项目环评审批原则符合性分析</w:t>
      </w:r>
    </w:p>
    <w:bookmarkEnd w:id="160"/>
    <w:p>
      <w:pPr>
        <w:ind w:firstLine="482"/>
        <w:rPr>
          <w:rFonts w:ascii="Times New Roman" w:hAnsi="Times New Roman"/>
          <w:b/>
          <w:color w:val="auto"/>
        </w:rPr>
      </w:pPr>
      <w:r>
        <w:rPr>
          <w:rFonts w:ascii="Times New Roman" w:hAnsi="Times New Roman"/>
          <w:b/>
          <w:color w:val="auto"/>
        </w:rPr>
        <w:t>1、建设项目功能区划符合性</w:t>
      </w:r>
    </w:p>
    <w:p>
      <w:pPr>
        <w:ind w:firstLine="480"/>
        <w:rPr>
          <w:rFonts w:ascii="Times New Roman" w:hAnsi="Times New Roman"/>
          <w:color w:val="auto"/>
          <w:szCs w:val="24"/>
        </w:rPr>
      </w:pPr>
      <w:r>
        <w:rPr>
          <w:rFonts w:hint="eastAsia" w:ascii="Times New Roman" w:hAnsi="Times New Roman"/>
          <w:color w:val="auto"/>
        </w:rPr>
        <w:t>本项目位于</w:t>
      </w:r>
      <w:r>
        <w:rPr>
          <w:rFonts w:ascii="Times New Roman" w:hAnsi="Times New Roman"/>
          <w:color w:val="auto"/>
        </w:rPr>
        <w:t>温州市龙港</w:t>
      </w:r>
      <w:r>
        <w:rPr>
          <w:rFonts w:hint="eastAsia" w:ascii="Times New Roman" w:hAnsi="Times New Roman"/>
          <w:color w:val="auto"/>
        </w:rPr>
        <w:t>临港产业基地启动区东塘路385-441号内4号楼</w:t>
      </w:r>
      <w:r>
        <w:rPr>
          <w:rFonts w:ascii="Times New Roman" w:hAnsi="Times New Roman"/>
          <w:color w:val="auto"/>
        </w:rPr>
        <w:t>厂房</w:t>
      </w:r>
      <w:r>
        <w:rPr>
          <w:rFonts w:hint="eastAsia" w:ascii="Times New Roman" w:hAnsi="Times New Roman"/>
          <w:color w:val="auto"/>
        </w:rPr>
        <w:t>，</w:t>
      </w:r>
      <w:r>
        <w:rPr>
          <w:rFonts w:ascii="Times New Roman" w:hAnsi="Times New Roman"/>
          <w:color w:val="auto"/>
          <w:kern w:val="0"/>
        </w:rPr>
        <w:t>根据《</w:t>
      </w:r>
      <w:r>
        <w:rPr>
          <w:rFonts w:hint="eastAsia" w:ascii="Times New Roman" w:hAnsi="Times New Roman"/>
          <w:color w:val="auto"/>
          <w:kern w:val="0"/>
        </w:rPr>
        <w:t>浙江省</w:t>
      </w:r>
      <w:r>
        <w:rPr>
          <w:rFonts w:ascii="Times New Roman" w:hAnsi="Times New Roman"/>
          <w:color w:val="auto"/>
          <w:kern w:val="0"/>
        </w:rPr>
        <w:t>环境功能区划》（201</w:t>
      </w:r>
      <w:r>
        <w:rPr>
          <w:rFonts w:hint="eastAsia" w:ascii="Times New Roman" w:hAnsi="Times New Roman"/>
          <w:color w:val="auto"/>
          <w:kern w:val="0"/>
        </w:rPr>
        <w:t>6</w:t>
      </w:r>
      <w:r>
        <w:rPr>
          <w:rFonts w:ascii="Times New Roman" w:hAnsi="Times New Roman"/>
          <w:color w:val="auto"/>
          <w:kern w:val="0"/>
        </w:rPr>
        <w:t>年</w:t>
      </w:r>
      <w:r>
        <w:rPr>
          <w:rFonts w:hint="eastAsia" w:ascii="Times New Roman" w:hAnsi="Times New Roman"/>
          <w:color w:val="auto"/>
          <w:kern w:val="0"/>
        </w:rPr>
        <w:t>7月</w:t>
      </w:r>
      <w:r>
        <w:rPr>
          <w:rFonts w:ascii="Times New Roman" w:hAnsi="Times New Roman"/>
          <w:color w:val="auto"/>
          <w:kern w:val="0"/>
        </w:rPr>
        <w:t>），本项目选址地属于苍南县临港产业新城环境重点准入区（功能区编号 0327-VI-0-1）</w:t>
      </w:r>
      <w:r>
        <w:rPr>
          <w:rFonts w:hint="eastAsia" w:ascii="Times New Roman" w:hAnsi="Times New Roman"/>
          <w:color w:val="auto"/>
        </w:rPr>
        <w:t>，</w:t>
      </w:r>
      <w:r>
        <w:rPr>
          <w:rFonts w:ascii="Times New Roman" w:hAnsi="Times New Roman"/>
          <w:color w:val="auto"/>
          <w:szCs w:val="24"/>
        </w:rPr>
        <w:t>本项目为</w:t>
      </w:r>
      <w:r>
        <w:rPr>
          <w:rFonts w:hint="eastAsia" w:ascii="Times New Roman" w:hAnsi="Times New Roman"/>
          <w:color w:val="auto"/>
          <w:szCs w:val="24"/>
        </w:rPr>
        <w:t>废塑料再生造粒项目</w:t>
      </w:r>
      <w:r>
        <w:rPr>
          <w:rFonts w:ascii="Times New Roman" w:hAnsi="Times New Roman"/>
          <w:bCs/>
          <w:color w:val="auto"/>
          <w:szCs w:val="24"/>
        </w:rPr>
        <w:t>，</w:t>
      </w:r>
      <w:r>
        <w:rPr>
          <w:rFonts w:ascii="Times New Roman" w:hAnsi="Times New Roman"/>
          <w:color w:val="auto"/>
        </w:rPr>
        <w:t>属于二类工业项目，不在负面清单内，项目污染物经采取相应的污染防治措施后可达标排放，因此，本项目的建设符合该区域环境功能区划</w:t>
      </w:r>
      <w:r>
        <w:rPr>
          <w:rFonts w:ascii="Times New Roman" w:hAnsi="Times New Roman"/>
          <w:color w:val="auto"/>
          <w:szCs w:val="24"/>
        </w:rPr>
        <w:t>。</w:t>
      </w:r>
    </w:p>
    <w:p>
      <w:pPr>
        <w:ind w:firstLine="482"/>
        <w:rPr>
          <w:rFonts w:ascii="Times New Roman" w:hAnsi="Times New Roman"/>
          <w:b/>
          <w:color w:val="auto"/>
        </w:rPr>
      </w:pPr>
      <w:r>
        <w:rPr>
          <w:rFonts w:ascii="Times New Roman" w:hAnsi="Times New Roman"/>
          <w:b/>
          <w:color w:val="auto"/>
        </w:rPr>
        <w:t>2、排放污染物不超过国家和本省规定的污染物排放标准</w:t>
      </w:r>
    </w:p>
    <w:p>
      <w:pPr>
        <w:ind w:firstLine="480"/>
        <w:rPr>
          <w:rFonts w:ascii="Times New Roman" w:hAnsi="Times New Roman"/>
          <w:color w:val="auto"/>
          <w:szCs w:val="24"/>
        </w:rPr>
      </w:pPr>
      <w:r>
        <w:rPr>
          <w:rFonts w:ascii="Times New Roman" w:hAnsi="Times New Roman"/>
          <w:color w:val="auto"/>
          <w:szCs w:val="24"/>
        </w:rPr>
        <w:t>通过本评价环境影响分析，本项目只要切实落实本评价提出的各项污染防治措施与建议，并加强污染物治理和防治措施，污染物均可达标排放。</w:t>
      </w:r>
    </w:p>
    <w:p>
      <w:pPr>
        <w:ind w:firstLine="482"/>
        <w:rPr>
          <w:rFonts w:ascii="Times New Roman" w:hAnsi="Times New Roman"/>
          <w:b/>
          <w:color w:val="auto"/>
        </w:rPr>
      </w:pPr>
      <w:r>
        <w:rPr>
          <w:rFonts w:ascii="Times New Roman" w:hAnsi="Times New Roman"/>
          <w:b/>
          <w:color w:val="auto"/>
        </w:rPr>
        <w:t>3、项目产生的环境影响与项目所在地环境功能区划确定的环境质量要求的符合性</w:t>
      </w:r>
    </w:p>
    <w:p>
      <w:pPr>
        <w:ind w:firstLine="480"/>
        <w:rPr>
          <w:rFonts w:ascii="Times New Roman" w:hAnsi="Times New Roman"/>
          <w:color w:val="auto"/>
        </w:rPr>
      </w:pPr>
      <w:r>
        <w:rPr>
          <w:rFonts w:ascii="Times New Roman" w:hAnsi="Times New Roman"/>
          <w:color w:val="auto"/>
        </w:rPr>
        <w:t>影响预测分析结果表明，在采取了环评提出的相关污染防治措施后，本项目各项污染物均能做到达标排放，对环境影响很小，不会改变项目所在区域的环境功能，能满足当地的环境质量要求。</w:t>
      </w:r>
    </w:p>
    <w:p>
      <w:pPr>
        <w:ind w:firstLine="482"/>
        <w:rPr>
          <w:rFonts w:ascii="Times New Roman" w:hAnsi="Times New Roman"/>
          <w:color w:val="auto"/>
        </w:rPr>
      </w:pPr>
      <w:r>
        <w:rPr>
          <w:rFonts w:ascii="Times New Roman" w:hAnsi="Times New Roman"/>
          <w:b/>
          <w:color w:val="auto"/>
        </w:rPr>
        <w:t>4、总量控制要求符合性</w:t>
      </w:r>
    </w:p>
    <w:p>
      <w:pPr>
        <w:ind w:firstLine="480"/>
        <w:rPr>
          <w:rFonts w:ascii="Times New Roman" w:hAnsi="Times New Roman"/>
          <w:color w:val="auto"/>
        </w:rPr>
      </w:pPr>
      <w:r>
        <w:rPr>
          <w:rFonts w:ascii="Times New Roman" w:hAnsi="Times New Roman"/>
          <w:color w:val="auto"/>
        </w:rPr>
        <w:t>污染物排放实施总量控制是执行环保管理目标责任制的基本原则之一。为了控制环境污染的进一步加剧，国家提出污染物总量控制的要求。结合项目特征，确定本项目实施总量控制的污染物为COD、氨氮，同时根据《浙江省挥发性有机物污染整治方案》（浙环发〔2013〕54号），将VOC</w:t>
      </w:r>
      <w:r>
        <w:rPr>
          <w:rFonts w:ascii="Times New Roman" w:hAnsi="Times New Roman"/>
          <w:color w:val="auto"/>
          <w:vertAlign w:val="subscript"/>
        </w:rPr>
        <w:t>S</w:t>
      </w:r>
      <w:r>
        <w:rPr>
          <w:rFonts w:ascii="Times New Roman" w:hAnsi="Times New Roman"/>
          <w:color w:val="auto"/>
        </w:rPr>
        <w:t>纳入总量控制的指标</w:t>
      </w:r>
      <w:r>
        <w:rPr>
          <w:rFonts w:hint="eastAsia" w:ascii="Times New Roman" w:hAnsi="Times New Roman"/>
          <w:color w:val="auto"/>
        </w:rPr>
        <w:t>。</w:t>
      </w:r>
      <w:r>
        <w:rPr>
          <w:rFonts w:ascii="Times New Roman" w:hAnsi="Times New Roman"/>
          <w:color w:val="auto"/>
        </w:rPr>
        <w:t>结合本项目特征，确定本项目实施总量控制的污染物为COD、氨氮和VOCs。</w:t>
      </w:r>
    </w:p>
    <w:p>
      <w:pPr>
        <w:ind w:firstLine="480"/>
        <w:rPr>
          <w:rFonts w:ascii="Times New Roman" w:hAnsi="Times New Roman"/>
          <w:color w:val="auto"/>
        </w:rPr>
      </w:pPr>
      <w:r>
        <w:rPr>
          <w:rFonts w:ascii="Times New Roman" w:hAnsi="Times New Roman"/>
          <w:color w:val="auto"/>
        </w:rPr>
        <w:t>本项目外排的废水仅为生活污水。根据《浙江省建设项目主要污染物总量准入审核办法（试行）》（浙环发[2012]10号）及《温州市建设项目环评审批污染物总量替代管理办法（试行）》（温环发[2010]88号）文件，建设项目不排放生产废水，只排放生活污水的，其新增生活污水排放量不需区域替代削减。同时，根据《温州市排污权有偿使用和交易试行办法》（温州市人民政府令第123号），本项目只排放生活污水，无需购买COD、氨氮排污权指标。</w:t>
      </w:r>
    </w:p>
    <w:p>
      <w:pPr>
        <w:ind w:firstLine="480"/>
        <w:rPr>
          <w:rFonts w:ascii="Times New Roman" w:hAnsi="Times New Roman"/>
          <w:color w:val="auto"/>
          <w:szCs w:val="24"/>
        </w:rPr>
      </w:pPr>
      <w:r>
        <w:rPr>
          <w:rFonts w:hint="eastAsia" w:ascii="Times New Roman" w:hAnsi="Times New Roman"/>
          <w:color w:val="auto"/>
          <w:szCs w:val="24"/>
        </w:rPr>
        <w:t>根据《关于做好挥发性有机物总量控制工作的通知》（浙环发</w:t>
      </w:r>
      <w:r>
        <w:rPr>
          <w:rFonts w:ascii="Times New Roman" w:hAnsi="Times New Roman"/>
          <w:color w:val="auto"/>
          <w:szCs w:val="24"/>
        </w:rPr>
        <w:t>[2017]29 号），建设项目VOCs 排放量实行区域内现役源2倍削减量替代</w:t>
      </w:r>
      <w:r>
        <w:rPr>
          <w:rFonts w:hint="eastAsia" w:ascii="Times New Roman" w:hAnsi="Times New Roman"/>
          <w:color w:val="auto"/>
          <w:szCs w:val="24"/>
        </w:rPr>
        <w:t>，目前尚未对</w:t>
      </w:r>
      <w:r>
        <w:rPr>
          <w:rFonts w:ascii="Times New Roman" w:hAnsi="Times New Roman"/>
          <w:color w:val="auto"/>
          <w:szCs w:val="24"/>
        </w:rPr>
        <w:t>VOCs排污权指标实施交易，</w:t>
      </w:r>
      <w:r>
        <w:rPr>
          <w:rFonts w:hint="eastAsia" w:ascii="Times New Roman" w:hAnsi="Times New Roman"/>
          <w:color w:val="auto"/>
          <w:szCs w:val="24"/>
        </w:rPr>
        <w:t>本环评仅提出总量控制建议值，即</w:t>
      </w:r>
      <w:r>
        <w:rPr>
          <w:rFonts w:ascii="Times New Roman" w:hAnsi="Times New Roman"/>
          <w:color w:val="auto"/>
          <w:szCs w:val="24"/>
        </w:rPr>
        <w:t>VOC</w:t>
      </w:r>
      <w:r>
        <w:rPr>
          <w:rFonts w:ascii="Times New Roman" w:hAnsi="Times New Roman"/>
          <w:color w:val="auto"/>
          <w:szCs w:val="24"/>
          <w:vertAlign w:val="subscript"/>
        </w:rPr>
        <w:t>S</w:t>
      </w:r>
      <w:r>
        <w:rPr>
          <w:rFonts w:ascii="Times New Roman" w:hAnsi="Times New Roman"/>
          <w:color w:val="auto"/>
          <w:szCs w:val="24"/>
        </w:rPr>
        <w:t>排放量为</w:t>
      </w:r>
      <w:r>
        <w:rPr>
          <w:rFonts w:hint="eastAsia" w:ascii="Times New Roman" w:hAnsi="Times New Roman"/>
          <w:bCs/>
          <w:color w:val="auto"/>
          <w:szCs w:val="24"/>
        </w:rPr>
        <w:t>2.044</w:t>
      </w:r>
      <w:r>
        <w:rPr>
          <w:rFonts w:ascii="Times New Roman" w:hAnsi="Times New Roman"/>
          <w:color w:val="auto"/>
          <w:szCs w:val="24"/>
        </w:rPr>
        <w:t>t/a，替代削减比例为1:2，总量</w:t>
      </w:r>
      <w:r>
        <w:rPr>
          <w:rFonts w:hint="eastAsia" w:ascii="Times New Roman" w:hAnsi="Times New Roman"/>
          <w:color w:val="auto"/>
          <w:szCs w:val="24"/>
        </w:rPr>
        <w:t>控制替代值为4.088</w:t>
      </w:r>
      <w:r>
        <w:rPr>
          <w:rFonts w:ascii="Times New Roman" w:hAnsi="Times New Roman"/>
          <w:color w:val="auto"/>
          <w:szCs w:val="24"/>
        </w:rPr>
        <w:t>t/a。</w:t>
      </w:r>
    </w:p>
    <w:p>
      <w:pPr>
        <w:pStyle w:val="4"/>
        <w:numPr>
          <w:ilvl w:val="0"/>
          <w:numId w:val="42"/>
        </w:numPr>
        <w:spacing w:beforeLines="0"/>
        <w:rPr>
          <w:rFonts w:ascii="Times New Roman" w:hAnsi="Times New Roman"/>
          <w:color w:val="auto"/>
          <w:sz w:val="24"/>
          <w:szCs w:val="24"/>
        </w:rPr>
      </w:pPr>
      <w:r>
        <w:rPr>
          <w:rFonts w:ascii="Times New Roman" w:hAnsi="Times New Roman"/>
          <w:color w:val="auto"/>
          <w:sz w:val="24"/>
          <w:szCs w:val="24"/>
        </w:rPr>
        <w:t>建设项目其他部门审批要求符合性分析</w:t>
      </w:r>
    </w:p>
    <w:p>
      <w:pPr>
        <w:ind w:firstLine="482"/>
        <w:rPr>
          <w:rFonts w:ascii="Times New Roman" w:hAnsi="Times New Roman"/>
          <w:b/>
          <w:color w:val="auto"/>
        </w:rPr>
      </w:pPr>
      <w:r>
        <w:rPr>
          <w:rFonts w:ascii="Times New Roman" w:hAnsi="Times New Roman"/>
          <w:b/>
          <w:color w:val="auto"/>
        </w:rPr>
        <w:t>1、主体功能区规划、土地利用总体规划、城乡规划符合性</w:t>
      </w:r>
    </w:p>
    <w:p>
      <w:pPr>
        <w:ind w:firstLine="480"/>
        <w:rPr>
          <w:rFonts w:ascii="Times New Roman" w:hAnsi="Times New Roman"/>
          <w:color w:val="auto"/>
        </w:rPr>
      </w:pPr>
      <w:r>
        <w:rPr>
          <w:rFonts w:ascii="Times New Roman" w:hAnsi="Times New Roman"/>
          <w:color w:val="auto"/>
        </w:rPr>
        <w:t>根据建设当地环境功能区划，项目所在地环境功能区划为空气二类区，地表水属于</w:t>
      </w:r>
      <w:r>
        <w:rPr>
          <w:rFonts w:hint="eastAsia" w:cs="宋体"/>
          <w:color w:val="auto"/>
          <w:kern w:val="0"/>
        </w:rPr>
        <w:t>Ⅳ</w:t>
      </w:r>
      <w:r>
        <w:rPr>
          <w:rFonts w:ascii="Times New Roman" w:hAnsi="Times New Roman"/>
          <w:color w:val="auto"/>
        </w:rPr>
        <w:t>类功能区，声环境属于</w:t>
      </w:r>
      <w:r>
        <w:rPr>
          <w:rFonts w:hint="eastAsia" w:ascii="Times New Roman" w:hAnsi="Times New Roman"/>
          <w:color w:val="auto"/>
        </w:rPr>
        <w:t>3</w:t>
      </w:r>
      <w:r>
        <w:rPr>
          <w:rFonts w:ascii="Times New Roman" w:hAnsi="Times New Roman"/>
          <w:color w:val="auto"/>
        </w:rPr>
        <w:t>类功能区，因此项目选址符合所在地相关环境功能区划要求。</w:t>
      </w:r>
    </w:p>
    <w:p>
      <w:pPr>
        <w:ind w:firstLine="480"/>
        <w:rPr>
          <w:rFonts w:ascii="Times New Roman" w:hAnsi="Times New Roman"/>
          <w:color w:val="auto"/>
        </w:rPr>
      </w:pPr>
      <w:r>
        <w:rPr>
          <w:rFonts w:hint="eastAsia" w:ascii="Times New Roman" w:hAnsi="Times New Roman"/>
          <w:color w:val="auto"/>
        </w:rPr>
        <w:t>根据业主提供的土地证可知，项目现状用地为工业用地，根据控制性详细规划图</w:t>
      </w:r>
      <w:r>
        <w:rPr>
          <w:rFonts w:hint="eastAsia" w:ascii="Times New Roman" w:hAnsi="Times New Roman"/>
          <w:color w:val="auto"/>
          <w:szCs w:val="24"/>
        </w:rPr>
        <w:t>，本项目所在地规划为工业用地，</w:t>
      </w:r>
      <w:r>
        <w:rPr>
          <w:rFonts w:hint="eastAsia" w:ascii="Times New Roman" w:hAnsi="Times New Roman"/>
          <w:color w:val="auto"/>
        </w:rPr>
        <w:t>因此本项目目前土地性质符合用地规划要求。</w:t>
      </w:r>
    </w:p>
    <w:p>
      <w:pPr>
        <w:ind w:firstLine="482"/>
        <w:rPr>
          <w:rFonts w:ascii="Times New Roman" w:hAnsi="Times New Roman"/>
          <w:b/>
          <w:color w:val="auto"/>
        </w:rPr>
      </w:pPr>
      <w:r>
        <w:rPr>
          <w:rFonts w:ascii="Times New Roman" w:hAnsi="Times New Roman"/>
          <w:b/>
          <w:color w:val="auto"/>
        </w:rPr>
        <w:t>2、国家及本省产生政策符合性</w:t>
      </w:r>
    </w:p>
    <w:p>
      <w:pPr>
        <w:snapToGrid w:val="0"/>
        <w:ind w:firstLine="480"/>
        <w:rPr>
          <w:rFonts w:ascii="Times New Roman" w:hAnsi="Times New Roman"/>
          <w:color w:val="auto"/>
        </w:rPr>
      </w:pPr>
      <w:bookmarkStart w:id="161" w:name="_Toc323721117"/>
      <w:r>
        <w:rPr>
          <w:rFonts w:ascii="Times New Roman" w:hAnsi="Times New Roman"/>
          <w:color w:val="auto"/>
          <w:szCs w:val="24"/>
        </w:rPr>
        <w:t>本项目</w:t>
      </w:r>
      <w:r>
        <w:rPr>
          <w:rFonts w:ascii="Times New Roman" w:hAnsi="Times New Roman"/>
          <w:color w:val="auto"/>
        </w:rPr>
        <w:t>不属于《产业结构调整指导目录(201</w:t>
      </w:r>
      <w:r>
        <w:rPr>
          <w:rFonts w:hint="eastAsia" w:ascii="Times New Roman" w:hAnsi="Times New Roman"/>
          <w:color w:val="auto"/>
        </w:rPr>
        <w:t>9</w:t>
      </w:r>
      <w:r>
        <w:rPr>
          <w:rFonts w:ascii="Times New Roman" w:hAnsi="Times New Roman"/>
          <w:color w:val="auto"/>
        </w:rPr>
        <w:t>年本)》中的限制类和淘汰类，</w:t>
      </w:r>
      <w:r>
        <w:rPr>
          <w:rFonts w:hint="eastAsia" w:ascii="Times New Roman" w:hAnsi="Times New Roman"/>
          <w:color w:val="auto"/>
        </w:rPr>
        <w:t>也不属于</w:t>
      </w:r>
      <w:r>
        <w:rPr>
          <w:rFonts w:ascii="Times New Roman" w:hAnsi="Times New Roman"/>
          <w:color w:val="auto"/>
        </w:rPr>
        <w:t>《温州市重点行业落后产能认定标准指导目录（2013年版）》中的限制类和淘汰类</w:t>
      </w:r>
      <w:r>
        <w:rPr>
          <w:rFonts w:hint="eastAsia" w:ascii="Times New Roman" w:hAnsi="Times New Roman"/>
          <w:color w:val="auto"/>
        </w:rPr>
        <w:t>，即为允许类</w:t>
      </w:r>
      <w:r>
        <w:rPr>
          <w:rFonts w:ascii="Times New Roman" w:hAnsi="Times New Roman"/>
          <w:color w:val="auto"/>
        </w:rPr>
        <w:t>。</w:t>
      </w:r>
    </w:p>
    <w:p>
      <w:pPr>
        <w:snapToGrid w:val="0"/>
        <w:ind w:firstLine="480"/>
        <w:rPr>
          <w:rFonts w:ascii="Times New Roman" w:hAnsi="Times New Roman"/>
          <w:color w:val="auto"/>
        </w:rPr>
      </w:pPr>
      <w:r>
        <w:rPr>
          <w:rFonts w:ascii="Times New Roman" w:hAnsi="Times New Roman"/>
          <w:color w:val="auto"/>
        </w:rPr>
        <w:t>综上所述，本项目建设符合国家和浙江省建设项目环保审批原则。</w:t>
      </w:r>
    </w:p>
    <w:bookmarkEnd w:id="161"/>
    <w:p>
      <w:pPr>
        <w:pStyle w:val="592"/>
        <w:numPr>
          <w:ilvl w:val="0"/>
          <w:numId w:val="40"/>
        </w:numPr>
        <w:rPr>
          <w:color w:val="auto"/>
        </w:rPr>
      </w:pPr>
      <w:bookmarkStart w:id="162" w:name="_Toc37350102"/>
      <w:r>
        <w:rPr>
          <w:color w:val="auto"/>
        </w:rPr>
        <w:t>建议</w:t>
      </w:r>
      <w:bookmarkEnd w:id="162"/>
    </w:p>
    <w:p>
      <w:pPr>
        <w:ind w:firstLine="480"/>
        <w:rPr>
          <w:rFonts w:ascii="Times New Roman" w:hAnsi="Times New Roman"/>
          <w:color w:val="auto"/>
        </w:rPr>
      </w:pPr>
      <w:r>
        <w:rPr>
          <w:rFonts w:ascii="Times New Roman" w:hAnsi="Times New Roman"/>
          <w:color w:val="auto"/>
        </w:rPr>
        <w:t>为了进一步提高企业的环境管理水平，搞好企业环境保护工作，本评价提出以下几点建议：</w:t>
      </w:r>
    </w:p>
    <w:p>
      <w:pPr>
        <w:ind w:left="-31" w:leftChars="-13" w:firstLine="508" w:firstLineChars="212"/>
        <w:rPr>
          <w:rFonts w:ascii="Times New Roman" w:hAnsi="Times New Roman"/>
          <w:color w:val="auto"/>
        </w:rPr>
      </w:pPr>
      <w:r>
        <w:rPr>
          <w:rFonts w:ascii="Times New Roman" w:hAnsi="Times New Roman"/>
          <w:color w:val="auto"/>
        </w:rPr>
        <w:t>（1）确保落实各项环保措施，加强环境管理，以保证污染防治达到预计效果。</w:t>
      </w:r>
    </w:p>
    <w:p>
      <w:pPr>
        <w:ind w:left="-31" w:leftChars="-13" w:firstLine="508" w:firstLineChars="212"/>
        <w:rPr>
          <w:rFonts w:ascii="Times New Roman" w:hAnsi="Times New Roman"/>
          <w:color w:val="auto"/>
        </w:rPr>
      </w:pPr>
      <w:r>
        <w:rPr>
          <w:rFonts w:ascii="Times New Roman" w:hAnsi="Times New Roman"/>
          <w:color w:val="auto"/>
        </w:rPr>
        <w:t>（2）应保持良好的通风环境，以便操作工人有良好的工作环境，根据作业现场不同的有害因素，发给作业人员适用、有效的防护用品，如面罩、手套、工作服等。</w:t>
      </w:r>
    </w:p>
    <w:p>
      <w:pPr>
        <w:ind w:left="-31" w:leftChars="-13" w:firstLine="508" w:firstLineChars="212"/>
        <w:rPr>
          <w:rFonts w:ascii="Times New Roman" w:hAnsi="Times New Roman"/>
          <w:color w:val="auto"/>
        </w:rPr>
      </w:pPr>
      <w:r>
        <w:rPr>
          <w:rFonts w:ascii="Times New Roman" w:hAnsi="Times New Roman"/>
          <w:color w:val="auto"/>
        </w:rPr>
        <w:t>（3）加强管理，强化企业职工自身的环保意识和事故风险意识。</w:t>
      </w:r>
    </w:p>
    <w:p>
      <w:pPr>
        <w:ind w:left="-31" w:leftChars="-13" w:firstLine="508" w:firstLineChars="212"/>
        <w:rPr>
          <w:rFonts w:ascii="Times New Roman" w:hAnsi="Times New Roman"/>
          <w:color w:val="auto"/>
        </w:rPr>
      </w:pPr>
      <w:r>
        <w:rPr>
          <w:rFonts w:ascii="Times New Roman" w:hAnsi="Times New Roman"/>
          <w:color w:val="auto"/>
        </w:rPr>
        <w:t>（4）各种固体废弃物要分类收集储存，即时清运处理。</w:t>
      </w:r>
    </w:p>
    <w:p>
      <w:pPr>
        <w:ind w:left="-31" w:leftChars="-13" w:firstLine="508" w:firstLineChars="212"/>
        <w:rPr>
          <w:rFonts w:ascii="Times New Roman" w:hAnsi="Times New Roman"/>
          <w:color w:val="auto"/>
        </w:rPr>
      </w:pPr>
      <w:r>
        <w:rPr>
          <w:rFonts w:ascii="Times New Roman" w:hAnsi="Times New Roman"/>
          <w:color w:val="auto"/>
        </w:rPr>
        <w:t>（5）加强职工的环保教育，提高职工的环保意识。</w:t>
      </w:r>
    </w:p>
    <w:p>
      <w:pPr>
        <w:pStyle w:val="592"/>
        <w:numPr>
          <w:ilvl w:val="0"/>
          <w:numId w:val="40"/>
        </w:numPr>
        <w:rPr>
          <w:color w:val="auto"/>
        </w:rPr>
      </w:pPr>
      <w:bookmarkStart w:id="163" w:name="_Toc37350103"/>
      <w:bookmarkStart w:id="164" w:name="_Toc323721127"/>
      <w:r>
        <w:rPr>
          <w:color w:val="auto"/>
        </w:rPr>
        <w:t>环评总结论</w:t>
      </w:r>
      <w:bookmarkEnd w:id="163"/>
      <w:bookmarkEnd w:id="164"/>
    </w:p>
    <w:bookmarkEnd w:id="84"/>
    <w:p>
      <w:pPr>
        <w:ind w:left="-31" w:leftChars="-13" w:firstLine="508" w:firstLineChars="212"/>
        <w:rPr>
          <w:rFonts w:ascii="Times New Roman" w:hAnsi="Times New Roman"/>
          <w:color w:val="auto"/>
        </w:rPr>
      </w:pPr>
      <w:r>
        <w:rPr>
          <w:rFonts w:ascii="Times New Roman" w:hAnsi="Times New Roman"/>
          <w:color w:val="auto"/>
        </w:rPr>
        <w:t>温州旭财新材料有限公司年再生利用3.2万吨废塑料生产项目选址</w:t>
      </w:r>
      <w:r>
        <w:rPr>
          <w:rFonts w:ascii="Times New Roman" w:hAnsi="Times New Roman"/>
          <w:color w:val="auto"/>
          <w:szCs w:val="24"/>
        </w:rPr>
        <w:t>位于</w:t>
      </w:r>
      <w:r>
        <w:rPr>
          <w:rFonts w:ascii="Times New Roman" w:hAnsi="Times New Roman"/>
          <w:color w:val="auto"/>
        </w:rPr>
        <w:t>温州市龙港</w:t>
      </w:r>
      <w:r>
        <w:rPr>
          <w:rFonts w:hint="eastAsia" w:ascii="Times New Roman" w:hAnsi="Times New Roman"/>
          <w:color w:val="auto"/>
        </w:rPr>
        <w:t>临港产业基地启动区东塘路385-441号内4号楼</w:t>
      </w:r>
      <w:r>
        <w:rPr>
          <w:rFonts w:ascii="Times New Roman" w:hAnsi="Times New Roman"/>
          <w:color w:val="auto"/>
        </w:rPr>
        <w:t>厂房</w:t>
      </w:r>
      <w:r>
        <w:rPr>
          <w:rFonts w:ascii="Times New Roman" w:hAnsi="Times New Roman"/>
          <w:color w:val="auto"/>
          <w:szCs w:val="24"/>
        </w:rPr>
        <w:t>，选址符合</w:t>
      </w:r>
      <w:r>
        <w:rPr>
          <w:rFonts w:hint="eastAsia" w:ascii="Times New Roman" w:hAnsi="Times New Roman"/>
          <w:color w:val="auto"/>
        </w:rPr>
        <w:t>浙江省</w:t>
      </w:r>
      <w:r>
        <w:rPr>
          <w:rFonts w:ascii="Times New Roman" w:hAnsi="Times New Roman"/>
          <w:color w:val="auto"/>
        </w:rPr>
        <w:t>环境功能区划</w:t>
      </w:r>
      <w:r>
        <w:rPr>
          <w:rFonts w:hint="eastAsia" w:ascii="Times New Roman" w:hAnsi="Times New Roman"/>
          <w:color w:val="auto"/>
          <w:szCs w:val="24"/>
        </w:rPr>
        <w:t>，符合“三线一单”控制性要求</w:t>
      </w:r>
      <w:r>
        <w:rPr>
          <w:rFonts w:ascii="Times New Roman" w:hAnsi="Times New Roman"/>
          <w:color w:val="auto"/>
          <w:szCs w:val="24"/>
        </w:rPr>
        <w:t>，符合国家产业政策；项目对生产过程进行全过程污染控制，外排污染物可实现达标排放；项目基本符合建设项目环保审批原则。</w:t>
      </w:r>
      <w:r>
        <w:rPr>
          <w:rFonts w:ascii="Times New Roman" w:hAnsi="Times New Roman"/>
          <w:color w:val="auto"/>
        </w:rPr>
        <w:t>建设单位应尽快落实本评价中提出的各项污染防治措施和建议，从环保的角度出发，本项目的建设是可行的</w:t>
      </w:r>
      <w:r>
        <w:rPr>
          <w:rFonts w:ascii="Times New Roman" w:hAnsi="Times New Roman"/>
          <w:color w:val="auto"/>
          <w:szCs w:val="24"/>
        </w:rPr>
        <w:t>。</w:t>
      </w:r>
    </w:p>
    <w:sectPr>
      <w:headerReference r:id="rId22" w:type="default"/>
      <w:footerReference r:id="rId23" w:type="default"/>
      <w:pgSz w:w="11906" w:h="16838"/>
      <w:pgMar w:top="1440" w:right="128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華康中楷體">
    <w:altName w:val="MingLiU"/>
    <w:panose1 w:val="00000000000000000000"/>
    <w:charset w:val="88"/>
    <w:family w:val="modern"/>
    <w:pitch w:val="default"/>
    <w:sig w:usb0="00000000" w:usb1="00000000" w:usb2="00000010" w:usb3="00000000" w:csb0="00100000" w:csb1="00000000"/>
  </w:font>
  <w:font w:name="Tms Rmn">
    <w:altName w:val="Segoe Print"/>
    <w:panose1 w:val="02020603040505020304"/>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Garamond">
    <w:panose1 w:val="02020404030301010803"/>
    <w:charset w:val="00"/>
    <w:family w:val="roman"/>
    <w:pitch w:val="default"/>
    <w:sig w:usb0="00000287" w:usb1="00000000" w:usb2="00000000" w:usb3="00000000" w:csb0="0000009F" w:csb1="DFD70000"/>
  </w:font>
  <w:font w:name="华康简魏碑">
    <w:altName w:val="宋体"/>
    <w:panose1 w:val="00000000000000000000"/>
    <w:charset w:val="01"/>
    <w:family w:val="roman"/>
    <w:pitch w:val="default"/>
    <w:sig w:usb0="00000000" w:usb1="00000000" w:usb2="00000000" w:usb3="00000000" w:csb0="000001FF" w:csb1="00000000"/>
  </w:font>
  <w:font w:name="Arial Narrow">
    <w:panose1 w:val="020B0606020202030204"/>
    <w:charset w:val="00"/>
    <w:family w:val="swiss"/>
    <w:pitch w:val="default"/>
    <w:sig w:usb0="00000287" w:usb1="00000800" w:usb2="00000000" w:usb3="00000000" w:csb0="2000009F" w:csb1="DFD70000"/>
  </w:font>
  <w:font w:name="华文中宋">
    <w:altName w:val="宋体"/>
    <w:panose1 w:val="00000000000000000000"/>
    <w:charset w:val="86"/>
    <w:family w:val="auto"/>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隶书">
    <w:altName w:val="微软雅黑"/>
    <w:panose1 w:val="00000000000000000000"/>
    <w:charset w:val="86"/>
    <w:family w:val="modern"/>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TimesNewRomanPSMT">
    <w:altName w:val="Times New Roman"/>
    <w:panose1 w:val="00000000000000000000"/>
    <w:charset w:val="00"/>
    <w:family w:val="roman"/>
    <w:pitch w:val="default"/>
    <w:sig w:usb0="00000000" w:usb1="00000000" w:usb2="00000000" w:usb3="00000000" w:csb0="00000001" w:csb1="00000000"/>
  </w:font>
  <w:font w:name="方正仿宋_GBK">
    <w:altName w:val="宋体"/>
    <w:panose1 w:val="00000000000000000000"/>
    <w:charset w:val="86"/>
    <w:family w:val="script"/>
    <w:pitch w:val="default"/>
    <w:sig w:usb0="00000000" w:usb1="00000000" w:usb2="00000010" w:usb3="00000000" w:csb0="003C004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0" w:firstLineChars="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right" w:pos="8789"/>
        <w:tab w:val="clear" w:pos="8306"/>
      </w:tabs>
      <w:ind w:left="1" w:leftChars="-236" w:right="-475" w:rightChars="-198" w:hanging="567" w:hangingChars="315"/>
      <w:jc w:val="center"/>
      <w:rPr>
        <w:sz w:val="24"/>
        <w:szCs w:val="21"/>
      </w:rPr>
    </w:pPr>
    <w:r>
      <w:rPr>
        <w:rStyle w:val="89"/>
        <w:rFonts w:hint="eastAsia" w:ascii="Times New Roman" w:hAnsi="Times New Roman"/>
      </w:rPr>
      <w:t xml:space="preserve">            </w:t>
    </w:r>
    <w:r>
      <w:fldChar w:fldCharType="begin"/>
    </w:r>
    <w:r>
      <w:instrText xml:space="preserve"> PAGE   \* MERGEFORMAT </w:instrText>
    </w:r>
    <w:r>
      <w:fldChar w:fldCharType="separate"/>
    </w:r>
    <w:r>
      <w:rPr>
        <w:lang w:val="zh-CN"/>
      </w:rPr>
      <w:t>117</w:t>
    </w:r>
    <w:r>
      <w:rPr>
        <w:lang w:val="zh-CN"/>
      </w:rPr>
      <w:fldChar w:fldCharType="end"/>
    </w:r>
    <w:r>
      <w:rPr>
        <w:rStyle w:val="89"/>
        <w:rFonts w:hint="eastAsia" w:ascii="Times New Roman" w:hAnsi="Times New Roma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r>
      <w:rPr>
        <w:rFonts w:hint="eastAsia"/>
      </w:rPr>
      <w:t>温州市南郊乡龙方工业区正泰电阻大楼二楼                                      47                                                    联系电话：0577-88930800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right" w:pos="8789"/>
        <w:tab w:val="clear" w:pos="8306"/>
      </w:tabs>
      <w:ind w:left="1" w:leftChars="-236" w:right="-475" w:rightChars="-198" w:hanging="567" w:hangingChars="315"/>
      <w:jc w:val="center"/>
      <w:rPr>
        <w:sz w:val="24"/>
        <w:szCs w:val="21"/>
      </w:rPr>
    </w:pPr>
    <w:r>
      <w:rPr>
        <w:rStyle w:val="89"/>
        <w:rFonts w:hint="eastAsia" w:ascii="Times New Roman" w:hAnsi="Times New Roman"/>
      </w:rPr>
      <w:t xml:space="preserve">           </w:t>
    </w:r>
    <w:r>
      <w:fldChar w:fldCharType="begin"/>
    </w:r>
    <w:r>
      <w:instrText xml:space="preserve"> PAGE   \* MERGEFORMAT </w:instrText>
    </w:r>
    <w:r>
      <w:fldChar w:fldCharType="separate"/>
    </w:r>
    <w:r>
      <w:rPr>
        <w:lang w:val="zh-CN"/>
      </w:rPr>
      <w:t>124</w:t>
    </w:r>
    <w:r>
      <w:rPr>
        <w:lang w:val="zh-CN"/>
      </w:rPr>
      <w:fldChar w:fldCharType="end"/>
    </w:r>
    <w:r>
      <w:rPr>
        <w:rStyle w:val="89"/>
        <w:rFonts w:hint="eastAsia" w:ascii="Times New Roman" w:hAnsi="Times New Roman"/>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right" w:pos="8789"/>
        <w:tab w:val="clear" w:pos="8306"/>
      </w:tabs>
      <w:ind w:left="1" w:leftChars="-236" w:right="-475" w:rightChars="-198" w:hanging="567" w:hangingChars="315"/>
      <w:jc w:val="center"/>
      <w:rPr>
        <w:sz w:val="24"/>
        <w:szCs w:val="21"/>
      </w:rPr>
    </w:pPr>
    <w:r>
      <w:rPr>
        <w:rStyle w:val="89"/>
        <w:rFonts w:hint="eastAsia" w:ascii="Times New Roman" w:hAnsi="Times New Roman"/>
      </w:rPr>
      <w:t xml:space="preserve">            </w:t>
    </w:r>
    <w:r>
      <w:fldChar w:fldCharType="begin"/>
    </w:r>
    <w:r>
      <w:instrText xml:space="preserve"> PAGE   \* MERGEFORMAT </w:instrText>
    </w:r>
    <w:r>
      <w:fldChar w:fldCharType="separate"/>
    </w:r>
    <w:r>
      <w:rPr>
        <w:lang w:val="zh-CN"/>
      </w:rPr>
      <w:t>125</w:t>
    </w:r>
    <w:r>
      <w:rPr>
        <w:lang w:val="zh-CN"/>
      </w:rPr>
      <w:fldChar w:fldCharType="end"/>
    </w:r>
    <w:r>
      <w:rPr>
        <w:rStyle w:val="89"/>
        <w:rFonts w:hint="eastAsia" w:ascii="Times New Roman" w:hAnsi="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framePr w:wrap="around" w:vAnchor="text" w:hAnchor="margin" w:xAlign="center" w:y="1"/>
      <w:ind w:firstLine="360"/>
      <w:rPr>
        <w:rStyle w:val="89"/>
      </w:rPr>
    </w:pPr>
    <w:r>
      <w:fldChar w:fldCharType="begin"/>
    </w:r>
    <w:r>
      <w:rPr>
        <w:rStyle w:val="89"/>
      </w:rPr>
      <w:instrText xml:space="preserve">PAGE  </w:instrText>
    </w:r>
    <w:r>
      <w:fldChar w:fldCharType="end"/>
    </w:r>
  </w:p>
  <w:p>
    <w:pPr>
      <w:pStyle w:val="5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0" w:firstLineChars="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framePr w:wrap="around" w:vAnchor="text" w:hAnchor="margin" w:xAlign="center" w:y="1"/>
      <w:ind w:firstLine="360"/>
      <w:rPr>
        <w:rStyle w:val="89"/>
      </w:rPr>
    </w:pPr>
    <w:r>
      <w:fldChar w:fldCharType="begin"/>
    </w:r>
    <w:r>
      <w:rPr>
        <w:rStyle w:val="89"/>
      </w:rPr>
      <w:instrText xml:space="preserve">PAGE  </w:instrText>
    </w:r>
    <w:r>
      <w:fldChar w:fldCharType="separate"/>
    </w:r>
    <w:r>
      <w:rPr>
        <w:rStyle w:val="89"/>
      </w:rPr>
      <w:t>29</w:t>
    </w:r>
    <w:r>
      <w:fldChar w:fldCharType="end"/>
    </w:r>
  </w:p>
  <w:p>
    <w:pPr>
      <w:pStyle w:val="51"/>
      <w:ind w:firstLine="0" w:firstLineChars="0"/>
      <w:jc w:val="center"/>
    </w:pPr>
    <w:r>
      <w:rPr>
        <w:rStyle w:val="89"/>
        <w:rFonts w:hint="eastAsia" w:ascii="Times New Roman" w:hAnsi="Times New Roma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0" w:firstLineChars="0"/>
      <w:jc w:val="center"/>
    </w:pPr>
    <w:r>
      <w:rPr>
        <w:rStyle w:val="89"/>
        <w:rFonts w:hint="eastAsia" w:ascii="Times New Roman" w:hAnsi="Times New Roman"/>
      </w:rPr>
      <w:t xml:space="preserve">  </w:t>
    </w:r>
    <w:r>
      <w:fldChar w:fldCharType="begin"/>
    </w:r>
    <w:r>
      <w:instrText xml:space="preserve"> PAGE   \* MERGEFORMAT </w:instrText>
    </w:r>
    <w:r>
      <w:fldChar w:fldCharType="separate"/>
    </w:r>
    <w:r>
      <w:rPr>
        <w:lang w:val="zh-CN"/>
      </w:rPr>
      <w:t>30</w:t>
    </w:r>
    <w:r>
      <w:rPr>
        <w:lang w:val="zh-CN"/>
      </w:rPr>
      <w:fldChar w:fldCharType="end"/>
    </w:r>
    <w:r>
      <w:rPr>
        <w:rStyle w:val="89"/>
        <w:rFonts w:hint="eastAsia" w:ascii="Times New Roman" w:hAnsi="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0" w:firstLineChars="0"/>
      <w:jc w:val="center"/>
    </w:pPr>
    <w:r>
      <w:rPr>
        <w:rStyle w:val="89"/>
        <w:rFonts w:hint="eastAsia" w:ascii="Times New Roman" w:hAnsi="Times New Roman"/>
      </w:rPr>
      <w:t xml:space="preserve">         </w:t>
    </w:r>
    <w:r>
      <w:fldChar w:fldCharType="begin"/>
    </w:r>
    <w:r>
      <w:instrText xml:space="preserve"> PAGE   \* MERGEFORMAT </w:instrText>
    </w:r>
    <w:r>
      <w:fldChar w:fldCharType="separate"/>
    </w:r>
    <w:r>
      <w:rPr>
        <w:lang w:val="zh-CN"/>
      </w:rPr>
      <w:t>60</w:t>
    </w:r>
    <w:r>
      <w:rPr>
        <w:lang w:val="zh-CN"/>
      </w:rPr>
      <w:fldChar w:fldCharType="end"/>
    </w:r>
    <w:r>
      <w:rPr>
        <w:rStyle w:val="89"/>
        <w:rFonts w:hint="eastAsia" w:ascii="Times New Roman" w:hAnsi="Times New Roma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right" w:pos="8789"/>
        <w:tab w:val="clear" w:pos="8306"/>
      </w:tabs>
      <w:ind w:left="1" w:leftChars="-236" w:right="-475" w:rightChars="-198" w:hanging="567" w:hangingChars="315"/>
      <w:jc w:val="center"/>
      <w:rPr>
        <w:sz w:val="24"/>
        <w:szCs w:val="21"/>
      </w:rPr>
    </w:pPr>
    <w:r>
      <w:rPr>
        <w:rStyle w:val="89"/>
        <w:rFonts w:hint="eastAsia" w:ascii="Times New Roman" w:hAnsi="Times New Roman"/>
      </w:rPr>
      <w:t xml:space="preserve">       </w:t>
    </w:r>
    <w:r>
      <w:fldChar w:fldCharType="begin"/>
    </w:r>
    <w:r>
      <w:instrText xml:space="preserve"> PAGE   \* MERGEFORMAT </w:instrText>
    </w:r>
    <w:r>
      <w:fldChar w:fldCharType="separate"/>
    </w:r>
    <w:r>
      <w:rPr>
        <w:lang w:val="zh-CN"/>
      </w:rPr>
      <w:t>75</w:t>
    </w:r>
    <w:r>
      <w:rPr>
        <w:lang w:val="zh-CN"/>
      </w:rPr>
      <w:fldChar w:fldCharType="end"/>
    </w:r>
    <w:r>
      <w:rPr>
        <w:rStyle w:val="89"/>
        <w:rFonts w:hint="eastAsia" w:ascii="Times New Roman" w:hAnsi="Times New Roma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0" w:firstLineChars="0"/>
      <w:jc w:val="both"/>
    </w:pPr>
    <w:r>
      <w:rPr>
        <w:rStyle w:val="89"/>
        <w:rFonts w:hint="eastAsia" w:ascii="Times New Roman" w:hAnsi="Times New Roman"/>
      </w:rPr>
      <w:t xml:space="preserve">                                               </w:t>
    </w:r>
    <w:r>
      <w:fldChar w:fldCharType="begin"/>
    </w:r>
    <w:r>
      <w:instrText xml:space="preserve"> PAGE   \* MERGEFORMAT </w:instrText>
    </w:r>
    <w:r>
      <w:fldChar w:fldCharType="separate"/>
    </w:r>
    <w:r>
      <w:rPr>
        <w:lang w:val="zh-CN"/>
      </w:rPr>
      <w:t>77</w:t>
    </w:r>
    <w:r>
      <w:rPr>
        <w:lang w:val="zh-CN"/>
      </w:rPr>
      <w:fldChar w:fldCharType="end"/>
    </w:r>
    <w:r>
      <w:rPr>
        <w:rStyle w:val="89"/>
        <w:rFonts w:hint="eastAsia" w:ascii="Times New Roman" w:hAnsi="Times New Roma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thinThickSmallGap" w:color="auto" w:sz="18" w:space="0"/>
      </w:pBdr>
      <w:ind w:firstLine="480"/>
    </w:pPr>
    <w:r>
      <w:t>温州旭财新材料有限公司年再生利用3.2万吨废塑料生产项目</w:t>
    </w:r>
    <w:r>
      <w:rPr>
        <w:szCs w:val="21"/>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thinThickSmallGap" w:color="auto" w:sz="18" w:space="0"/>
      </w:pBdr>
      <w:ind w:firstLine="480"/>
    </w:pPr>
    <w:r>
      <w:t>温州旭财新材料有限公司年再生利用3.2万吨废塑料生产项目</w:t>
    </w:r>
    <w:r>
      <w:rPr>
        <w:szCs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thinThickSmallGap" w:color="auto" w:sz="18" w:space="0"/>
      </w:pBdr>
      <w:ind w:firstLine="480"/>
    </w:pPr>
    <w:r>
      <w:t>温州旭财新材料有限公司年再生利用3.2万吨废塑料生产项目</w:t>
    </w:r>
    <w:r>
      <w:rPr>
        <w:szCs w:val="21"/>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thickThinSmallGap" w:color="auto" w:sz="12" w:space="1"/>
      </w:pBdr>
    </w:pPr>
    <w:r>
      <w:t>温州旭财新材料有限公司年再生利用3.2万吨废塑料生产项目</w:t>
    </w:r>
    <w:r>
      <w:rPr>
        <w:szCs w:val="21"/>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thinThickSmallGap" w:color="auto" w:sz="18" w:space="0"/>
      </w:pBdr>
      <w:ind w:firstLine="480"/>
    </w:pPr>
    <w:r>
      <w:t>温州旭财新材料有限公司年再生利用3.2万吨废塑料生产项目</w:t>
    </w:r>
    <w:r>
      <w:rPr>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40A3"/>
    <w:multiLevelType w:val="multilevel"/>
    <w:tmpl w:val="09F640A3"/>
    <w:lvl w:ilvl="0" w:tentative="0">
      <w:start w:val="1"/>
      <w:numFmt w:val="decimal"/>
      <w:lvlText w:val="3.13.%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
    <w:nsid w:val="0BAF576C"/>
    <w:multiLevelType w:val="multilevel"/>
    <w:tmpl w:val="0BAF576C"/>
    <w:lvl w:ilvl="0" w:tentative="0">
      <w:start w:val="1"/>
      <w:numFmt w:val="decimal"/>
      <w:suff w:val="nothing"/>
      <w:lvlText w:val="9.%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12782C16"/>
    <w:multiLevelType w:val="multilevel"/>
    <w:tmpl w:val="12782C16"/>
    <w:lvl w:ilvl="0" w:tentative="0">
      <w:start w:val="1"/>
      <w:numFmt w:val="decimal"/>
      <w:lvlText w:val="2.%1"/>
      <w:lvlJc w:val="left"/>
      <w:pPr>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42809E6"/>
    <w:multiLevelType w:val="multilevel"/>
    <w:tmpl w:val="142809E6"/>
    <w:lvl w:ilvl="0" w:tentative="0">
      <w:start w:val="1"/>
      <w:numFmt w:val="decimal"/>
      <w:suff w:val="space"/>
      <w:lvlText w:val="2.3.%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143574B4"/>
    <w:multiLevelType w:val="multilevel"/>
    <w:tmpl w:val="143574B4"/>
    <w:lvl w:ilvl="0" w:tentative="0">
      <w:start w:val="1"/>
      <w:numFmt w:val="decimal"/>
      <w:suff w:val="nothing"/>
      <w:lvlText w:val="3.%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158A785C"/>
    <w:multiLevelType w:val="multilevel"/>
    <w:tmpl w:val="158A785C"/>
    <w:lvl w:ilvl="0" w:tentative="0">
      <w:start w:val="1"/>
      <w:numFmt w:val="decimal"/>
      <w:suff w:val="nothing"/>
      <w:lvlText w:val="（%1）"/>
      <w:lvlJc w:val="left"/>
      <w:pPr>
        <w:ind w:left="0" w:firstLine="2"/>
      </w:pPr>
      <w:rPr>
        <w:rFonts w:hint="default" w:ascii="Times New Roman" w:hAnsi="Times New Roman"/>
        <w:spacing w:val="-20"/>
      </w:r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6">
    <w:nsid w:val="160E58F8"/>
    <w:multiLevelType w:val="multilevel"/>
    <w:tmpl w:val="160E58F8"/>
    <w:lvl w:ilvl="0" w:tentative="0">
      <w:start w:val="1"/>
      <w:numFmt w:val="decimal"/>
      <w:lvlText w:val="3.14.%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1BE9760B"/>
    <w:multiLevelType w:val="multilevel"/>
    <w:tmpl w:val="1BE9760B"/>
    <w:lvl w:ilvl="0" w:tentative="0">
      <w:start w:val="1"/>
      <w:numFmt w:val="decimal"/>
      <w:lvlText w:val="3.15.%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
    <w:nsid w:val="1C2435F0"/>
    <w:multiLevelType w:val="multilevel"/>
    <w:tmpl w:val="1C2435F0"/>
    <w:lvl w:ilvl="0" w:tentative="0">
      <w:start w:val="1"/>
      <w:numFmt w:val="decimal"/>
      <w:pStyle w:val="413"/>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C8968F3"/>
    <w:multiLevelType w:val="multilevel"/>
    <w:tmpl w:val="1C8968F3"/>
    <w:lvl w:ilvl="0" w:tentative="0">
      <w:start w:val="1"/>
      <w:numFmt w:val="decimal"/>
      <w:lvlText w:val="5.2.%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1F2A4AD2"/>
    <w:multiLevelType w:val="multilevel"/>
    <w:tmpl w:val="1F2A4AD2"/>
    <w:lvl w:ilvl="0" w:tentative="0">
      <w:start w:val="1"/>
      <w:numFmt w:val="decimal"/>
      <w:lvlText w:val="表3-%1"/>
      <w:lvlJc w:val="center"/>
      <w:pPr>
        <w:tabs>
          <w:tab w:val="left" w:pos="0"/>
        </w:tabs>
        <w:ind w:left="420" w:hanging="420"/>
      </w:pPr>
      <w:rPr>
        <w:rFonts w:hint="eastAsia"/>
        <w:b/>
        <w:color w:val="auto"/>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22721DF6"/>
    <w:multiLevelType w:val="multilevel"/>
    <w:tmpl w:val="22721DF6"/>
    <w:lvl w:ilvl="0" w:tentative="0">
      <w:start w:val="1"/>
      <w:numFmt w:val="decimal"/>
      <w:lvlText w:val="表9-%1"/>
      <w:lvlJc w:val="left"/>
      <w:pPr>
        <w:tabs>
          <w:tab w:val="left" w:pos="0"/>
        </w:tabs>
        <w:ind w:left="420" w:hanging="420"/>
      </w:pPr>
      <w:rPr>
        <w:rFonts w:hint="eastAsia"/>
        <w:b/>
        <w:lang w:val="en-U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2">
    <w:nsid w:val="245226C6"/>
    <w:multiLevelType w:val="multilevel"/>
    <w:tmpl w:val="245226C6"/>
    <w:lvl w:ilvl="0" w:tentative="0">
      <w:start w:val="1"/>
      <w:numFmt w:val="decimal"/>
      <w:lvlText w:val="7.%1"/>
      <w:lvlJc w:val="left"/>
      <w:pPr>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C55064C"/>
    <w:multiLevelType w:val="multilevel"/>
    <w:tmpl w:val="2C55064C"/>
    <w:lvl w:ilvl="0" w:tentative="0">
      <w:start w:val="1"/>
      <w:numFmt w:val="none"/>
      <w:suff w:val="nothing"/>
      <w:lvlText w:val="4.2.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none"/>
      <w:lvlText w:val="4.2.1"/>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
    <w:nsid w:val="2CA160EB"/>
    <w:multiLevelType w:val="multilevel"/>
    <w:tmpl w:val="2CA160EB"/>
    <w:lvl w:ilvl="0" w:tentative="0">
      <w:start w:val="1"/>
      <w:numFmt w:val="decimal"/>
      <w:lvlText w:val="表8-%1"/>
      <w:lvlJc w:val="center"/>
      <w:pPr>
        <w:tabs>
          <w:tab w:val="left" w:pos="0"/>
        </w:tabs>
        <w:ind w:left="420" w:hanging="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5">
    <w:nsid w:val="30282A5C"/>
    <w:multiLevelType w:val="multilevel"/>
    <w:tmpl w:val="30282A5C"/>
    <w:lvl w:ilvl="0" w:tentative="0">
      <w:start w:val="1"/>
      <w:numFmt w:val="decimal"/>
      <w:lvlText w:val="表4-%1"/>
      <w:lvlJc w:val="left"/>
      <w:pPr>
        <w:tabs>
          <w:tab w:val="left" w:pos="0"/>
        </w:tabs>
        <w:ind w:left="420" w:hanging="420"/>
      </w:pPr>
      <w:rPr>
        <w:rFonts w:hint="eastAsia" w:ascii="Times New Roman" w:hAnsi="Times New Roman" w:cs="Times New Roman"/>
        <w:color w:val="auto"/>
        <w:lang w:val="en-U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37B42828"/>
    <w:multiLevelType w:val="multilevel"/>
    <w:tmpl w:val="37B42828"/>
    <w:lvl w:ilvl="0" w:tentative="0">
      <w:start w:val="1"/>
      <w:numFmt w:val="decimal"/>
      <w:lvlText w:val="3.11.%1"/>
      <w:lvlJc w:val="left"/>
      <w:pPr>
        <w:ind w:left="0" w:firstLine="0"/>
      </w:pPr>
      <w:rPr>
        <w:rFonts w:hint="eastAsia"/>
        <w:b/>
        <w:spacing w:val="-20"/>
        <w:w w:val="100"/>
        <w:kern w:val="2"/>
        <w:position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7">
    <w:nsid w:val="3AA8032A"/>
    <w:multiLevelType w:val="multilevel"/>
    <w:tmpl w:val="3AA8032A"/>
    <w:lvl w:ilvl="0" w:tentative="0">
      <w:start w:val="1"/>
      <w:numFmt w:val="decimal"/>
      <w:lvlText w:val="5.%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3CDA305B"/>
    <w:multiLevelType w:val="multilevel"/>
    <w:tmpl w:val="3CDA305B"/>
    <w:lvl w:ilvl="0" w:tentative="0">
      <w:start w:val="1"/>
      <w:numFmt w:val="decimal"/>
      <w:suff w:val="nothing"/>
      <w:lvlText w:val="8.%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9">
    <w:nsid w:val="4530138D"/>
    <w:multiLevelType w:val="multilevel"/>
    <w:tmpl w:val="4530138D"/>
    <w:lvl w:ilvl="0" w:tentative="0">
      <w:start w:val="1"/>
      <w:numFmt w:val="decimal"/>
      <w:lvlText w:val="3.10.%1"/>
      <w:lvlJc w:val="left"/>
      <w:pPr>
        <w:ind w:left="0" w:firstLine="0"/>
      </w:pPr>
      <w:rPr>
        <w:rFonts w:hint="eastAsia"/>
        <w:b/>
        <w:spacing w:val="-20"/>
        <w:kern w:val="0"/>
        <w:position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0">
    <w:nsid w:val="47055559"/>
    <w:multiLevelType w:val="multilevel"/>
    <w:tmpl w:val="47055559"/>
    <w:lvl w:ilvl="0" w:tentative="0">
      <w:start w:val="1"/>
      <w:numFmt w:val="decimal"/>
      <w:suff w:val="nothing"/>
      <w:lvlText w:val="4.3.%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1">
    <w:nsid w:val="4DD34F61"/>
    <w:multiLevelType w:val="multilevel"/>
    <w:tmpl w:val="4DD34F61"/>
    <w:lvl w:ilvl="0" w:tentative="0">
      <w:start w:val="1"/>
      <w:numFmt w:val="decimal"/>
      <w:suff w:val="nothing"/>
      <w:lvlText w:val="（%1）"/>
      <w:lvlJc w:val="left"/>
      <w:pPr>
        <w:ind w:left="-2" w:firstLine="2"/>
      </w:pPr>
      <w:rPr>
        <w:rFonts w:hint="default" w:ascii="Times New Roman" w:hAnsi="Times New Roman"/>
        <w:color w:val="auto"/>
        <w:spacing w:val="-20"/>
      </w:r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22">
    <w:nsid w:val="4E6F2BA8"/>
    <w:multiLevelType w:val="multilevel"/>
    <w:tmpl w:val="4E6F2BA8"/>
    <w:lvl w:ilvl="0" w:tentative="0">
      <w:start w:val="1"/>
      <w:numFmt w:val="decimal"/>
      <w:lvlText w:val="表6-%1"/>
      <w:lvlJc w:val="left"/>
      <w:pPr>
        <w:tabs>
          <w:tab w:val="left" w:pos="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1062B90"/>
    <w:multiLevelType w:val="multilevel"/>
    <w:tmpl w:val="51062B90"/>
    <w:lvl w:ilvl="0" w:tentative="0">
      <w:start w:val="1"/>
      <w:numFmt w:val="decimal"/>
      <w:lvlText w:val="5.2.6.%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4">
    <w:nsid w:val="57F9248A"/>
    <w:multiLevelType w:val="multilevel"/>
    <w:tmpl w:val="57F9248A"/>
    <w:lvl w:ilvl="0" w:tentative="0">
      <w:start w:val="1"/>
      <w:numFmt w:val="decimal"/>
      <w:suff w:val="nothing"/>
      <w:lvlText w:val="4.1.%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5">
    <w:nsid w:val="5C740BCB"/>
    <w:multiLevelType w:val="multilevel"/>
    <w:tmpl w:val="5C740BCB"/>
    <w:lvl w:ilvl="0" w:tentative="0">
      <w:start w:val="1"/>
      <w:numFmt w:val="decimal"/>
      <w:lvlText w:val="3.11.1.%1"/>
      <w:lvlJc w:val="left"/>
      <w:pPr>
        <w:ind w:left="0" w:firstLine="0"/>
      </w:pPr>
      <w:rPr>
        <w:rFonts w:hint="eastAsia"/>
        <w:b/>
        <w:spacing w:val="-20"/>
        <w:w w:val="100"/>
        <w:kern w:val="2"/>
        <w:position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6">
    <w:nsid w:val="6184432D"/>
    <w:multiLevelType w:val="multilevel"/>
    <w:tmpl w:val="6184432D"/>
    <w:lvl w:ilvl="0" w:tentative="0">
      <w:start w:val="1"/>
      <w:numFmt w:val="decimal"/>
      <w:lvlText w:val="3.%14"/>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1F00A26"/>
    <w:multiLevelType w:val="multilevel"/>
    <w:tmpl w:val="61F00A26"/>
    <w:lvl w:ilvl="0" w:tentative="0">
      <w:start w:val="1"/>
      <w:numFmt w:val="decimal"/>
      <w:suff w:val="nothing"/>
      <w:lvlText w:val="6.1.%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8">
    <w:nsid w:val="629235EC"/>
    <w:multiLevelType w:val="multilevel"/>
    <w:tmpl w:val="629235EC"/>
    <w:lvl w:ilvl="0" w:tentative="0">
      <w:start w:val="1"/>
      <w:numFmt w:val="decimal"/>
      <w:suff w:val="space"/>
      <w:lvlText w:val="2.2.%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9">
    <w:nsid w:val="633E0030"/>
    <w:multiLevelType w:val="multilevel"/>
    <w:tmpl w:val="633E0030"/>
    <w:lvl w:ilvl="0" w:tentative="0">
      <w:start w:val="1"/>
      <w:numFmt w:val="decimal"/>
      <w:suff w:val="nothing"/>
      <w:lvlText w:val="9.12.%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0">
    <w:nsid w:val="64677F73"/>
    <w:multiLevelType w:val="multilevel"/>
    <w:tmpl w:val="64677F73"/>
    <w:lvl w:ilvl="0" w:tentative="0">
      <w:start w:val="1"/>
      <w:numFmt w:val="decimal"/>
      <w:suff w:val="space"/>
      <w:lvlText w:val="2.4.%1"/>
      <w:lvlJc w:val="left"/>
      <w:pPr>
        <w:ind w:left="0" w:firstLine="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1">
    <w:nsid w:val="666D3C52"/>
    <w:multiLevelType w:val="multilevel"/>
    <w:tmpl w:val="666D3C52"/>
    <w:lvl w:ilvl="0" w:tentative="0">
      <w:start w:val="1"/>
      <w:numFmt w:val="decimal"/>
      <w:pStyle w:val="438"/>
      <w:lvlText w:val="第%1章 "/>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88D44A0"/>
    <w:multiLevelType w:val="multilevel"/>
    <w:tmpl w:val="688D44A0"/>
    <w:lvl w:ilvl="0" w:tentative="0">
      <w:start w:val="1"/>
      <w:numFmt w:val="decimal"/>
      <w:lvlText w:val="6.%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68BB104A"/>
    <w:multiLevelType w:val="multilevel"/>
    <w:tmpl w:val="68BB104A"/>
    <w:lvl w:ilvl="0" w:tentative="0">
      <w:start w:val="1"/>
      <w:numFmt w:val="decimal"/>
      <w:lvlText w:val="%1、"/>
      <w:lvlJc w:val="left"/>
      <w:pPr>
        <w:ind w:left="720" w:hanging="720"/>
      </w:pPr>
      <w:rPr>
        <w:rFonts w:hint="default"/>
      </w:rPr>
    </w:lvl>
    <w:lvl w:ilvl="1" w:tentative="0">
      <w:start w:val="1"/>
      <w:numFmt w:val="decimal"/>
      <w:lvlText w:val="2.%2"/>
      <w:lvlJc w:val="left"/>
      <w:pPr>
        <w:ind w:left="840" w:hanging="420"/>
      </w:pPr>
      <w:rPr>
        <w:rFonts w:hint="eastAsia"/>
      </w:rPr>
    </w:lvl>
    <w:lvl w:ilvl="2" w:tentative="0">
      <w:start w:val="1"/>
      <w:numFmt w:val="decimal"/>
      <w:pStyle w:val="592"/>
      <w:suff w:val="space"/>
      <w:lvlText w:val="1.%3"/>
      <w:lvlJc w:val="left"/>
      <w:pPr>
        <w:ind w:left="420" w:hanging="42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E493028"/>
    <w:multiLevelType w:val="multilevel"/>
    <w:tmpl w:val="6E493028"/>
    <w:lvl w:ilvl="0" w:tentative="0">
      <w:start w:val="1"/>
      <w:numFmt w:val="decimal"/>
      <w:lvlText w:val="4.%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6F4B6BC5"/>
    <w:multiLevelType w:val="multilevel"/>
    <w:tmpl w:val="6F4B6BC5"/>
    <w:lvl w:ilvl="0" w:tentative="0">
      <w:start w:val="1"/>
      <w:numFmt w:val="decimal"/>
      <w:suff w:val="space"/>
      <w:lvlText w:val="2.%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suff w:val="space"/>
      <w:lvlText w:val="2.1.%4"/>
      <w:lvlJc w:val="left"/>
      <w:pPr>
        <w:ind w:left="1680" w:hanging="420"/>
      </w:pPr>
      <w:rPr>
        <w:rFonts w:hint="eastAsia"/>
      </w:rPr>
    </w:lvl>
    <w:lvl w:ilvl="4" w:tentative="0">
      <w:start w:val="1"/>
      <w:numFmt w:val="decimalEnclosedCircle"/>
      <w:lvlText w:val="%5"/>
      <w:lvlJc w:val="left"/>
      <w:pPr>
        <w:ind w:left="2040" w:hanging="360"/>
      </w:pPr>
      <w:rPr>
        <w:rFonts w:hint="default" w:hAnsi="宋体"/>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47B5683"/>
    <w:multiLevelType w:val="multilevel"/>
    <w:tmpl w:val="747B5683"/>
    <w:lvl w:ilvl="0" w:tentative="0">
      <w:start w:val="1"/>
      <w:numFmt w:val="decimal"/>
      <w:lvlText w:val="表2-%1"/>
      <w:lvlJc w:val="center"/>
      <w:pPr>
        <w:tabs>
          <w:tab w:val="left" w:pos="0"/>
        </w:tabs>
        <w:ind w:left="420" w:hanging="420"/>
      </w:pPr>
      <w:rPr>
        <w:rFonts w:hint="eastAsia"/>
        <w:b/>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779A16BF"/>
    <w:multiLevelType w:val="multilevel"/>
    <w:tmpl w:val="779A16BF"/>
    <w:lvl w:ilvl="0" w:tentative="0">
      <w:start w:val="1"/>
      <w:numFmt w:val="none"/>
      <w:lvlText w:val="2.2.6.1"/>
      <w:lvlJc w:val="left"/>
      <w:pPr>
        <w:tabs>
          <w:tab w:val="left" w:pos="0"/>
        </w:tabs>
        <w:ind w:left="0" w:firstLine="0"/>
      </w:pPr>
      <w:rPr>
        <w:rFonts w:hint="eastAsia"/>
      </w:rPr>
    </w:lvl>
    <w:lvl w:ilvl="1" w:tentative="0">
      <w:start w:val="1"/>
      <w:numFmt w:val="decimal"/>
      <w:lvlText w:val="2.%2"/>
      <w:lvlJc w:val="left"/>
      <w:pPr>
        <w:tabs>
          <w:tab w:val="left" w:pos="480"/>
        </w:tabs>
        <w:ind w:left="480" w:firstLine="0"/>
      </w:pPr>
      <w:rPr>
        <w:rFonts w:hint="eastAsia"/>
      </w:rPr>
    </w:lvl>
    <w:lvl w:ilvl="2" w:tentative="0">
      <w:start w:val="1"/>
      <w:numFmt w:val="decimal"/>
      <w:lvlText w:val="%1.%2.%3"/>
      <w:lvlJc w:val="left"/>
      <w:pPr>
        <w:tabs>
          <w:tab w:val="left" w:pos="480"/>
        </w:tabs>
        <w:ind w:left="480" w:firstLine="0"/>
      </w:pPr>
      <w:rPr>
        <w:rFonts w:hint="eastAsia"/>
      </w:rPr>
    </w:lvl>
    <w:lvl w:ilvl="3" w:tentative="0">
      <w:start w:val="1"/>
      <w:numFmt w:val="decimal"/>
      <w:pStyle w:val="682"/>
      <w:lvlText w:val="2.2.6.%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38">
    <w:nsid w:val="785C3CA3"/>
    <w:multiLevelType w:val="multilevel"/>
    <w:tmpl w:val="785C3CA3"/>
    <w:lvl w:ilvl="0" w:tentative="0">
      <w:start w:val="1"/>
      <w:numFmt w:val="decimal"/>
      <w:suff w:val="nothing"/>
      <w:lvlText w:val="8.4.%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9">
    <w:nsid w:val="78B33A3C"/>
    <w:multiLevelType w:val="multilevel"/>
    <w:tmpl w:val="78B33A3C"/>
    <w:lvl w:ilvl="0" w:tentative="0">
      <w:start w:val="1"/>
      <w:numFmt w:val="decimal"/>
      <w:suff w:val="nothing"/>
      <w:lvlText w:val="（%1）"/>
      <w:lvlJc w:val="left"/>
      <w:pPr>
        <w:ind w:left="0" w:firstLine="2"/>
      </w:pPr>
      <w:rPr>
        <w:rFonts w:hint="default" w:ascii="Times New Roman" w:hAnsi="Times New Roman"/>
        <w:spacing w:val="-20"/>
        <w:lang w:val="en-US"/>
      </w:r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40">
    <w:nsid w:val="78F7782E"/>
    <w:multiLevelType w:val="multilevel"/>
    <w:tmpl w:val="78F7782E"/>
    <w:lvl w:ilvl="0" w:tentative="0">
      <w:start w:val="1"/>
      <w:numFmt w:val="decimal"/>
      <w:lvlText w:val="3.%15"/>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1"/>
  </w:num>
  <w:num w:numId="3">
    <w:abstractNumId w:val="33"/>
  </w:num>
  <w:num w:numId="4">
    <w:abstractNumId w:val="37"/>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5"/>
  </w:num>
  <w:num w:numId="8">
    <w:abstractNumId w:val="5"/>
  </w:num>
  <w:num w:numId="9">
    <w:abstractNumId w:val="21"/>
  </w:num>
  <w:num w:numId="10">
    <w:abstractNumId w:val="39"/>
  </w:num>
  <w:num w:numId="11">
    <w:abstractNumId w:val="28"/>
  </w:num>
  <w:num w:numId="12">
    <w:abstractNumId w:val="36"/>
  </w:num>
  <w:num w:numId="13">
    <w:abstractNumId w:val="3"/>
  </w:num>
  <w:num w:numId="14">
    <w:abstractNumId w:val="30"/>
  </w:num>
  <w:num w:numId="15">
    <w:abstractNumId w:val="4"/>
  </w:num>
  <w:num w:numId="16">
    <w:abstractNumId w:val="10"/>
  </w:num>
  <w:num w:numId="17">
    <w:abstractNumId w:val="19"/>
  </w:num>
  <w:num w:numId="18">
    <w:abstractNumId w:val="16"/>
  </w:num>
  <w:num w:numId="19">
    <w:abstractNumId w:val="25"/>
  </w:num>
  <w:num w:numId="20">
    <w:abstractNumId w:val="0"/>
  </w:num>
  <w:num w:numId="21">
    <w:abstractNumId w:val="26"/>
  </w:num>
  <w:num w:numId="22">
    <w:abstractNumId w:val="6"/>
  </w:num>
  <w:num w:numId="23">
    <w:abstractNumId w:val="40"/>
  </w:num>
  <w:num w:numId="24">
    <w:abstractNumId w:val="7"/>
  </w:num>
  <w:num w:numId="25">
    <w:abstractNumId w:val="34"/>
  </w:num>
  <w:num w:numId="26">
    <w:abstractNumId w:val="24"/>
  </w:num>
  <w:num w:numId="27">
    <w:abstractNumId w:val="13"/>
  </w:num>
  <w:num w:numId="28">
    <w:abstractNumId w:val="20"/>
  </w:num>
  <w:num w:numId="29">
    <w:abstractNumId w:val="15"/>
  </w:num>
  <w:num w:numId="30">
    <w:abstractNumId w:val="17"/>
  </w:num>
  <w:num w:numId="31">
    <w:abstractNumId w:val="9"/>
  </w:num>
  <w:num w:numId="32">
    <w:abstractNumId w:val="23"/>
  </w:num>
  <w:num w:numId="33">
    <w:abstractNumId w:val="32"/>
  </w:num>
  <w:num w:numId="34">
    <w:abstractNumId w:val="27"/>
  </w:num>
  <w:num w:numId="35">
    <w:abstractNumId w:val="22"/>
  </w:num>
  <w:num w:numId="36">
    <w:abstractNumId w:val="12"/>
  </w:num>
  <w:num w:numId="37">
    <w:abstractNumId w:val="18"/>
  </w:num>
  <w:num w:numId="38">
    <w:abstractNumId w:val="14"/>
  </w:num>
  <w:num w:numId="39">
    <w:abstractNumId w:val="38"/>
  </w:num>
  <w:num w:numId="40">
    <w:abstractNumId w:val="1"/>
  </w:num>
  <w:num w:numId="41">
    <w:abstractNumId w:val="11"/>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bordersDoNotSurroundHeader w:val="1"/>
  <w:bordersDoNotSurroundFooter w:val="1"/>
  <w:hideSpellingErrors/>
  <w:documentProtection w:enforcement="0"/>
  <w:defaultTabStop w:val="0"/>
  <w:drawingGridHorizontalSpacing w:val="120"/>
  <w:drawingGridVerticalSpacing w:val="163"/>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0349"/>
    <w:rsid w:val="00000816"/>
    <w:rsid w:val="00000982"/>
    <w:rsid w:val="00000E4A"/>
    <w:rsid w:val="00001FA2"/>
    <w:rsid w:val="00001FFD"/>
    <w:rsid w:val="00002260"/>
    <w:rsid w:val="00002927"/>
    <w:rsid w:val="00002AEB"/>
    <w:rsid w:val="00002C37"/>
    <w:rsid w:val="00002E46"/>
    <w:rsid w:val="00003154"/>
    <w:rsid w:val="00003277"/>
    <w:rsid w:val="00003552"/>
    <w:rsid w:val="00003627"/>
    <w:rsid w:val="000036EF"/>
    <w:rsid w:val="000037BD"/>
    <w:rsid w:val="00003954"/>
    <w:rsid w:val="00003ABC"/>
    <w:rsid w:val="00003E5A"/>
    <w:rsid w:val="00003F14"/>
    <w:rsid w:val="00003F63"/>
    <w:rsid w:val="00004012"/>
    <w:rsid w:val="000042B7"/>
    <w:rsid w:val="0000440A"/>
    <w:rsid w:val="00005041"/>
    <w:rsid w:val="000058E1"/>
    <w:rsid w:val="00005A4D"/>
    <w:rsid w:val="00005FEF"/>
    <w:rsid w:val="000060A0"/>
    <w:rsid w:val="0000659A"/>
    <w:rsid w:val="00006779"/>
    <w:rsid w:val="00006799"/>
    <w:rsid w:val="00006E57"/>
    <w:rsid w:val="00006ED6"/>
    <w:rsid w:val="00006F65"/>
    <w:rsid w:val="00006FE7"/>
    <w:rsid w:val="00007271"/>
    <w:rsid w:val="0000762B"/>
    <w:rsid w:val="0000774B"/>
    <w:rsid w:val="00007941"/>
    <w:rsid w:val="00007BE8"/>
    <w:rsid w:val="00007C10"/>
    <w:rsid w:val="00007E1C"/>
    <w:rsid w:val="00007FE3"/>
    <w:rsid w:val="00010147"/>
    <w:rsid w:val="00010804"/>
    <w:rsid w:val="000108E8"/>
    <w:rsid w:val="00010E6F"/>
    <w:rsid w:val="00010F54"/>
    <w:rsid w:val="00011729"/>
    <w:rsid w:val="000117C3"/>
    <w:rsid w:val="000123E6"/>
    <w:rsid w:val="000124F4"/>
    <w:rsid w:val="000126B1"/>
    <w:rsid w:val="00012753"/>
    <w:rsid w:val="00012D6B"/>
    <w:rsid w:val="00013CD2"/>
    <w:rsid w:val="00013E88"/>
    <w:rsid w:val="00013F02"/>
    <w:rsid w:val="000140BC"/>
    <w:rsid w:val="000140D6"/>
    <w:rsid w:val="0001411D"/>
    <w:rsid w:val="000143E1"/>
    <w:rsid w:val="00014759"/>
    <w:rsid w:val="000147F0"/>
    <w:rsid w:val="00014AC1"/>
    <w:rsid w:val="00014B7C"/>
    <w:rsid w:val="00014E1E"/>
    <w:rsid w:val="00014E85"/>
    <w:rsid w:val="00014EBA"/>
    <w:rsid w:val="00015020"/>
    <w:rsid w:val="0001517E"/>
    <w:rsid w:val="000156B9"/>
    <w:rsid w:val="0001570C"/>
    <w:rsid w:val="00015C9A"/>
    <w:rsid w:val="00015FA9"/>
    <w:rsid w:val="000167E3"/>
    <w:rsid w:val="00016EFE"/>
    <w:rsid w:val="00017371"/>
    <w:rsid w:val="0002052C"/>
    <w:rsid w:val="00020934"/>
    <w:rsid w:val="00020B62"/>
    <w:rsid w:val="00020C4A"/>
    <w:rsid w:val="00021009"/>
    <w:rsid w:val="00021016"/>
    <w:rsid w:val="0002111A"/>
    <w:rsid w:val="00021184"/>
    <w:rsid w:val="00021732"/>
    <w:rsid w:val="00021F92"/>
    <w:rsid w:val="00022109"/>
    <w:rsid w:val="0002292A"/>
    <w:rsid w:val="000229B2"/>
    <w:rsid w:val="00022E74"/>
    <w:rsid w:val="00022F12"/>
    <w:rsid w:val="00022FD3"/>
    <w:rsid w:val="000230C2"/>
    <w:rsid w:val="0002337E"/>
    <w:rsid w:val="00023714"/>
    <w:rsid w:val="0002378F"/>
    <w:rsid w:val="00023B9D"/>
    <w:rsid w:val="00023BAF"/>
    <w:rsid w:val="0002448E"/>
    <w:rsid w:val="00024A47"/>
    <w:rsid w:val="0002519A"/>
    <w:rsid w:val="000252D4"/>
    <w:rsid w:val="00025337"/>
    <w:rsid w:val="00025DF5"/>
    <w:rsid w:val="00026245"/>
    <w:rsid w:val="00026A94"/>
    <w:rsid w:val="00026D8D"/>
    <w:rsid w:val="00027024"/>
    <w:rsid w:val="0002741A"/>
    <w:rsid w:val="000274B7"/>
    <w:rsid w:val="00027547"/>
    <w:rsid w:val="0002765B"/>
    <w:rsid w:val="000276CC"/>
    <w:rsid w:val="00027830"/>
    <w:rsid w:val="00027B7D"/>
    <w:rsid w:val="00030C0D"/>
    <w:rsid w:val="00030FAC"/>
    <w:rsid w:val="00030FE3"/>
    <w:rsid w:val="00031172"/>
    <w:rsid w:val="0003122D"/>
    <w:rsid w:val="0003136B"/>
    <w:rsid w:val="000315AF"/>
    <w:rsid w:val="0003198A"/>
    <w:rsid w:val="00031AC0"/>
    <w:rsid w:val="00031C90"/>
    <w:rsid w:val="00031E66"/>
    <w:rsid w:val="00031EA1"/>
    <w:rsid w:val="00032132"/>
    <w:rsid w:val="000321A5"/>
    <w:rsid w:val="0003231B"/>
    <w:rsid w:val="00032442"/>
    <w:rsid w:val="00032524"/>
    <w:rsid w:val="000327A7"/>
    <w:rsid w:val="0003317F"/>
    <w:rsid w:val="0003393D"/>
    <w:rsid w:val="00033993"/>
    <w:rsid w:val="00033C19"/>
    <w:rsid w:val="00033E82"/>
    <w:rsid w:val="00034341"/>
    <w:rsid w:val="00034A28"/>
    <w:rsid w:val="00034D99"/>
    <w:rsid w:val="00034F86"/>
    <w:rsid w:val="00035300"/>
    <w:rsid w:val="000355A2"/>
    <w:rsid w:val="000355DF"/>
    <w:rsid w:val="00036377"/>
    <w:rsid w:val="00036825"/>
    <w:rsid w:val="0003686E"/>
    <w:rsid w:val="00036F61"/>
    <w:rsid w:val="00037314"/>
    <w:rsid w:val="0003743C"/>
    <w:rsid w:val="00037FB6"/>
    <w:rsid w:val="0004031A"/>
    <w:rsid w:val="00040386"/>
    <w:rsid w:val="00041AE8"/>
    <w:rsid w:val="00041E2F"/>
    <w:rsid w:val="00042093"/>
    <w:rsid w:val="0004241E"/>
    <w:rsid w:val="0004250E"/>
    <w:rsid w:val="00042578"/>
    <w:rsid w:val="0004259E"/>
    <w:rsid w:val="000428AB"/>
    <w:rsid w:val="00042B7D"/>
    <w:rsid w:val="00042C6A"/>
    <w:rsid w:val="00042E38"/>
    <w:rsid w:val="00043D9D"/>
    <w:rsid w:val="000442E7"/>
    <w:rsid w:val="0004430C"/>
    <w:rsid w:val="00044373"/>
    <w:rsid w:val="00045200"/>
    <w:rsid w:val="0004531A"/>
    <w:rsid w:val="0004532A"/>
    <w:rsid w:val="00045380"/>
    <w:rsid w:val="000455A8"/>
    <w:rsid w:val="000455CA"/>
    <w:rsid w:val="000456CF"/>
    <w:rsid w:val="00046315"/>
    <w:rsid w:val="00046B32"/>
    <w:rsid w:val="00047021"/>
    <w:rsid w:val="0004741B"/>
    <w:rsid w:val="0004743C"/>
    <w:rsid w:val="0004748A"/>
    <w:rsid w:val="000501FF"/>
    <w:rsid w:val="00050345"/>
    <w:rsid w:val="0005045C"/>
    <w:rsid w:val="000505F2"/>
    <w:rsid w:val="00050888"/>
    <w:rsid w:val="000508FC"/>
    <w:rsid w:val="00050B67"/>
    <w:rsid w:val="00050F1F"/>
    <w:rsid w:val="0005107F"/>
    <w:rsid w:val="00051240"/>
    <w:rsid w:val="0005127C"/>
    <w:rsid w:val="00051306"/>
    <w:rsid w:val="00051962"/>
    <w:rsid w:val="00052105"/>
    <w:rsid w:val="00052228"/>
    <w:rsid w:val="000522F6"/>
    <w:rsid w:val="0005286C"/>
    <w:rsid w:val="00053583"/>
    <w:rsid w:val="0005376E"/>
    <w:rsid w:val="000537A5"/>
    <w:rsid w:val="00053A1B"/>
    <w:rsid w:val="00053C33"/>
    <w:rsid w:val="00053FEE"/>
    <w:rsid w:val="000544EF"/>
    <w:rsid w:val="00054541"/>
    <w:rsid w:val="0005466A"/>
    <w:rsid w:val="00054A18"/>
    <w:rsid w:val="00054B99"/>
    <w:rsid w:val="00054D3F"/>
    <w:rsid w:val="00054E88"/>
    <w:rsid w:val="000551F7"/>
    <w:rsid w:val="0005541E"/>
    <w:rsid w:val="000557F7"/>
    <w:rsid w:val="00055E5B"/>
    <w:rsid w:val="00055E9F"/>
    <w:rsid w:val="00055F6C"/>
    <w:rsid w:val="00055F6E"/>
    <w:rsid w:val="00056B28"/>
    <w:rsid w:val="00056C28"/>
    <w:rsid w:val="00057554"/>
    <w:rsid w:val="00057D10"/>
    <w:rsid w:val="000604C7"/>
    <w:rsid w:val="0006070A"/>
    <w:rsid w:val="00060B37"/>
    <w:rsid w:val="00060FE4"/>
    <w:rsid w:val="0006104E"/>
    <w:rsid w:val="0006117F"/>
    <w:rsid w:val="00061802"/>
    <w:rsid w:val="0006189C"/>
    <w:rsid w:val="00061AD2"/>
    <w:rsid w:val="00061B8D"/>
    <w:rsid w:val="00061E4B"/>
    <w:rsid w:val="00061F2B"/>
    <w:rsid w:val="000625EB"/>
    <w:rsid w:val="000625FE"/>
    <w:rsid w:val="00062C31"/>
    <w:rsid w:val="000633AE"/>
    <w:rsid w:val="000637CD"/>
    <w:rsid w:val="00063D49"/>
    <w:rsid w:val="00063F07"/>
    <w:rsid w:val="00064333"/>
    <w:rsid w:val="00064411"/>
    <w:rsid w:val="00064ABF"/>
    <w:rsid w:val="00064FFD"/>
    <w:rsid w:val="00065135"/>
    <w:rsid w:val="0006524A"/>
    <w:rsid w:val="00065270"/>
    <w:rsid w:val="0006576E"/>
    <w:rsid w:val="0006599D"/>
    <w:rsid w:val="00065B50"/>
    <w:rsid w:val="00065D37"/>
    <w:rsid w:val="00065DFF"/>
    <w:rsid w:val="00066015"/>
    <w:rsid w:val="0006604C"/>
    <w:rsid w:val="00066443"/>
    <w:rsid w:val="00066499"/>
    <w:rsid w:val="00066893"/>
    <w:rsid w:val="00066E73"/>
    <w:rsid w:val="0006706B"/>
    <w:rsid w:val="00067120"/>
    <w:rsid w:val="00067155"/>
    <w:rsid w:val="00067191"/>
    <w:rsid w:val="00067589"/>
    <w:rsid w:val="000675EA"/>
    <w:rsid w:val="00067ECA"/>
    <w:rsid w:val="000705CE"/>
    <w:rsid w:val="000708A3"/>
    <w:rsid w:val="00070FF7"/>
    <w:rsid w:val="00071144"/>
    <w:rsid w:val="00071254"/>
    <w:rsid w:val="00071588"/>
    <w:rsid w:val="000717D1"/>
    <w:rsid w:val="00071D61"/>
    <w:rsid w:val="00071EBA"/>
    <w:rsid w:val="0007285C"/>
    <w:rsid w:val="00072D7C"/>
    <w:rsid w:val="00072DDE"/>
    <w:rsid w:val="00073285"/>
    <w:rsid w:val="000732C8"/>
    <w:rsid w:val="000733C4"/>
    <w:rsid w:val="000737CF"/>
    <w:rsid w:val="00073880"/>
    <w:rsid w:val="000738B6"/>
    <w:rsid w:val="000739F2"/>
    <w:rsid w:val="00074590"/>
    <w:rsid w:val="00074905"/>
    <w:rsid w:val="000749CD"/>
    <w:rsid w:val="0007543B"/>
    <w:rsid w:val="00075B4D"/>
    <w:rsid w:val="00075DF3"/>
    <w:rsid w:val="00075E39"/>
    <w:rsid w:val="000761F9"/>
    <w:rsid w:val="0007632D"/>
    <w:rsid w:val="00076774"/>
    <w:rsid w:val="0007682A"/>
    <w:rsid w:val="00076A1A"/>
    <w:rsid w:val="00076B9D"/>
    <w:rsid w:val="000775E8"/>
    <w:rsid w:val="00077EF0"/>
    <w:rsid w:val="00080999"/>
    <w:rsid w:val="00080DD3"/>
    <w:rsid w:val="0008106C"/>
    <w:rsid w:val="00081676"/>
    <w:rsid w:val="0008192F"/>
    <w:rsid w:val="00081A97"/>
    <w:rsid w:val="00081D1B"/>
    <w:rsid w:val="000824FE"/>
    <w:rsid w:val="0008267D"/>
    <w:rsid w:val="00082CAD"/>
    <w:rsid w:val="00082D12"/>
    <w:rsid w:val="00082D24"/>
    <w:rsid w:val="00082D3F"/>
    <w:rsid w:val="00082F33"/>
    <w:rsid w:val="00083084"/>
    <w:rsid w:val="00083267"/>
    <w:rsid w:val="00083278"/>
    <w:rsid w:val="00083424"/>
    <w:rsid w:val="0008378B"/>
    <w:rsid w:val="00083853"/>
    <w:rsid w:val="00083AF6"/>
    <w:rsid w:val="00083C6C"/>
    <w:rsid w:val="00083E90"/>
    <w:rsid w:val="0008414D"/>
    <w:rsid w:val="00084357"/>
    <w:rsid w:val="000844C9"/>
    <w:rsid w:val="0008477D"/>
    <w:rsid w:val="00084B29"/>
    <w:rsid w:val="000851C5"/>
    <w:rsid w:val="00085292"/>
    <w:rsid w:val="00085317"/>
    <w:rsid w:val="0008539E"/>
    <w:rsid w:val="00085515"/>
    <w:rsid w:val="0008559D"/>
    <w:rsid w:val="00086183"/>
    <w:rsid w:val="0008631D"/>
    <w:rsid w:val="0008665D"/>
    <w:rsid w:val="00086723"/>
    <w:rsid w:val="000868E9"/>
    <w:rsid w:val="000872F2"/>
    <w:rsid w:val="0008743C"/>
    <w:rsid w:val="00087898"/>
    <w:rsid w:val="0008789F"/>
    <w:rsid w:val="000878B5"/>
    <w:rsid w:val="00087958"/>
    <w:rsid w:val="00087D4A"/>
    <w:rsid w:val="00090113"/>
    <w:rsid w:val="00090437"/>
    <w:rsid w:val="00090516"/>
    <w:rsid w:val="000905C2"/>
    <w:rsid w:val="00090F60"/>
    <w:rsid w:val="00091064"/>
    <w:rsid w:val="000914C3"/>
    <w:rsid w:val="000919B1"/>
    <w:rsid w:val="000920D5"/>
    <w:rsid w:val="000920F3"/>
    <w:rsid w:val="0009226A"/>
    <w:rsid w:val="00092530"/>
    <w:rsid w:val="00092692"/>
    <w:rsid w:val="00092B14"/>
    <w:rsid w:val="00093781"/>
    <w:rsid w:val="000937D0"/>
    <w:rsid w:val="00093810"/>
    <w:rsid w:val="00093939"/>
    <w:rsid w:val="00093A89"/>
    <w:rsid w:val="00093CB0"/>
    <w:rsid w:val="00093D24"/>
    <w:rsid w:val="00093D78"/>
    <w:rsid w:val="000942EC"/>
    <w:rsid w:val="00094E4D"/>
    <w:rsid w:val="00094FB7"/>
    <w:rsid w:val="0009545F"/>
    <w:rsid w:val="00095655"/>
    <w:rsid w:val="00095740"/>
    <w:rsid w:val="000959A9"/>
    <w:rsid w:val="00095C8B"/>
    <w:rsid w:val="00095EDD"/>
    <w:rsid w:val="00096604"/>
    <w:rsid w:val="00096635"/>
    <w:rsid w:val="00096636"/>
    <w:rsid w:val="00096829"/>
    <w:rsid w:val="00096B25"/>
    <w:rsid w:val="00096C41"/>
    <w:rsid w:val="00097184"/>
    <w:rsid w:val="000975D0"/>
    <w:rsid w:val="00097D4A"/>
    <w:rsid w:val="000A0173"/>
    <w:rsid w:val="000A0440"/>
    <w:rsid w:val="000A08EF"/>
    <w:rsid w:val="000A1124"/>
    <w:rsid w:val="000A1334"/>
    <w:rsid w:val="000A15BB"/>
    <w:rsid w:val="000A1620"/>
    <w:rsid w:val="000A16F1"/>
    <w:rsid w:val="000A188C"/>
    <w:rsid w:val="000A1A0E"/>
    <w:rsid w:val="000A1AC5"/>
    <w:rsid w:val="000A1EB6"/>
    <w:rsid w:val="000A2D8F"/>
    <w:rsid w:val="000A2F88"/>
    <w:rsid w:val="000A32EF"/>
    <w:rsid w:val="000A3771"/>
    <w:rsid w:val="000A394A"/>
    <w:rsid w:val="000A3FC3"/>
    <w:rsid w:val="000A4092"/>
    <w:rsid w:val="000A420D"/>
    <w:rsid w:val="000A426D"/>
    <w:rsid w:val="000A4375"/>
    <w:rsid w:val="000A45E2"/>
    <w:rsid w:val="000A45FE"/>
    <w:rsid w:val="000A4DF4"/>
    <w:rsid w:val="000A5136"/>
    <w:rsid w:val="000A5449"/>
    <w:rsid w:val="000A56C2"/>
    <w:rsid w:val="000A5E03"/>
    <w:rsid w:val="000A5EC5"/>
    <w:rsid w:val="000A61F4"/>
    <w:rsid w:val="000A626B"/>
    <w:rsid w:val="000A6358"/>
    <w:rsid w:val="000A6631"/>
    <w:rsid w:val="000A694A"/>
    <w:rsid w:val="000A69AC"/>
    <w:rsid w:val="000A6A3F"/>
    <w:rsid w:val="000A6BC8"/>
    <w:rsid w:val="000A70A7"/>
    <w:rsid w:val="000A7293"/>
    <w:rsid w:val="000A77CA"/>
    <w:rsid w:val="000A7E04"/>
    <w:rsid w:val="000B02CE"/>
    <w:rsid w:val="000B0597"/>
    <w:rsid w:val="000B063F"/>
    <w:rsid w:val="000B0B38"/>
    <w:rsid w:val="000B0C51"/>
    <w:rsid w:val="000B0C81"/>
    <w:rsid w:val="000B0DDC"/>
    <w:rsid w:val="000B1189"/>
    <w:rsid w:val="000B1214"/>
    <w:rsid w:val="000B1474"/>
    <w:rsid w:val="000B1EBF"/>
    <w:rsid w:val="000B2116"/>
    <w:rsid w:val="000B21E4"/>
    <w:rsid w:val="000B2BE7"/>
    <w:rsid w:val="000B2D67"/>
    <w:rsid w:val="000B2E9C"/>
    <w:rsid w:val="000B32CA"/>
    <w:rsid w:val="000B32F6"/>
    <w:rsid w:val="000B36DE"/>
    <w:rsid w:val="000B3B53"/>
    <w:rsid w:val="000B3CEE"/>
    <w:rsid w:val="000B4AC2"/>
    <w:rsid w:val="000B5424"/>
    <w:rsid w:val="000B5B44"/>
    <w:rsid w:val="000B5B96"/>
    <w:rsid w:val="000B5BC7"/>
    <w:rsid w:val="000B633E"/>
    <w:rsid w:val="000B68D1"/>
    <w:rsid w:val="000B6B1C"/>
    <w:rsid w:val="000B6B56"/>
    <w:rsid w:val="000B6F4C"/>
    <w:rsid w:val="000B71F2"/>
    <w:rsid w:val="000B7326"/>
    <w:rsid w:val="000B7617"/>
    <w:rsid w:val="000B7C59"/>
    <w:rsid w:val="000B7D10"/>
    <w:rsid w:val="000B7E29"/>
    <w:rsid w:val="000C013C"/>
    <w:rsid w:val="000C0281"/>
    <w:rsid w:val="000C0349"/>
    <w:rsid w:val="000C0827"/>
    <w:rsid w:val="000C09EE"/>
    <w:rsid w:val="000C0AA5"/>
    <w:rsid w:val="000C0E82"/>
    <w:rsid w:val="000C10DA"/>
    <w:rsid w:val="000C13EB"/>
    <w:rsid w:val="000C1965"/>
    <w:rsid w:val="000C198C"/>
    <w:rsid w:val="000C1DC5"/>
    <w:rsid w:val="000C1DE3"/>
    <w:rsid w:val="000C1E19"/>
    <w:rsid w:val="000C1F6A"/>
    <w:rsid w:val="000C23D6"/>
    <w:rsid w:val="000C2467"/>
    <w:rsid w:val="000C24F9"/>
    <w:rsid w:val="000C2509"/>
    <w:rsid w:val="000C2D12"/>
    <w:rsid w:val="000C2DA9"/>
    <w:rsid w:val="000C2F39"/>
    <w:rsid w:val="000C31C7"/>
    <w:rsid w:val="000C3788"/>
    <w:rsid w:val="000C3B34"/>
    <w:rsid w:val="000C3C0C"/>
    <w:rsid w:val="000C3FC0"/>
    <w:rsid w:val="000C4181"/>
    <w:rsid w:val="000C4796"/>
    <w:rsid w:val="000C4ACA"/>
    <w:rsid w:val="000C4E0B"/>
    <w:rsid w:val="000C51BB"/>
    <w:rsid w:val="000C5216"/>
    <w:rsid w:val="000C6236"/>
    <w:rsid w:val="000C6635"/>
    <w:rsid w:val="000C680F"/>
    <w:rsid w:val="000C6CE1"/>
    <w:rsid w:val="000C6D28"/>
    <w:rsid w:val="000C7214"/>
    <w:rsid w:val="000C74D9"/>
    <w:rsid w:val="000C75D9"/>
    <w:rsid w:val="000C7F1B"/>
    <w:rsid w:val="000D0471"/>
    <w:rsid w:val="000D07AD"/>
    <w:rsid w:val="000D08E5"/>
    <w:rsid w:val="000D0C76"/>
    <w:rsid w:val="000D1967"/>
    <w:rsid w:val="000D222B"/>
    <w:rsid w:val="000D24F9"/>
    <w:rsid w:val="000D27C0"/>
    <w:rsid w:val="000D2B4F"/>
    <w:rsid w:val="000D2DAC"/>
    <w:rsid w:val="000D2F0F"/>
    <w:rsid w:val="000D310F"/>
    <w:rsid w:val="000D338C"/>
    <w:rsid w:val="000D3935"/>
    <w:rsid w:val="000D3998"/>
    <w:rsid w:val="000D3CF4"/>
    <w:rsid w:val="000D4398"/>
    <w:rsid w:val="000D47FB"/>
    <w:rsid w:val="000D4AF5"/>
    <w:rsid w:val="000D5414"/>
    <w:rsid w:val="000D5CDC"/>
    <w:rsid w:val="000D5D49"/>
    <w:rsid w:val="000D6563"/>
    <w:rsid w:val="000D657A"/>
    <w:rsid w:val="000D6811"/>
    <w:rsid w:val="000D6962"/>
    <w:rsid w:val="000D6A3C"/>
    <w:rsid w:val="000D6CBA"/>
    <w:rsid w:val="000D705B"/>
    <w:rsid w:val="000D734C"/>
    <w:rsid w:val="000D7509"/>
    <w:rsid w:val="000D7C4D"/>
    <w:rsid w:val="000D7D7C"/>
    <w:rsid w:val="000D7F4B"/>
    <w:rsid w:val="000D7F52"/>
    <w:rsid w:val="000E0032"/>
    <w:rsid w:val="000E02D0"/>
    <w:rsid w:val="000E0A92"/>
    <w:rsid w:val="000E0FB0"/>
    <w:rsid w:val="000E14E5"/>
    <w:rsid w:val="000E1501"/>
    <w:rsid w:val="000E16C3"/>
    <w:rsid w:val="000E1708"/>
    <w:rsid w:val="000E175A"/>
    <w:rsid w:val="000E1B48"/>
    <w:rsid w:val="000E1F30"/>
    <w:rsid w:val="000E2767"/>
    <w:rsid w:val="000E2A40"/>
    <w:rsid w:val="000E2CC6"/>
    <w:rsid w:val="000E2D9B"/>
    <w:rsid w:val="000E2DDD"/>
    <w:rsid w:val="000E3655"/>
    <w:rsid w:val="000E384B"/>
    <w:rsid w:val="000E3904"/>
    <w:rsid w:val="000E3B84"/>
    <w:rsid w:val="000E3C9A"/>
    <w:rsid w:val="000E3E29"/>
    <w:rsid w:val="000E3E7A"/>
    <w:rsid w:val="000E3F8B"/>
    <w:rsid w:val="000E400E"/>
    <w:rsid w:val="000E4423"/>
    <w:rsid w:val="000E461C"/>
    <w:rsid w:val="000E4B63"/>
    <w:rsid w:val="000E4D83"/>
    <w:rsid w:val="000E5349"/>
    <w:rsid w:val="000E5870"/>
    <w:rsid w:val="000E5904"/>
    <w:rsid w:val="000E5A37"/>
    <w:rsid w:val="000E5B32"/>
    <w:rsid w:val="000E5B52"/>
    <w:rsid w:val="000E5BD9"/>
    <w:rsid w:val="000E5F23"/>
    <w:rsid w:val="000E668D"/>
    <w:rsid w:val="000E6C4B"/>
    <w:rsid w:val="000E6CA2"/>
    <w:rsid w:val="000E6DB5"/>
    <w:rsid w:val="000E7488"/>
    <w:rsid w:val="000E77A4"/>
    <w:rsid w:val="000E77BF"/>
    <w:rsid w:val="000F030E"/>
    <w:rsid w:val="000F0852"/>
    <w:rsid w:val="000F08EB"/>
    <w:rsid w:val="000F13AA"/>
    <w:rsid w:val="000F1727"/>
    <w:rsid w:val="000F2137"/>
    <w:rsid w:val="000F213F"/>
    <w:rsid w:val="000F2B80"/>
    <w:rsid w:val="000F2D6A"/>
    <w:rsid w:val="000F2DE2"/>
    <w:rsid w:val="000F301F"/>
    <w:rsid w:val="000F3686"/>
    <w:rsid w:val="000F3955"/>
    <w:rsid w:val="000F39AA"/>
    <w:rsid w:val="000F3AC0"/>
    <w:rsid w:val="000F4095"/>
    <w:rsid w:val="000F4EB7"/>
    <w:rsid w:val="000F50E0"/>
    <w:rsid w:val="000F5547"/>
    <w:rsid w:val="000F5C88"/>
    <w:rsid w:val="000F6000"/>
    <w:rsid w:val="000F616B"/>
    <w:rsid w:val="000F645F"/>
    <w:rsid w:val="000F6528"/>
    <w:rsid w:val="000F656F"/>
    <w:rsid w:val="000F6AF9"/>
    <w:rsid w:val="000F6D83"/>
    <w:rsid w:val="000F6EF3"/>
    <w:rsid w:val="000F6F49"/>
    <w:rsid w:val="000F734B"/>
    <w:rsid w:val="000F73DF"/>
    <w:rsid w:val="000F7467"/>
    <w:rsid w:val="000F7549"/>
    <w:rsid w:val="000F7999"/>
    <w:rsid w:val="000F7ACF"/>
    <w:rsid w:val="000F7CD5"/>
    <w:rsid w:val="00100454"/>
    <w:rsid w:val="0010047D"/>
    <w:rsid w:val="001006ED"/>
    <w:rsid w:val="001008D3"/>
    <w:rsid w:val="00100CB1"/>
    <w:rsid w:val="00100D69"/>
    <w:rsid w:val="00101082"/>
    <w:rsid w:val="001011D6"/>
    <w:rsid w:val="00101B6B"/>
    <w:rsid w:val="001020BC"/>
    <w:rsid w:val="0010232C"/>
    <w:rsid w:val="0010256B"/>
    <w:rsid w:val="001028BE"/>
    <w:rsid w:val="00102A49"/>
    <w:rsid w:val="0010386C"/>
    <w:rsid w:val="001038B2"/>
    <w:rsid w:val="00103BF9"/>
    <w:rsid w:val="0010404A"/>
    <w:rsid w:val="00104065"/>
    <w:rsid w:val="0010447C"/>
    <w:rsid w:val="00104DD3"/>
    <w:rsid w:val="001053E5"/>
    <w:rsid w:val="00105CAA"/>
    <w:rsid w:val="00105E7F"/>
    <w:rsid w:val="00106014"/>
    <w:rsid w:val="00106C66"/>
    <w:rsid w:val="00106FE7"/>
    <w:rsid w:val="0010769A"/>
    <w:rsid w:val="00110007"/>
    <w:rsid w:val="001107ED"/>
    <w:rsid w:val="00111013"/>
    <w:rsid w:val="001113AE"/>
    <w:rsid w:val="0011144A"/>
    <w:rsid w:val="001117AA"/>
    <w:rsid w:val="00112571"/>
    <w:rsid w:val="0011362F"/>
    <w:rsid w:val="00113719"/>
    <w:rsid w:val="00113819"/>
    <w:rsid w:val="0011387E"/>
    <w:rsid w:val="00113900"/>
    <w:rsid w:val="00113AEE"/>
    <w:rsid w:val="00113AF7"/>
    <w:rsid w:val="001147E3"/>
    <w:rsid w:val="00114A1D"/>
    <w:rsid w:val="00114AD4"/>
    <w:rsid w:val="00114CEC"/>
    <w:rsid w:val="00114D32"/>
    <w:rsid w:val="00115226"/>
    <w:rsid w:val="0011536C"/>
    <w:rsid w:val="00115CC4"/>
    <w:rsid w:val="00115EB5"/>
    <w:rsid w:val="001162C5"/>
    <w:rsid w:val="00116C79"/>
    <w:rsid w:val="001172F1"/>
    <w:rsid w:val="001175FD"/>
    <w:rsid w:val="00117602"/>
    <w:rsid w:val="001177BC"/>
    <w:rsid w:val="001178CE"/>
    <w:rsid w:val="00117B23"/>
    <w:rsid w:val="00117F56"/>
    <w:rsid w:val="00117F96"/>
    <w:rsid w:val="001205D7"/>
    <w:rsid w:val="001206C2"/>
    <w:rsid w:val="00120B56"/>
    <w:rsid w:val="00120B97"/>
    <w:rsid w:val="00120DF8"/>
    <w:rsid w:val="00120F79"/>
    <w:rsid w:val="00120FF9"/>
    <w:rsid w:val="0012103C"/>
    <w:rsid w:val="00121D8B"/>
    <w:rsid w:val="00122634"/>
    <w:rsid w:val="001226D6"/>
    <w:rsid w:val="0012272F"/>
    <w:rsid w:val="00122DFF"/>
    <w:rsid w:val="00123041"/>
    <w:rsid w:val="00123299"/>
    <w:rsid w:val="001235D6"/>
    <w:rsid w:val="001240B7"/>
    <w:rsid w:val="00124761"/>
    <w:rsid w:val="001247E6"/>
    <w:rsid w:val="00124A9E"/>
    <w:rsid w:val="00124B7B"/>
    <w:rsid w:val="00124EC3"/>
    <w:rsid w:val="0012511F"/>
    <w:rsid w:val="0012528C"/>
    <w:rsid w:val="001253EC"/>
    <w:rsid w:val="001257CB"/>
    <w:rsid w:val="00125E39"/>
    <w:rsid w:val="00125FB8"/>
    <w:rsid w:val="001262C1"/>
    <w:rsid w:val="001269DF"/>
    <w:rsid w:val="00126D12"/>
    <w:rsid w:val="00127162"/>
    <w:rsid w:val="00127901"/>
    <w:rsid w:val="00127AB3"/>
    <w:rsid w:val="00127FD1"/>
    <w:rsid w:val="00130003"/>
    <w:rsid w:val="001307BB"/>
    <w:rsid w:val="00130E48"/>
    <w:rsid w:val="0013144C"/>
    <w:rsid w:val="001315D2"/>
    <w:rsid w:val="00131614"/>
    <w:rsid w:val="00131AB5"/>
    <w:rsid w:val="00131CF0"/>
    <w:rsid w:val="00131D52"/>
    <w:rsid w:val="001321FB"/>
    <w:rsid w:val="0013274A"/>
    <w:rsid w:val="0013277D"/>
    <w:rsid w:val="00132977"/>
    <w:rsid w:val="0013327E"/>
    <w:rsid w:val="0013351D"/>
    <w:rsid w:val="00133FE1"/>
    <w:rsid w:val="001340DB"/>
    <w:rsid w:val="00134207"/>
    <w:rsid w:val="0013425D"/>
    <w:rsid w:val="001344E1"/>
    <w:rsid w:val="00134B17"/>
    <w:rsid w:val="00134D70"/>
    <w:rsid w:val="00134F0D"/>
    <w:rsid w:val="00134F72"/>
    <w:rsid w:val="00135128"/>
    <w:rsid w:val="00135810"/>
    <w:rsid w:val="00135905"/>
    <w:rsid w:val="001359A2"/>
    <w:rsid w:val="00136828"/>
    <w:rsid w:val="00136CF4"/>
    <w:rsid w:val="00137126"/>
    <w:rsid w:val="0013769E"/>
    <w:rsid w:val="001377AD"/>
    <w:rsid w:val="001377F2"/>
    <w:rsid w:val="0013799E"/>
    <w:rsid w:val="00137AEA"/>
    <w:rsid w:val="00137BE5"/>
    <w:rsid w:val="00137F06"/>
    <w:rsid w:val="00137F41"/>
    <w:rsid w:val="00140693"/>
    <w:rsid w:val="001406C0"/>
    <w:rsid w:val="00140D30"/>
    <w:rsid w:val="0014109F"/>
    <w:rsid w:val="001412A0"/>
    <w:rsid w:val="0014197E"/>
    <w:rsid w:val="00141B05"/>
    <w:rsid w:val="00141CB4"/>
    <w:rsid w:val="00141D8C"/>
    <w:rsid w:val="00142048"/>
    <w:rsid w:val="0014214F"/>
    <w:rsid w:val="00142288"/>
    <w:rsid w:val="0014231F"/>
    <w:rsid w:val="0014250D"/>
    <w:rsid w:val="001426DA"/>
    <w:rsid w:val="00143029"/>
    <w:rsid w:val="00143134"/>
    <w:rsid w:val="001431BE"/>
    <w:rsid w:val="00143714"/>
    <w:rsid w:val="001438EC"/>
    <w:rsid w:val="00143D7C"/>
    <w:rsid w:val="00144020"/>
    <w:rsid w:val="001446E7"/>
    <w:rsid w:val="00144DD9"/>
    <w:rsid w:val="001450D2"/>
    <w:rsid w:val="001454E3"/>
    <w:rsid w:val="0014560F"/>
    <w:rsid w:val="001456ED"/>
    <w:rsid w:val="00145843"/>
    <w:rsid w:val="0014588F"/>
    <w:rsid w:val="00145CC9"/>
    <w:rsid w:val="001461BF"/>
    <w:rsid w:val="0014647A"/>
    <w:rsid w:val="00146484"/>
    <w:rsid w:val="00146634"/>
    <w:rsid w:val="00146764"/>
    <w:rsid w:val="00146E12"/>
    <w:rsid w:val="0014729A"/>
    <w:rsid w:val="00147DF8"/>
    <w:rsid w:val="00150208"/>
    <w:rsid w:val="001502C5"/>
    <w:rsid w:val="00150557"/>
    <w:rsid w:val="0015064C"/>
    <w:rsid w:val="001506E6"/>
    <w:rsid w:val="00150877"/>
    <w:rsid w:val="00150A00"/>
    <w:rsid w:val="001513D8"/>
    <w:rsid w:val="00151710"/>
    <w:rsid w:val="00151963"/>
    <w:rsid w:val="00151B34"/>
    <w:rsid w:val="00151EC8"/>
    <w:rsid w:val="00152091"/>
    <w:rsid w:val="001520AB"/>
    <w:rsid w:val="00152243"/>
    <w:rsid w:val="001525D4"/>
    <w:rsid w:val="00152604"/>
    <w:rsid w:val="00152816"/>
    <w:rsid w:val="00152BA6"/>
    <w:rsid w:val="00152C86"/>
    <w:rsid w:val="00152CDD"/>
    <w:rsid w:val="00152EB1"/>
    <w:rsid w:val="00153189"/>
    <w:rsid w:val="001536E3"/>
    <w:rsid w:val="00153886"/>
    <w:rsid w:val="00153892"/>
    <w:rsid w:val="00153BAD"/>
    <w:rsid w:val="00153BD7"/>
    <w:rsid w:val="00153C3C"/>
    <w:rsid w:val="00154346"/>
    <w:rsid w:val="001543F4"/>
    <w:rsid w:val="0015473B"/>
    <w:rsid w:val="001548A0"/>
    <w:rsid w:val="00154B80"/>
    <w:rsid w:val="00154C4B"/>
    <w:rsid w:val="001551B9"/>
    <w:rsid w:val="00155377"/>
    <w:rsid w:val="001555B1"/>
    <w:rsid w:val="0015595A"/>
    <w:rsid w:val="001559ED"/>
    <w:rsid w:val="00155B05"/>
    <w:rsid w:val="00155B07"/>
    <w:rsid w:val="00157016"/>
    <w:rsid w:val="001574A4"/>
    <w:rsid w:val="001576FF"/>
    <w:rsid w:val="00157AF3"/>
    <w:rsid w:val="00157B29"/>
    <w:rsid w:val="00157BF4"/>
    <w:rsid w:val="001606DF"/>
    <w:rsid w:val="00160AA8"/>
    <w:rsid w:val="00160F3F"/>
    <w:rsid w:val="00161570"/>
    <w:rsid w:val="00161620"/>
    <w:rsid w:val="00161889"/>
    <w:rsid w:val="00161A9C"/>
    <w:rsid w:val="00161B0F"/>
    <w:rsid w:val="00161B21"/>
    <w:rsid w:val="00161C82"/>
    <w:rsid w:val="00161E3F"/>
    <w:rsid w:val="00162222"/>
    <w:rsid w:val="001622C2"/>
    <w:rsid w:val="00162479"/>
    <w:rsid w:val="001624F6"/>
    <w:rsid w:val="001629CB"/>
    <w:rsid w:val="00162AC7"/>
    <w:rsid w:val="00162DA6"/>
    <w:rsid w:val="00162DE5"/>
    <w:rsid w:val="00162E5F"/>
    <w:rsid w:val="0016311A"/>
    <w:rsid w:val="001632A6"/>
    <w:rsid w:val="001632D7"/>
    <w:rsid w:val="001637DC"/>
    <w:rsid w:val="0016384A"/>
    <w:rsid w:val="00163FE0"/>
    <w:rsid w:val="001643DC"/>
    <w:rsid w:val="00164531"/>
    <w:rsid w:val="00164631"/>
    <w:rsid w:val="001648B5"/>
    <w:rsid w:val="001648FE"/>
    <w:rsid w:val="00165116"/>
    <w:rsid w:val="0016512E"/>
    <w:rsid w:val="00165261"/>
    <w:rsid w:val="00165493"/>
    <w:rsid w:val="0016560F"/>
    <w:rsid w:val="0016576F"/>
    <w:rsid w:val="00165946"/>
    <w:rsid w:val="001662C4"/>
    <w:rsid w:val="0016656D"/>
    <w:rsid w:val="00166D45"/>
    <w:rsid w:val="00166DAA"/>
    <w:rsid w:val="00166EC9"/>
    <w:rsid w:val="00166F76"/>
    <w:rsid w:val="0016737A"/>
    <w:rsid w:val="00167487"/>
    <w:rsid w:val="00167630"/>
    <w:rsid w:val="00167665"/>
    <w:rsid w:val="0016796D"/>
    <w:rsid w:val="00167B63"/>
    <w:rsid w:val="00167F72"/>
    <w:rsid w:val="00170157"/>
    <w:rsid w:val="001701CF"/>
    <w:rsid w:val="001702AC"/>
    <w:rsid w:val="001702F4"/>
    <w:rsid w:val="00170481"/>
    <w:rsid w:val="00170609"/>
    <w:rsid w:val="0017095A"/>
    <w:rsid w:val="00170B03"/>
    <w:rsid w:val="00170E54"/>
    <w:rsid w:val="0017158A"/>
    <w:rsid w:val="0017161A"/>
    <w:rsid w:val="00171763"/>
    <w:rsid w:val="001718FB"/>
    <w:rsid w:val="00171BEA"/>
    <w:rsid w:val="00171D09"/>
    <w:rsid w:val="00171E5F"/>
    <w:rsid w:val="0017205E"/>
    <w:rsid w:val="0017216D"/>
    <w:rsid w:val="001723B5"/>
    <w:rsid w:val="00172566"/>
    <w:rsid w:val="00172A27"/>
    <w:rsid w:val="00172A57"/>
    <w:rsid w:val="00172AB8"/>
    <w:rsid w:val="00172B07"/>
    <w:rsid w:val="00172C65"/>
    <w:rsid w:val="00173B63"/>
    <w:rsid w:val="00174470"/>
    <w:rsid w:val="001745D1"/>
    <w:rsid w:val="0017468C"/>
    <w:rsid w:val="00174CFF"/>
    <w:rsid w:val="00174DAE"/>
    <w:rsid w:val="00174E12"/>
    <w:rsid w:val="00175410"/>
    <w:rsid w:val="001754A6"/>
    <w:rsid w:val="0017552A"/>
    <w:rsid w:val="00175535"/>
    <w:rsid w:val="0017564E"/>
    <w:rsid w:val="00175B22"/>
    <w:rsid w:val="00175DE1"/>
    <w:rsid w:val="0017608D"/>
    <w:rsid w:val="0017618B"/>
    <w:rsid w:val="001764D8"/>
    <w:rsid w:val="00176DCF"/>
    <w:rsid w:val="00176F11"/>
    <w:rsid w:val="00177477"/>
    <w:rsid w:val="0017786C"/>
    <w:rsid w:val="00177BAF"/>
    <w:rsid w:val="00177FBC"/>
    <w:rsid w:val="001804C7"/>
    <w:rsid w:val="001807D5"/>
    <w:rsid w:val="00180C6F"/>
    <w:rsid w:val="00180DBC"/>
    <w:rsid w:val="0018104E"/>
    <w:rsid w:val="001816BB"/>
    <w:rsid w:val="00181F06"/>
    <w:rsid w:val="00181FDE"/>
    <w:rsid w:val="001822F6"/>
    <w:rsid w:val="0018249C"/>
    <w:rsid w:val="00182588"/>
    <w:rsid w:val="00182893"/>
    <w:rsid w:val="00182AB3"/>
    <w:rsid w:val="00182E4C"/>
    <w:rsid w:val="00183031"/>
    <w:rsid w:val="001833C1"/>
    <w:rsid w:val="00183C1E"/>
    <w:rsid w:val="00183FD6"/>
    <w:rsid w:val="0018443D"/>
    <w:rsid w:val="00184754"/>
    <w:rsid w:val="001849EA"/>
    <w:rsid w:val="00184B49"/>
    <w:rsid w:val="00185782"/>
    <w:rsid w:val="00185916"/>
    <w:rsid w:val="001859B6"/>
    <w:rsid w:val="00185F7F"/>
    <w:rsid w:val="0018656F"/>
    <w:rsid w:val="001868FC"/>
    <w:rsid w:val="00186A37"/>
    <w:rsid w:val="00186E42"/>
    <w:rsid w:val="00187602"/>
    <w:rsid w:val="0018788D"/>
    <w:rsid w:val="00187ABB"/>
    <w:rsid w:val="00187D3F"/>
    <w:rsid w:val="00187DD9"/>
    <w:rsid w:val="00190323"/>
    <w:rsid w:val="0019053B"/>
    <w:rsid w:val="00190D9C"/>
    <w:rsid w:val="00190F9C"/>
    <w:rsid w:val="0019105E"/>
    <w:rsid w:val="00191E8E"/>
    <w:rsid w:val="0019211E"/>
    <w:rsid w:val="00192658"/>
    <w:rsid w:val="001928AB"/>
    <w:rsid w:val="00192B94"/>
    <w:rsid w:val="00192DF3"/>
    <w:rsid w:val="00193039"/>
    <w:rsid w:val="00193448"/>
    <w:rsid w:val="00193703"/>
    <w:rsid w:val="00193779"/>
    <w:rsid w:val="00193EC3"/>
    <w:rsid w:val="00193F78"/>
    <w:rsid w:val="00193FED"/>
    <w:rsid w:val="00194118"/>
    <w:rsid w:val="0019453A"/>
    <w:rsid w:val="001946FC"/>
    <w:rsid w:val="00194AA8"/>
    <w:rsid w:val="001954F8"/>
    <w:rsid w:val="00195F68"/>
    <w:rsid w:val="00196333"/>
    <w:rsid w:val="0019677C"/>
    <w:rsid w:val="0019686F"/>
    <w:rsid w:val="00196C4B"/>
    <w:rsid w:val="00196EC7"/>
    <w:rsid w:val="00197220"/>
    <w:rsid w:val="001974D8"/>
    <w:rsid w:val="00197849"/>
    <w:rsid w:val="00197C7D"/>
    <w:rsid w:val="00197EE6"/>
    <w:rsid w:val="001A0458"/>
    <w:rsid w:val="001A07BB"/>
    <w:rsid w:val="001A0D02"/>
    <w:rsid w:val="001A0E84"/>
    <w:rsid w:val="001A0EE0"/>
    <w:rsid w:val="001A0F10"/>
    <w:rsid w:val="001A1164"/>
    <w:rsid w:val="001A12B3"/>
    <w:rsid w:val="001A1341"/>
    <w:rsid w:val="001A1C46"/>
    <w:rsid w:val="001A1E7D"/>
    <w:rsid w:val="001A1EF1"/>
    <w:rsid w:val="001A22D6"/>
    <w:rsid w:val="001A2709"/>
    <w:rsid w:val="001A3056"/>
    <w:rsid w:val="001A34E6"/>
    <w:rsid w:val="001A3AB4"/>
    <w:rsid w:val="001A3BCA"/>
    <w:rsid w:val="001A3D84"/>
    <w:rsid w:val="001A3D8D"/>
    <w:rsid w:val="001A3E2D"/>
    <w:rsid w:val="001A3EEA"/>
    <w:rsid w:val="001A4022"/>
    <w:rsid w:val="001A4038"/>
    <w:rsid w:val="001A468C"/>
    <w:rsid w:val="001A4D7A"/>
    <w:rsid w:val="001A5641"/>
    <w:rsid w:val="001A5DEA"/>
    <w:rsid w:val="001A5FDA"/>
    <w:rsid w:val="001A61F5"/>
    <w:rsid w:val="001A643F"/>
    <w:rsid w:val="001A6C1F"/>
    <w:rsid w:val="001A6F16"/>
    <w:rsid w:val="001A7030"/>
    <w:rsid w:val="001A703B"/>
    <w:rsid w:val="001A7102"/>
    <w:rsid w:val="001A726F"/>
    <w:rsid w:val="001A7958"/>
    <w:rsid w:val="001B02FB"/>
    <w:rsid w:val="001B0675"/>
    <w:rsid w:val="001B06C0"/>
    <w:rsid w:val="001B09BF"/>
    <w:rsid w:val="001B0D32"/>
    <w:rsid w:val="001B0E81"/>
    <w:rsid w:val="001B10D0"/>
    <w:rsid w:val="001B16D9"/>
    <w:rsid w:val="001B17CE"/>
    <w:rsid w:val="001B18C7"/>
    <w:rsid w:val="001B194E"/>
    <w:rsid w:val="001B199F"/>
    <w:rsid w:val="001B19CA"/>
    <w:rsid w:val="001B2A77"/>
    <w:rsid w:val="001B30FE"/>
    <w:rsid w:val="001B3235"/>
    <w:rsid w:val="001B33F6"/>
    <w:rsid w:val="001B3BC8"/>
    <w:rsid w:val="001B3C7F"/>
    <w:rsid w:val="001B3CA4"/>
    <w:rsid w:val="001B447F"/>
    <w:rsid w:val="001B4B14"/>
    <w:rsid w:val="001B4BA0"/>
    <w:rsid w:val="001B539C"/>
    <w:rsid w:val="001B53DE"/>
    <w:rsid w:val="001B53F1"/>
    <w:rsid w:val="001B56CE"/>
    <w:rsid w:val="001B612B"/>
    <w:rsid w:val="001B61F4"/>
    <w:rsid w:val="001B6426"/>
    <w:rsid w:val="001B655C"/>
    <w:rsid w:val="001B6A00"/>
    <w:rsid w:val="001B6BBE"/>
    <w:rsid w:val="001B6E92"/>
    <w:rsid w:val="001B6EE0"/>
    <w:rsid w:val="001B740A"/>
    <w:rsid w:val="001B74EF"/>
    <w:rsid w:val="001B77CE"/>
    <w:rsid w:val="001C027F"/>
    <w:rsid w:val="001C162B"/>
    <w:rsid w:val="001C17D8"/>
    <w:rsid w:val="001C180D"/>
    <w:rsid w:val="001C1C8D"/>
    <w:rsid w:val="001C250B"/>
    <w:rsid w:val="001C2634"/>
    <w:rsid w:val="001C29DD"/>
    <w:rsid w:val="001C2A97"/>
    <w:rsid w:val="001C2B1A"/>
    <w:rsid w:val="001C2EE4"/>
    <w:rsid w:val="001C2FE8"/>
    <w:rsid w:val="001C30BA"/>
    <w:rsid w:val="001C3172"/>
    <w:rsid w:val="001C3278"/>
    <w:rsid w:val="001C4535"/>
    <w:rsid w:val="001C4595"/>
    <w:rsid w:val="001C4ACC"/>
    <w:rsid w:val="001C4CCD"/>
    <w:rsid w:val="001C4D67"/>
    <w:rsid w:val="001C55C2"/>
    <w:rsid w:val="001C5EEB"/>
    <w:rsid w:val="001C6285"/>
    <w:rsid w:val="001C64D1"/>
    <w:rsid w:val="001C6521"/>
    <w:rsid w:val="001C66EC"/>
    <w:rsid w:val="001C6ADD"/>
    <w:rsid w:val="001C6BC8"/>
    <w:rsid w:val="001C6C66"/>
    <w:rsid w:val="001C6CD4"/>
    <w:rsid w:val="001C703E"/>
    <w:rsid w:val="001C726F"/>
    <w:rsid w:val="001C740F"/>
    <w:rsid w:val="001C7C00"/>
    <w:rsid w:val="001C7FB5"/>
    <w:rsid w:val="001D0064"/>
    <w:rsid w:val="001D01CF"/>
    <w:rsid w:val="001D0364"/>
    <w:rsid w:val="001D0472"/>
    <w:rsid w:val="001D1552"/>
    <w:rsid w:val="001D161F"/>
    <w:rsid w:val="001D198E"/>
    <w:rsid w:val="001D25AD"/>
    <w:rsid w:val="001D2D76"/>
    <w:rsid w:val="001D3069"/>
    <w:rsid w:val="001D324F"/>
    <w:rsid w:val="001D32AF"/>
    <w:rsid w:val="001D34F7"/>
    <w:rsid w:val="001D3C29"/>
    <w:rsid w:val="001D46FA"/>
    <w:rsid w:val="001D4B6A"/>
    <w:rsid w:val="001D4BCD"/>
    <w:rsid w:val="001D4C94"/>
    <w:rsid w:val="001D5170"/>
    <w:rsid w:val="001D51CD"/>
    <w:rsid w:val="001D545E"/>
    <w:rsid w:val="001D548E"/>
    <w:rsid w:val="001D564D"/>
    <w:rsid w:val="001D56EF"/>
    <w:rsid w:val="001D5D08"/>
    <w:rsid w:val="001D5D25"/>
    <w:rsid w:val="001D5FF4"/>
    <w:rsid w:val="001D6542"/>
    <w:rsid w:val="001D65CE"/>
    <w:rsid w:val="001D6A6E"/>
    <w:rsid w:val="001D6B91"/>
    <w:rsid w:val="001D6DBB"/>
    <w:rsid w:val="001D6FA3"/>
    <w:rsid w:val="001D77D1"/>
    <w:rsid w:val="001E01FF"/>
    <w:rsid w:val="001E0245"/>
    <w:rsid w:val="001E0690"/>
    <w:rsid w:val="001E0A8C"/>
    <w:rsid w:val="001E0AB7"/>
    <w:rsid w:val="001E1095"/>
    <w:rsid w:val="001E1578"/>
    <w:rsid w:val="001E1D3A"/>
    <w:rsid w:val="001E244F"/>
    <w:rsid w:val="001E2519"/>
    <w:rsid w:val="001E2A31"/>
    <w:rsid w:val="001E2FFC"/>
    <w:rsid w:val="001E320A"/>
    <w:rsid w:val="001E33BB"/>
    <w:rsid w:val="001E3A13"/>
    <w:rsid w:val="001E3A75"/>
    <w:rsid w:val="001E3CCD"/>
    <w:rsid w:val="001E4077"/>
    <w:rsid w:val="001E43D0"/>
    <w:rsid w:val="001E47F0"/>
    <w:rsid w:val="001E4C3E"/>
    <w:rsid w:val="001E53C7"/>
    <w:rsid w:val="001E5ACA"/>
    <w:rsid w:val="001E5EEF"/>
    <w:rsid w:val="001E6218"/>
    <w:rsid w:val="001E665D"/>
    <w:rsid w:val="001E6C39"/>
    <w:rsid w:val="001E7018"/>
    <w:rsid w:val="001E71B9"/>
    <w:rsid w:val="001E7278"/>
    <w:rsid w:val="001E7321"/>
    <w:rsid w:val="001E7EA7"/>
    <w:rsid w:val="001E7F8B"/>
    <w:rsid w:val="001F010C"/>
    <w:rsid w:val="001F0A5A"/>
    <w:rsid w:val="001F161D"/>
    <w:rsid w:val="001F1921"/>
    <w:rsid w:val="001F1B59"/>
    <w:rsid w:val="001F1E93"/>
    <w:rsid w:val="001F1F3A"/>
    <w:rsid w:val="001F2145"/>
    <w:rsid w:val="001F29C2"/>
    <w:rsid w:val="001F2BB5"/>
    <w:rsid w:val="001F2C1D"/>
    <w:rsid w:val="001F3025"/>
    <w:rsid w:val="001F318F"/>
    <w:rsid w:val="001F3626"/>
    <w:rsid w:val="001F36AA"/>
    <w:rsid w:val="001F3D38"/>
    <w:rsid w:val="001F40E6"/>
    <w:rsid w:val="001F424C"/>
    <w:rsid w:val="001F43DF"/>
    <w:rsid w:val="001F4529"/>
    <w:rsid w:val="001F4562"/>
    <w:rsid w:val="001F45F6"/>
    <w:rsid w:val="001F473F"/>
    <w:rsid w:val="001F47D2"/>
    <w:rsid w:val="001F4B63"/>
    <w:rsid w:val="001F4C38"/>
    <w:rsid w:val="001F4FEE"/>
    <w:rsid w:val="001F500D"/>
    <w:rsid w:val="001F5284"/>
    <w:rsid w:val="001F5320"/>
    <w:rsid w:val="001F5BB4"/>
    <w:rsid w:val="001F63CD"/>
    <w:rsid w:val="001F640D"/>
    <w:rsid w:val="001F65D3"/>
    <w:rsid w:val="001F68A9"/>
    <w:rsid w:val="001F70FC"/>
    <w:rsid w:val="001F729E"/>
    <w:rsid w:val="001F72C0"/>
    <w:rsid w:val="00200487"/>
    <w:rsid w:val="00200638"/>
    <w:rsid w:val="00200C39"/>
    <w:rsid w:val="00200E9B"/>
    <w:rsid w:val="00200EAE"/>
    <w:rsid w:val="00201520"/>
    <w:rsid w:val="002019C6"/>
    <w:rsid w:val="00201E1C"/>
    <w:rsid w:val="00202115"/>
    <w:rsid w:val="00202366"/>
    <w:rsid w:val="00202438"/>
    <w:rsid w:val="002025D4"/>
    <w:rsid w:val="00202B4A"/>
    <w:rsid w:val="0020323B"/>
    <w:rsid w:val="0020341E"/>
    <w:rsid w:val="00203610"/>
    <w:rsid w:val="00203677"/>
    <w:rsid w:val="00203A06"/>
    <w:rsid w:val="002044D0"/>
    <w:rsid w:val="00204708"/>
    <w:rsid w:val="0020476D"/>
    <w:rsid w:val="00204AAF"/>
    <w:rsid w:val="00204B84"/>
    <w:rsid w:val="00204CC2"/>
    <w:rsid w:val="00204E22"/>
    <w:rsid w:val="0020521F"/>
    <w:rsid w:val="00205629"/>
    <w:rsid w:val="00205A34"/>
    <w:rsid w:val="00205D3C"/>
    <w:rsid w:val="00205F89"/>
    <w:rsid w:val="002062A7"/>
    <w:rsid w:val="0020635D"/>
    <w:rsid w:val="0020680A"/>
    <w:rsid w:val="002068F7"/>
    <w:rsid w:val="00206A54"/>
    <w:rsid w:val="002074BB"/>
    <w:rsid w:val="002074FF"/>
    <w:rsid w:val="002077BE"/>
    <w:rsid w:val="002079AB"/>
    <w:rsid w:val="00210232"/>
    <w:rsid w:val="002104AF"/>
    <w:rsid w:val="0021052F"/>
    <w:rsid w:val="00210545"/>
    <w:rsid w:val="00210AE2"/>
    <w:rsid w:val="00210C87"/>
    <w:rsid w:val="00210C8A"/>
    <w:rsid w:val="00210ED0"/>
    <w:rsid w:val="002115C8"/>
    <w:rsid w:val="0021166B"/>
    <w:rsid w:val="002118C1"/>
    <w:rsid w:val="00212167"/>
    <w:rsid w:val="002121EE"/>
    <w:rsid w:val="00212345"/>
    <w:rsid w:val="002123B4"/>
    <w:rsid w:val="00212569"/>
    <w:rsid w:val="00212940"/>
    <w:rsid w:val="00212B16"/>
    <w:rsid w:val="00212EBB"/>
    <w:rsid w:val="00212FF2"/>
    <w:rsid w:val="0021327E"/>
    <w:rsid w:val="00213295"/>
    <w:rsid w:val="002134EB"/>
    <w:rsid w:val="002135C4"/>
    <w:rsid w:val="00213905"/>
    <w:rsid w:val="00213ADA"/>
    <w:rsid w:val="00213BC3"/>
    <w:rsid w:val="00214075"/>
    <w:rsid w:val="002146D5"/>
    <w:rsid w:val="00214C30"/>
    <w:rsid w:val="00215C36"/>
    <w:rsid w:val="002160E7"/>
    <w:rsid w:val="002163FD"/>
    <w:rsid w:val="002169C1"/>
    <w:rsid w:val="00216D6C"/>
    <w:rsid w:val="00216FB8"/>
    <w:rsid w:val="0021702A"/>
    <w:rsid w:val="002173BB"/>
    <w:rsid w:val="00217C02"/>
    <w:rsid w:val="00217CF0"/>
    <w:rsid w:val="00217E4D"/>
    <w:rsid w:val="00217FF5"/>
    <w:rsid w:val="0022004C"/>
    <w:rsid w:val="002200FB"/>
    <w:rsid w:val="00220382"/>
    <w:rsid w:val="002203E9"/>
    <w:rsid w:val="00220D0C"/>
    <w:rsid w:val="00220D69"/>
    <w:rsid w:val="002213ED"/>
    <w:rsid w:val="00221652"/>
    <w:rsid w:val="002217A1"/>
    <w:rsid w:val="0022195E"/>
    <w:rsid w:val="0022255F"/>
    <w:rsid w:val="002225DA"/>
    <w:rsid w:val="00223A90"/>
    <w:rsid w:val="00224090"/>
    <w:rsid w:val="00224113"/>
    <w:rsid w:val="00224229"/>
    <w:rsid w:val="0022446D"/>
    <w:rsid w:val="0022482A"/>
    <w:rsid w:val="00224915"/>
    <w:rsid w:val="0022493F"/>
    <w:rsid w:val="00224E21"/>
    <w:rsid w:val="00224EE1"/>
    <w:rsid w:val="00224F0F"/>
    <w:rsid w:val="0022579F"/>
    <w:rsid w:val="00225A38"/>
    <w:rsid w:val="00225BBD"/>
    <w:rsid w:val="00225BC7"/>
    <w:rsid w:val="0022602A"/>
    <w:rsid w:val="00226288"/>
    <w:rsid w:val="0022644F"/>
    <w:rsid w:val="002266BC"/>
    <w:rsid w:val="00226803"/>
    <w:rsid w:val="002268C0"/>
    <w:rsid w:val="00226999"/>
    <w:rsid w:val="00226AFD"/>
    <w:rsid w:val="00226BCE"/>
    <w:rsid w:val="00226C35"/>
    <w:rsid w:val="00226FE9"/>
    <w:rsid w:val="00227518"/>
    <w:rsid w:val="00227770"/>
    <w:rsid w:val="00227E24"/>
    <w:rsid w:val="0023013E"/>
    <w:rsid w:val="0023030D"/>
    <w:rsid w:val="00230487"/>
    <w:rsid w:val="002306A1"/>
    <w:rsid w:val="00230845"/>
    <w:rsid w:val="002308ED"/>
    <w:rsid w:val="00230E5B"/>
    <w:rsid w:val="00231496"/>
    <w:rsid w:val="00231872"/>
    <w:rsid w:val="002318AD"/>
    <w:rsid w:val="00231946"/>
    <w:rsid w:val="00231BC2"/>
    <w:rsid w:val="00231CD6"/>
    <w:rsid w:val="00231FF3"/>
    <w:rsid w:val="00232234"/>
    <w:rsid w:val="002322D3"/>
    <w:rsid w:val="00232383"/>
    <w:rsid w:val="002323F1"/>
    <w:rsid w:val="00232D3A"/>
    <w:rsid w:val="00233199"/>
    <w:rsid w:val="00233520"/>
    <w:rsid w:val="00233A39"/>
    <w:rsid w:val="00233AB6"/>
    <w:rsid w:val="00233ED5"/>
    <w:rsid w:val="0023407B"/>
    <w:rsid w:val="00234958"/>
    <w:rsid w:val="00234965"/>
    <w:rsid w:val="0023496C"/>
    <w:rsid w:val="00234B0A"/>
    <w:rsid w:val="00234F5A"/>
    <w:rsid w:val="00235141"/>
    <w:rsid w:val="002352C8"/>
    <w:rsid w:val="0023532A"/>
    <w:rsid w:val="00235805"/>
    <w:rsid w:val="002359AA"/>
    <w:rsid w:val="00235B9A"/>
    <w:rsid w:val="00235BE1"/>
    <w:rsid w:val="00235E4D"/>
    <w:rsid w:val="00235FED"/>
    <w:rsid w:val="002361BB"/>
    <w:rsid w:val="00236398"/>
    <w:rsid w:val="0023659B"/>
    <w:rsid w:val="0023676C"/>
    <w:rsid w:val="00236BA9"/>
    <w:rsid w:val="00237AAD"/>
    <w:rsid w:val="002402AB"/>
    <w:rsid w:val="002404D0"/>
    <w:rsid w:val="002404ED"/>
    <w:rsid w:val="002406E8"/>
    <w:rsid w:val="00240945"/>
    <w:rsid w:val="00240B39"/>
    <w:rsid w:val="00240E06"/>
    <w:rsid w:val="0024100A"/>
    <w:rsid w:val="0024105C"/>
    <w:rsid w:val="002410F7"/>
    <w:rsid w:val="0024135D"/>
    <w:rsid w:val="0024146C"/>
    <w:rsid w:val="002414C9"/>
    <w:rsid w:val="002419F8"/>
    <w:rsid w:val="002420BA"/>
    <w:rsid w:val="002422CC"/>
    <w:rsid w:val="002425F2"/>
    <w:rsid w:val="00242753"/>
    <w:rsid w:val="002428F3"/>
    <w:rsid w:val="00243004"/>
    <w:rsid w:val="00243090"/>
    <w:rsid w:val="002434E1"/>
    <w:rsid w:val="00243858"/>
    <w:rsid w:val="002438A5"/>
    <w:rsid w:val="00243DBB"/>
    <w:rsid w:val="00243F8B"/>
    <w:rsid w:val="0024437D"/>
    <w:rsid w:val="002443C8"/>
    <w:rsid w:val="00244587"/>
    <w:rsid w:val="00244709"/>
    <w:rsid w:val="0024471F"/>
    <w:rsid w:val="00244F34"/>
    <w:rsid w:val="0024535A"/>
    <w:rsid w:val="002453EB"/>
    <w:rsid w:val="00245460"/>
    <w:rsid w:val="0024550B"/>
    <w:rsid w:val="0024584D"/>
    <w:rsid w:val="00245CD1"/>
    <w:rsid w:val="00245F7A"/>
    <w:rsid w:val="0024604F"/>
    <w:rsid w:val="002466C5"/>
    <w:rsid w:val="002467CE"/>
    <w:rsid w:val="002468FC"/>
    <w:rsid w:val="00246C4C"/>
    <w:rsid w:val="00246DB5"/>
    <w:rsid w:val="00247628"/>
    <w:rsid w:val="00247727"/>
    <w:rsid w:val="00247BE6"/>
    <w:rsid w:val="00247BE8"/>
    <w:rsid w:val="00247EB7"/>
    <w:rsid w:val="00250602"/>
    <w:rsid w:val="00250825"/>
    <w:rsid w:val="00250908"/>
    <w:rsid w:val="00250A71"/>
    <w:rsid w:val="0025182A"/>
    <w:rsid w:val="00251B10"/>
    <w:rsid w:val="00251F23"/>
    <w:rsid w:val="00251F73"/>
    <w:rsid w:val="00252240"/>
    <w:rsid w:val="00252345"/>
    <w:rsid w:val="0025238D"/>
    <w:rsid w:val="0025244C"/>
    <w:rsid w:val="0025278C"/>
    <w:rsid w:val="002528B6"/>
    <w:rsid w:val="00252920"/>
    <w:rsid w:val="00252ABF"/>
    <w:rsid w:val="00252D04"/>
    <w:rsid w:val="00252F71"/>
    <w:rsid w:val="00253308"/>
    <w:rsid w:val="002533BA"/>
    <w:rsid w:val="00253639"/>
    <w:rsid w:val="00253699"/>
    <w:rsid w:val="00253730"/>
    <w:rsid w:val="00253967"/>
    <w:rsid w:val="00253DC9"/>
    <w:rsid w:val="00253E34"/>
    <w:rsid w:val="002544AC"/>
    <w:rsid w:val="00254D66"/>
    <w:rsid w:val="00254FA2"/>
    <w:rsid w:val="00255004"/>
    <w:rsid w:val="0025514B"/>
    <w:rsid w:val="00255236"/>
    <w:rsid w:val="0025549A"/>
    <w:rsid w:val="00255987"/>
    <w:rsid w:val="00255EE4"/>
    <w:rsid w:val="002562E1"/>
    <w:rsid w:val="0025632B"/>
    <w:rsid w:val="00256375"/>
    <w:rsid w:val="002569B9"/>
    <w:rsid w:val="00256A3F"/>
    <w:rsid w:val="00256A88"/>
    <w:rsid w:val="00256D5F"/>
    <w:rsid w:val="00256EDE"/>
    <w:rsid w:val="0025798B"/>
    <w:rsid w:val="00257BEA"/>
    <w:rsid w:val="0026011B"/>
    <w:rsid w:val="00260189"/>
    <w:rsid w:val="00260938"/>
    <w:rsid w:val="00260F64"/>
    <w:rsid w:val="00260FCB"/>
    <w:rsid w:val="00261C06"/>
    <w:rsid w:val="00261DF8"/>
    <w:rsid w:val="00261DFE"/>
    <w:rsid w:val="00262556"/>
    <w:rsid w:val="0026256E"/>
    <w:rsid w:val="00262576"/>
    <w:rsid w:val="00262C10"/>
    <w:rsid w:val="00262E85"/>
    <w:rsid w:val="00262FBB"/>
    <w:rsid w:val="0026334F"/>
    <w:rsid w:val="00263B15"/>
    <w:rsid w:val="00263B3C"/>
    <w:rsid w:val="0026460A"/>
    <w:rsid w:val="002646E7"/>
    <w:rsid w:val="002649ED"/>
    <w:rsid w:val="00264DE6"/>
    <w:rsid w:val="00264F04"/>
    <w:rsid w:val="002658B0"/>
    <w:rsid w:val="0026620D"/>
    <w:rsid w:val="00266580"/>
    <w:rsid w:val="00266618"/>
    <w:rsid w:val="002666EA"/>
    <w:rsid w:val="00266A6B"/>
    <w:rsid w:val="00266D32"/>
    <w:rsid w:val="00266FF6"/>
    <w:rsid w:val="0026720D"/>
    <w:rsid w:val="002674D5"/>
    <w:rsid w:val="0026764C"/>
    <w:rsid w:val="002676EB"/>
    <w:rsid w:val="00267992"/>
    <w:rsid w:val="00267D17"/>
    <w:rsid w:val="00267DFE"/>
    <w:rsid w:val="00267E8E"/>
    <w:rsid w:val="00267E97"/>
    <w:rsid w:val="00267EBE"/>
    <w:rsid w:val="00270078"/>
    <w:rsid w:val="002705FF"/>
    <w:rsid w:val="002711BB"/>
    <w:rsid w:val="002712AF"/>
    <w:rsid w:val="002717FC"/>
    <w:rsid w:val="002718DA"/>
    <w:rsid w:val="00271CD7"/>
    <w:rsid w:val="002721F7"/>
    <w:rsid w:val="00272927"/>
    <w:rsid w:val="00272940"/>
    <w:rsid w:val="00272B4D"/>
    <w:rsid w:val="002736A6"/>
    <w:rsid w:val="00273904"/>
    <w:rsid w:val="00274176"/>
    <w:rsid w:val="00274573"/>
    <w:rsid w:val="002748C4"/>
    <w:rsid w:val="00274933"/>
    <w:rsid w:val="0027517E"/>
    <w:rsid w:val="002754E9"/>
    <w:rsid w:val="002754FB"/>
    <w:rsid w:val="002756AD"/>
    <w:rsid w:val="00275717"/>
    <w:rsid w:val="002758E5"/>
    <w:rsid w:val="0027591B"/>
    <w:rsid w:val="00275D4F"/>
    <w:rsid w:val="00275FB5"/>
    <w:rsid w:val="00276050"/>
    <w:rsid w:val="002761C6"/>
    <w:rsid w:val="00276B0B"/>
    <w:rsid w:val="00276B11"/>
    <w:rsid w:val="00276DD2"/>
    <w:rsid w:val="002771B5"/>
    <w:rsid w:val="002772F1"/>
    <w:rsid w:val="00277566"/>
    <w:rsid w:val="00277733"/>
    <w:rsid w:val="0027794F"/>
    <w:rsid w:val="00277AEC"/>
    <w:rsid w:val="00277AF4"/>
    <w:rsid w:val="00277D00"/>
    <w:rsid w:val="00277D8D"/>
    <w:rsid w:val="00277F99"/>
    <w:rsid w:val="00280082"/>
    <w:rsid w:val="002802D6"/>
    <w:rsid w:val="002805F2"/>
    <w:rsid w:val="00280700"/>
    <w:rsid w:val="002809F9"/>
    <w:rsid w:val="00280FCA"/>
    <w:rsid w:val="002810B6"/>
    <w:rsid w:val="0028115F"/>
    <w:rsid w:val="0028155D"/>
    <w:rsid w:val="00281718"/>
    <w:rsid w:val="0028204D"/>
    <w:rsid w:val="00282926"/>
    <w:rsid w:val="002829FC"/>
    <w:rsid w:val="00282B64"/>
    <w:rsid w:val="00282CEF"/>
    <w:rsid w:val="00282EFB"/>
    <w:rsid w:val="00282F85"/>
    <w:rsid w:val="0028324B"/>
    <w:rsid w:val="00283B3C"/>
    <w:rsid w:val="002841E6"/>
    <w:rsid w:val="002845BC"/>
    <w:rsid w:val="00284ABA"/>
    <w:rsid w:val="00284AE8"/>
    <w:rsid w:val="00284F47"/>
    <w:rsid w:val="002851AF"/>
    <w:rsid w:val="00285250"/>
    <w:rsid w:val="0028548F"/>
    <w:rsid w:val="00285651"/>
    <w:rsid w:val="00285AEB"/>
    <w:rsid w:val="00285DCC"/>
    <w:rsid w:val="0028616E"/>
    <w:rsid w:val="00286384"/>
    <w:rsid w:val="0028704E"/>
    <w:rsid w:val="00287719"/>
    <w:rsid w:val="0028771F"/>
    <w:rsid w:val="00287994"/>
    <w:rsid w:val="002900EA"/>
    <w:rsid w:val="002902A6"/>
    <w:rsid w:val="00290592"/>
    <w:rsid w:val="00290BBE"/>
    <w:rsid w:val="0029129D"/>
    <w:rsid w:val="00291506"/>
    <w:rsid w:val="0029160D"/>
    <w:rsid w:val="00292063"/>
    <w:rsid w:val="00292066"/>
    <w:rsid w:val="0029213C"/>
    <w:rsid w:val="0029230A"/>
    <w:rsid w:val="00292338"/>
    <w:rsid w:val="002924D2"/>
    <w:rsid w:val="0029266A"/>
    <w:rsid w:val="00292A77"/>
    <w:rsid w:val="00292EEA"/>
    <w:rsid w:val="00293204"/>
    <w:rsid w:val="0029323A"/>
    <w:rsid w:val="00293CBB"/>
    <w:rsid w:val="00293DAE"/>
    <w:rsid w:val="00294146"/>
    <w:rsid w:val="00294231"/>
    <w:rsid w:val="002948C3"/>
    <w:rsid w:val="00294ABF"/>
    <w:rsid w:val="00294DFA"/>
    <w:rsid w:val="00294F5F"/>
    <w:rsid w:val="0029507B"/>
    <w:rsid w:val="00295730"/>
    <w:rsid w:val="002959CF"/>
    <w:rsid w:val="00296385"/>
    <w:rsid w:val="00296DBC"/>
    <w:rsid w:val="0029706C"/>
    <w:rsid w:val="0029724D"/>
    <w:rsid w:val="0029728E"/>
    <w:rsid w:val="002977DE"/>
    <w:rsid w:val="002978C2"/>
    <w:rsid w:val="002978F8"/>
    <w:rsid w:val="00297939"/>
    <w:rsid w:val="00297AE4"/>
    <w:rsid w:val="00297B58"/>
    <w:rsid w:val="00297E14"/>
    <w:rsid w:val="002A010B"/>
    <w:rsid w:val="002A0434"/>
    <w:rsid w:val="002A07AB"/>
    <w:rsid w:val="002A08C2"/>
    <w:rsid w:val="002A09C0"/>
    <w:rsid w:val="002A0A3F"/>
    <w:rsid w:val="002A0B2D"/>
    <w:rsid w:val="002A0BB1"/>
    <w:rsid w:val="002A1051"/>
    <w:rsid w:val="002A14C3"/>
    <w:rsid w:val="002A1508"/>
    <w:rsid w:val="002A162A"/>
    <w:rsid w:val="002A1723"/>
    <w:rsid w:val="002A1BE9"/>
    <w:rsid w:val="002A1C02"/>
    <w:rsid w:val="002A1D51"/>
    <w:rsid w:val="002A1E2F"/>
    <w:rsid w:val="002A2614"/>
    <w:rsid w:val="002A2759"/>
    <w:rsid w:val="002A28C7"/>
    <w:rsid w:val="002A29C7"/>
    <w:rsid w:val="002A2D55"/>
    <w:rsid w:val="002A2DBE"/>
    <w:rsid w:val="002A31B3"/>
    <w:rsid w:val="002A3385"/>
    <w:rsid w:val="002A34F1"/>
    <w:rsid w:val="002A35F7"/>
    <w:rsid w:val="002A3CC0"/>
    <w:rsid w:val="002A40A1"/>
    <w:rsid w:val="002A41E1"/>
    <w:rsid w:val="002A457A"/>
    <w:rsid w:val="002A49A5"/>
    <w:rsid w:val="002A4AFE"/>
    <w:rsid w:val="002A4D23"/>
    <w:rsid w:val="002A53A4"/>
    <w:rsid w:val="002A5516"/>
    <w:rsid w:val="002A5630"/>
    <w:rsid w:val="002A580F"/>
    <w:rsid w:val="002A5C66"/>
    <w:rsid w:val="002A6483"/>
    <w:rsid w:val="002A6733"/>
    <w:rsid w:val="002A69F1"/>
    <w:rsid w:val="002A74CA"/>
    <w:rsid w:val="002A7A8A"/>
    <w:rsid w:val="002A7FE7"/>
    <w:rsid w:val="002B0110"/>
    <w:rsid w:val="002B0E8C"/>
    <w:rsid w:val="002B0F06"/>
    <w:rsid w:val="002B1106"/>
    <w:rsid w:val="002B1D1C"/>
    <w:rsid w:val="002B2013"/>
    <w:rsid w:val="002B211C"/>
    <w:rsid w:val="002B2669"/>
    <w:rsid w:val="002B2875"/>
    <w:rsid w:val="002B2A08"/>
    <w:rsid w:val="002B2BF6"/>
    <w:rsid w:val="002B2DAF"/>
    <w:rsid w:val="002B303C"/>
    <w:rsid w:val="002B34B0"/>
    <w:rsid w:val="002B4001"/>
    <w:rsid w:val="002B414B"/>
    <w:rsid w:val="002B41CD"/>
    <w:rsid w:val="002B42F3"/>
    <w:rsid w:val="002B455B"/>
    <w:rsid w:val="002B45C0"/>
    <w:rsid w:val="002B4B18"/>
    <w:rsid w:val="002B4BA3"/>
    <w:rsid w:val="002B4BC0"/>
    <w:rsid w:val="002B4E7B"/>
    <w:rsid w:val="002B5038"/>
    <w:rsid w:val="002B535C"/>
    <w:rsid w:val="002B59E2"/>
    <w:rsid w:val="002B5DD4"/>
    <w:rsid w:val="002B6231"/>
    <w:rsid w:val="002B6283"/>
    <w:rsid w:val="002B6576"/>
    <w:rsid w:val="002B65FA"/>
    <w:rsid w:val="002B665F"/>
    <w:rsid w:val="002B6BFB"/>
    <w:rsid w:val="002B6FE7"/>
    <w:rsid w:val="002B76FF"/>
    <w:rsid w:val="002C00BA"/>
    <w:rsid w:val="002C017E"/>
    <w:rsid w:val="002C0276"/>
    <w:rsid w:val="002C0518"/>
    <w:rsid w:val="002C0ADC"/>
    <w:rsid w:val="002C0D4C"/>
    <w:rsid w:val="002C10B2"/>
    <w:rsid w:val="002C1478"/>
    <w:rsid w:val="002C1625"/>
    <w:rsid w:val="002C17A2"/>
    <w:rsid w:val="002C1A37"/>
    <w:rsid w:val="002C2148"/>
    <w:rsid w:val="002C2216"/>
    <w:rsid w:val="002C222C"/>
    <w:rsid w:val="002C22B6"/>
    <w:rsid w:val="002C2702"/>
    <w:rsid w:val="002C2713"/>
    <w:rsid w:val="002C2858"/>
    <w:rsid w:val="002C2E31"/>
    <w:rsid w:val="002C2F5E"/>
    <w:rsid w:val="002C2F72"/>
    <w:rsid w:val="002C2FA7"/>
    <w:rsid w:val="002C3312"/>
    <w:rsid w:val="002C35D9"/>
    <w:rsid w:val="002C3620"/>
    <w:rsid w:val="002C3996"/>
    <w:rsid w:val="002C3D32"/>
    <w:rsid w:val="002C3DE4"/>
    <w:rsid w:val="002C3E63"/>
    <w:rsid w:val="002C44CF"/>
    <w:rsid w:val="002C4BF7"/>
    <w:rsid w:val="002C4E2B"/>
    <w:rsid w:val="002C4F96"/>
    <w:rsid w:val="002C4FF1"/>
    <w:rsid w:val="002C51E5"/>
    <w:rsid w:val="002C5249"/>
    <w:rsid w:val="002C5A36"/>
    <w:rsid w:val="002C5B9B"/>
    <w:rsid w:val="002C5BDF"/>
    <w:rsid w:val="002C5F39"/>
    <w:rsid w:val="002C6413"/>
    <w:rsid w:val="002C6B86"/>
    <w:rsid w:val="002C6F78"/>
    <w:rsid w:val="002C71F3"/>
    <w:rsid w:val="002C72DF"/>
    <w:rsid w:val="002C7374"/>
    <w:rsid w:val="002C7869"/>
    <w:rsid w:val="002C7DBA"/>
    <w:rsid w:val="002C7DE6"/>
    <w:rsid w:val="002C7EC6"/>
    <w:rsid w:val="002C7F0C"/>
    <w:rsid w:val="002D06FD"/>
    <w:rsid w:val="002D0700"/>
    <w:rsid w:val="002D078A"/>
    <w:rsid w:val="002D09F6"/>
    <w:rsid w:val="002D13A7"/>
    <w:rsid w:val="002D154E"/>
    <w:rsid w:val="002D16B0"/>
    <w:rsid w:val="002D196D"/>
    <w:rsid w:val="002D1A2B"/>
    <w:rsid w:val="002D1D17"/>
    <w:rsid w:val="002D2120"/>
    <w:rsid w:val="002D215B"/>
    <w:rsid w:val="002D2303"/>
    <w:rsid w:val="002D26CF"/>
    <w:rsid w:val="002D2EA0"/>
    <w:rsid w:val="002D3648"/>
    <w:rsid w:val="002D3A06"/>
    <w:rsid w:val="002D3AC5"/>
    <w:rsid w:val="002D3DA1"/>
    <w:rsid w:val="002D428A"/>
    <w:rsid w:val="002D436A"/>
    <w:rsid w:val="002D464F"/>
    <w:rsid w:val="002D4846"/>
    <w:rsid w:val="002D48A0"/>
    <w:rsid w:val="002D4B5C"/>
    <w:rsid w:val="002D5258"/>
    <w:rsid w:val="002D566F"/>
    <w:rsid w:val="002D5876"/>
    <w:rsid w:val="002D59D1"/>
    <w:rsid w:val="002D618B"/>
    <w:rsid w:val="002D61AC"/>
    <w:rsid w:val="002D6483"/>
    <w:rsid w:val="002D6543"/>
    <w:rsid w:val="002D657F"/>
    <w:rsid w:val="002D6666"/>
    <w:rsid w:val="002D66A6"/>
    <w:rsid w:val="002D677F"/>
    <w:rsid w:val="002D6B22"/>
    <w:rsid w:val="002D6D84"/>
    <w:rsid w:val="002D7929"/>
    <w:rsid w:val="002D7F0B"/>
    <w:rsid w:val="002E0162"/>
    <w:rsid w:val="002E07A5"/>
    <w:rsid w:val="002E098B"/>
    <w:rsid w:val="002E0B39"/>
    <w:rsid w:val="002E0B86"/>
    <w:rsid w:val="002E0D17"/>
    <w:rsid w:val="002E0EE2"/>
    <w:rsid w:val="002E0EEB"/>
    <w:rsid w:val="002E14D7"/>
    <w:rsid w:val="002E2286"/>
    <w:rsid w:val="002E2422"/>
    <w:rsid w:val="002E2463"/>
    <w:rsid w:val="002E30BB"/>
    <w:rsid w:val="002E349B"/>
    <w:rsid w:val="002E3A2D"/>
    <w:rsid w:val="002E3A95"/>
    <w:rsid w:val="002E3BFC"/>
    <w:rsid w:val="002E3EAF"/>
    <w:rsid w:val="002E4242"/>
    <w:rsid w:val="002E44F7"/>
    <w:rsid w:val="002E4677"/>
    <w:rsid w:val="002E4C5B"/>
    <w:rsid w:val="002E4D17"/>
    <w:rsid w:val="002E5E8C"/>
    <w:rsid w:val="002E5EB0"/>
    <w:rsid w:val="002E60BE"/>
    <w:rsid w:val="002E6247"/>
    <w:rsid w:val="002E6651"/>
    <w:rsid w:val="002E68D3"/>
    <w:rsid w:val="002E70BE"/>
    <w:rsid w:val="002F0045"/>
    <w:rsid w:val="002F02D8"/>
    <w:rsid w:val="002F02F0"/>
    <w:rsid w:val="002F045B"/>
    <w:rsid w:val="002F0A7C"/>
    <w:rsid w:val="002F0DE1"/>
    <w:rsid w:val="002F10C9"/>
    <w:rsid w:val="002F1817"/>
    <w:rsid w:val="002F1902"/>
    <w:rsid w:val="002F1E2A"/>
    <w:rsid w:val="002F1E83"/>
    <w:rsid w:val="002F1E9B"/>
    <w:rsid w:val="002F1FBD"/>
    <w:rsid w:val="002F206E"/>
    <w:rsid w:val="002F236A"/>
    <w:rsid w:val="002F27C7"/>
    <w:rsid w:val="002F290C"/>
    <w:rsid w:val="002F2A47"/>
    <w:rsid w:val="002F2E84"/>
    <w:rsid w:val="002F302E"/>
    <w:rsid w:val="002F3416"/>
    <w:rsid w:val="002F360C"/>
    <w:rsid w:val="002F3AE1"/>
    <w:rsid w:val="002F3CD3"/>
    <w:rsid w:val="002F3DF3"/>
    <w:rsid w:val="002F3E4D"/>
    <w:rsid w:val="002F411B"/>
    <w:rsid w:val="002F4C36"/>
    <w:rsid w:val="002F4C64"/>
    <w:rsid w:val="002F584C"/>
    <w:rsid w:val="002F5993"/>
    <w:rsid w:val="002F6526"/>
    <w:rsid w:val="002F66F2"/>
    <w:rsid w:val="002F6A70"/>
    <w:rsid w:val="002F6A9F"/>
    <w:rsid w:val="002F716B"/>
    <w:rsid w:val="002F723F"/>
    <w:rsid w:val="002F7546"/>
    <w:rsid w:val="002F7868"/>
    <w:rsid w:val="002F7A9E"/>
    <w:rsid w:val="00300076"/>
    <w:rsid w:val="003002A9"/>
    <w:rsid w:val="00300408"/>
    <w:rsid w:val="00300578"/>
    <w:rsid w:val="0030064A"/>
    <w:rsid w:val="00300700"/>
    <w:rsid w:val="00300721"/>
    <w:rsid w:val="003008CE"/>
    <w:rsid w:val="00300C64"/>
    <w:rsid w:val="0030171A"/>
    <w:rsid w:val="00301B79"/>
    <w:rsid w:val="00301D52"/>
    <w:rsid w:val="003021EE"/>
    <w:rsid w:val="0030296A"/>
    <w:rsid w:val="00302B0B"/>
    <w:rsid w:val="00302C29"/>
    <w:rsid w:val="00302D31"/>
    <w:rsid w:val="00302ED3"/>
    <w:rsid w:val="00302F52"/>
    <w:rsid w:val="00303027"/>
    <w:rsid w:val="00303181"/>
    <w:rsid w:val="003034E8"/>
    <w:rsid w:val="00303807"/>
    <w:rsid w:val="003038E6"/>
    <w:rsid w:val="00303D62"/>
    <w:rsid w:val="0030415B"/>
    <w:rsid w:val="003041F1"/>
    <w:rsid w:val="003045B5"/>
    <w:rsid w:val="003048C3"/>
    <w:rsid w:val="00304BAD"/>
    <w:rsid w:val="003050BF"/>
    <w:rsid w:val="003050C3"/>
    <w:rsid w:val="003050E2"/>
    <w:rsid w:val="003050F0"/>
    <w:rsid w:val="003055B6"/>
    <w:rsid w:val="00305777"/>
    <w:rsid w:val="003059D8"/>
    <w:rsid w:val="00305AB5"/>
    <w:rsid w:val="00305D45"/>
    <w:rsid w:val="003062CB"/>
    <w:rsid w:val="00306C5D"/>
    <w:rsid w:val="0030744C"/>
    <w:rsid w:val="00307D61"/>
    <w:rsid w:val="00307E27"/>
    <w:rsid w:val="00307EB1"/>
    <w:rsid w:val="00310058"/>
    <w:rsid w:val="003101AE"/>
    <w:rsid w:val="0031080F"/>
    <w:rsid w:val="00310A50"/>
    <w:rsid w:val="00310D99"/>
    <w:rsid w:val="0031119F"/>
    <w:rsid w:val="00311810"/>
    <w:rsid w:val="00311E13"/>
    <w:rsid w:val="00311ED5"/>
    <w:rsid w:val="00311F9F"/>
    <w:rsid w:val="0031215E"/>
    <w:rsid w:val="00312238"/>
    <w:rsid w:val="0031246B"/>
    <w:rsid w:val="003128E4"/>
    <w:rsid w:val="00312931"/>
    <w:rsid w:val="00312A0F"/>
    <w:rsid w:val="00312A97"/>
    <w:rsid w:val="00312C6F"/>
    <w:rsid w:val="00312D1C"/>
    <w:rsid w:val="00312FC0"/>
    <w:rsid w:val="00313177"/>
    <w:rsid w:val="003133C0"/>
    <w:rsid w:val="00313707"/>
    <w:rsid w:val="0031382E"/>
    <w:rsid w:val="00313DAA"/>
    <w:rsid w:val="003141BC"/>
    <w:rsid w:val="0031456B"/>
    <w:rsid w:val="0031503E"/>
    <w:rsid w:val="003150F8"/>
    <w:rsid w:val="003153EF"/>
    <w:rsid w:val="003156B1"/>
    <w:rsid w:val="00315A87"/>
    <w:rsid w:val="00315C31"/>
    <w:rsid w:val="00316298"/>
    <w:rsid w:val="0031663D"/>
    <w:rsid w:val="003166A3"/>
    <w:rsid w:val="00316A86"/>
    <w:rsid w:val="003170A6"/>
    <w:rsid w:val="003172D6"/>
    <w:rsid w:val="00317492"/>
    <w:rsid w:val="0031754E"/>
    <w:rsid w:val="00317A51"/>
    <w:rsid w:val="00317B01"/>
    <w:rsid w:val="00317DB9"/>
    <w:rsid w:val="00317E9D"/>
    <w:rsid w:val="003200DF"/>
    <w:rsid w:val="003201A8"/>
    <w:rsid w:val="003205A9"/>
    <w:rsid w:val="00320763"/>
    <w:rsid w:val="003207F2"/>
    <w:rsid w:val="00320F58"/>
    <w:rsid w:val="003210D1"/>
    <w:rsid w:val="0032116D"/>
    <w:rsid w:val="00321189"/>
    <w:rsid w:val="003212E9"/>
    <w:rsid w:val="00321434"/>
    <w:rsid w:val="003219B8"/>
    <w:rsid w:val="00321ED2"/>
    <w:rsid w:val="0032237E"/>
    <w:rsid w:val="0032255A"/>
    <w:rsid w:val="00322702"/>
    <w:rsid w:val="00322738"/>
    <w:rsid w:val="00322B54"/>
    <w:rsid w:val="0032344D"/>
    <w:rsid w:val="003238E6"/>
    <w:rsid w:val="00323B3D"/>
    <w:rsid w:val="00323F80"/>
    <w:rsid w:val="00324242"/>
    <w:rsid w:val="00324288"/>
    <w:rsid w:val="003242AE"/>
    <w:rsid w:val="003243C7"/>
    <w:rsid w:val="003249AB"/>
    <w:rsid w:val="00324A29"/>
    <w:rsid w:val="00324E19"/>
    <w:rsid w:val="0032503C"/>
    <w:rsid w:val="003255AD"/>
    <w:rsid w:val="00325668"/>
    <w:rsid w:val="00325789"/>
    <w:rsid w:val="00325B5B"/>
    <w:rsid w:val="00325C6E"/>
    <w:rsid w:val="00325DDB"/>
    <w:rsid w:val="00325F55"/>
    <w:rsid w:val="00326462"/>
    <w:rsid w:val="003266EE"/>
    <w:rsid w:val="003268A9"/>
    <w:rsid w:val="00326C7A"/>
    <w:rsid w:val="00326DF7"/>
    <w:rsid w:val="00326F08"/>
    <w:rsid w:val="00327121"/>
    <w:rsid w:val="0032720A"/>
    <w:rsid w:val="003277F3"/>
    <w:rsid w:val="00327835"/>
    <w:rsid w:val="00327957"/>
    <w:rsid w:val="003308A3"/>
    <w:rsid w:val="00330901"/>
    <w:rsid w:val="00330A4F"/>
    <w:rsid w:val="00330B19"/>
    <w:rsid w:val="00330D60"/>
    <w:rsid w:val="00330E56"/>
    <w:rsid w:val="00330E80"/>
    <w:rsid w:val="00330FAC"/>
    <w:rsid w:val="00330FC8"/>
    <w:rsid w:val="00331249"/>
    <w:rsid w:val="003317FC"/>
    <w:rsid w:val="003319C6"/>
    <w:rsid w:val="00331A58"/>
    <w:rsid w:val="00331EE8"/>
    <w:rsid w:val="003320C4"/>
    <w:rsid w:val="00332A47"/>
    <w:rsid w:val="00332D11"/>
    <w:rsid w:val="00332F39"/>
    <w:rsid w:val="003332C6"/>
    <w:rsid w:val="003334C1"/>
    <w:rsid w:val="003337C1"/>
    <w:rsid w:val="003338FA"/>
    <w:rsid w:val="00333C20"/>
    <w:rsid w:val="00333EA3"/>
    <w:rsid w:val="00334734"/>
    <w:rsid w:val="003348E8"/>
    <w:rsid w:val="00334957"/>
    <w:rsid w:val="003349D9"/>
    <w:rsid w:val="00334AD3"/>
    <w:rsid w:val="003355A7"/>
    <w:rsid w:val="00335B5A"/>
    <w:rsid w:val="00335B83"/>
    <w:rsid w:val="003366CC"/>
    <w:rsid w:val="00336731"/>
    <w:rsid w:val="003367A8"/>
    <w:rsid w:val="00336805"/>
    <w:rsid w:val="0033701B"/>
    <w:rsid w:val="00337976"/>
    <w:rsid w:val="00337F86"/>
    <w:rsid w:val="00340015"/>
    <w:rsid w:val="003405C5"/>
    <w:rsid w:val="00340A26"/>
    <w:rsid w:val="00340B7C"/>
    <w:rsid w:val="00340E2B"/>
    <w:rsid w:val="003412A8"/>
    <w:rsid w:val="003412C3"/>
    <w:rsid w:val="003415D6"/>
    <w:rsid w:val="0034177E"/>
    <w:rsid w:val="00341A9D"/>
    <w:rsid w:val="00341BBE"/>
    <w:rsid w:val="00341D25"/>
    <w:rsid w:val="00342247"/>
    <w:rsid w:val="00342708"/>
    <w:rsid w:val="00342BD9"/>
    <w:rsid w:val="00342F6F"/>
    <w:rsid w:val="0034324F"/>
    <w:rsid w:val="003434D7"/>
    <w:rsid w:val="003437F1"/>
    <w:rsid w:val="00343C63"/>
    <w:rsid w:val="00343E78"/>
    <w:rsid w:val="00344032"/>
    <w:rsid w:val="00344062"/>
    <w:rsid w:val="003440EC"/>
    <w:rsid w:val="00344140"/>
    <w:rsid w:val="003444F4"/>
    <w:rsid w:val="00344545"/>
    <w:rsid w:val="003446E9"/>
    <w:rsid w:val="00345036"/>
    <w:rsid w:val="00345097"/>
    <w:rsid w:val="003452A8"/>
    <w:rsid w:val="00345645"/>
    <w:rsid w:val="00345718"/>
    <w:rsid w:val="00345D35"/>
    <w:rsid w:val="00345DF5"/>
    <w:rsid w:val="003466FB"/>
    <w:rsid w:val="00346C22"/>
    <w:rsid w:val="00346D21"/>
    <w:rsid w:val="00346E84"/>
    <w:rsid w:val="00347023"/>
    <w:rsid w:val="003472D6"/>
    <w:rsid w:val="0034754E"/>
    <w:rsid w:val="003477FB"/>
    <w:rsid w:val="00347977"/>
    <w:rsid w:val="00347E48"/>
    <w:rsid w:val="00350002"/>
    <w:rsid w:val="0035015D"/>
    <w:rsid w:val="0035021C"/>
    <w:rsid w:val="00350815"/>
    <w:rsid w:val="00350E84"/>
    <w:rsid w:val="00351229"/>
    <w:rsid w:val="00351331"/>
    <w:rsid w:val="003514D1"/>
    <w:rsid w:val="003515CE"/>
    <w:rsid w:val="00351B0A"/>
    <w:rsid w:val="00351C56"/>
    <w:rsid w:val="00351F52"/>
    <w:rsid w:val="00352061"/>
    <w:rsid w:val="0035229A"/>
    <w:rsid w:val="003524AB"/>
    <w:rsid w:val="003527B2"/>
    <w:rsid w:val="00352D0D"/>
    <w:rsid w:val="00352F12"/>
    <w:rsid w:val="00353500"/>
    <w:rsid w:val="00353841"/>
    <w:rsid w:val="00354326"/>
    <w:rsid w:val="00354596"/>
    <w:rsid w:val="00354850"/>
    <w:rsid w:val="00354AB2"/>
    <w:rsid w:val="00355114"/>
    <w:rsid w:val="00355200"/>
    <w:rsid w:val="00355250"/>
    <w:rsid w:val="00355DD2"/>
    <w:rsid w:val="00355ED9"/>
    <w:rsid w:val="00355FAC"/>
    <w:rsid w:val="00355FAD"/>
    <w:rsid w:val="0035607C"/>
    <w:rsid w:val="003560CE"/>
    <w:rsid w:val="00356573"/>
    <w:rsid w:val="003568B7"/>
    <w:rsid w:val="00356934"/>
    <w:rsid w:val="00356A86"/>
    <w:rsid w:val="00356AD2"/>
    <w:rsid w:val="00356CBC"/>
    <w:rsid w:val="00356F3E"/>
    <w:rsid w:val="003570B8"/>
    <w:rsid w:val="00357221"/>
    <w:rsid w:val="00357352"/>
    <w:rsid w:val="003573F6"/>
    <w:rsid w:val="0035764B"/>
    <w:rsid w:val="0035787F"/>
    <w:rsid w:val="00357A58"/>
    <w:rsid w:val="00357D7E"/>
    <w:rsid w:val="0036007D"/>
    <w:rsid w:val="0036066E"/>
    <w:rsid w:val="003608AA"/>
    <w:rsid w:val="00360923"/>
    <w:rsid w:val="00360C14"/>
    <w:rsid w:val="0036111E"/>
    <w:rsid w:val="00361240"/>
    <w:rsid w:val="003612C9"/>
    <w:rsid w:val="0036175E"/>
    <w:rsid w:val="00361AB2"/>
    <w:rsid w:val="00361E93"/>
    <w:rsid w:val="00362033"/>
    <w:rsid w:val="003623A3"/>
    <w:rsid w:val="00362491"/>
    <w:rsid w:val="003626C5"/>
    <w:rsid w:val="003626FC"/>
    <w:rsid w:val="003627B7"/>
    <w:rsid w:val="00362D64"/>
    <w:rsid w:val="0036363D"/>
    <w:rsid w:val="0036371A"/>
    <w:rsid w:val="0036412A"/>
    <w:rsid w:val="00364163"/>
    <w:rsid w:val="00364534"/>
    <w:rsid w:val="003646C5"/>
    <w:rsid w:val="00365984"/>
    <w:rsid w:val="00366378"/>
    <w:rsid w:val="00366DF7"/>
    <w:rsid w:val="0036707C"/>
    <w:rsid w:val="00367217"/>
    <w:rsid w:val="00367305"/>
    <w:rsid w:val="00367584"/>
    <w:rsid w:val="00367590"/>
    <w:rsid w:val="003679A5"/>
    <w:rsid w:val="00367B90"/>
    <w:rsid w:val="00367BCA"/>
    <w:rsid w:val="00367DA1"/>
    <w:rsid w:val="003700B2"/>
    <w:rsid w:val="003703A8"/>
    <w:rsid w:val="003705A1"/>
    <w:rsid w:val="00370650"/>
    <w:rsid w:val="00370797"/>
    <w:rsid w:val="00370E17"/>
    <w:rsid w:val="00371082"/>
    <w:rsid w:val="003710CE"/>
    <w:rsid w:val="003710F1"/>
    <w:rsid w:val="00371103"/>
    <w:rsid w:val="0037146C"/>
    <w:rsid w:val="003714DE"/>
    <w:rsid w:val="003717E2"/>
    <w:rsid w:val="00371B6D"/>
    <w:rsid w:val="00371ED6"/>
    <w:rsid w:val="003725C3"/>
    <w:rsid w:val="00372AD0"/>
    <w:rsid w:val="00372BCF"/>
    <w:rsid w:val="00372F37"/>
    <w:rsid w:val="0037328C"/>
    <w:rsid w:val="003732E8"/>
    <w:rsid w:val="00373447"/>
    <w:rsid w:val="00373AE4"/>
    <w:rsid w:val="00373B0A"/>
    <w:rsid w:val="00373E33"/>
    <w:rsid w:val="00374043"/>
    <w:rsid w:val="00374200"/>
    <w:rsid w:val="00374B5C"/>
    <w:rsid w:val="003752AB"/>
    <w:rsid w:val="00375A67"/>
    <w:rsid w:val="00375E67"/>
    <w:rsid w:val="00376184"/>
    <w:rsid w:val="00376B65"/>
    <w:rsid w:val="00376D91"/>
    <w:rsid w:val="00376FBC"/>
    <w:rsid w:val="003770A5"/>
    <w:rsid w:val="003777DF"/>
    <w:rsid w:val="00377A0C"/>
    <w:rsid w:val="00377AAB"/>
    <w:rsid w:val="003808B5"/>
    <w:rsid w:val="003809C1"/>
    <w:rsid w:val="00380A84"/>
    <w:rsid w:val="00380E2A"/>
    <w:rsid w:val="00381329"/>
    <w:rsid w:val="003813F9"/>
    <w:rsid w:val="003818D8"/>
    <w:rsid w:val="00381A81"/>
    <w:rsid w:val="00381D8F"/>
    <w:rsid w:val="00382C86"/>
    <w:rsid w:val="00383028"/>
    <w:rsid w:val="003831E5"/>
    <w:rsid w:val="003833D3"/>
    <w:rsid w:val="003835BB"/>
    <w:rsid w:val="00383EB7"/>
    <w:rsid w:val="00383EF5"/>
    <w:rsid w:val="0038438E"/>
    <w:rsid w:val="003848F2"/>
    <w:rsid w:val="00384EA1"/>
    <w:rsid w:val="00385056"/>
    <w:rsid w:val="003851B7"/>
    <w:rsid w:val="00385714"/>
    <w:rsid w:val="00385A35"/>
    <w:rsid w:val="00385B4E"/>
    <w:rsid w:val="00385D5C"/>
    <w:rsid w:val="00385D77"/>
    <w:rsid w:val="00386457"/>
    <w:rsid w:val="003869A5"/>
    <w:rsid w:val="0038749F"/>
    <w:rsid w:val="00387505"/>
    <w:rsid w:val="0038777A"/>
    <w:rsid w:val="00387824"/>
    <w:rsid w:val="0038782F"/>
    <w:rsid w:val="00387A65"/>
    <w:rsid w:val="00387C15"/>
    <w:rsid w:val="00387FBC"/>
    <w:rsid w:val="00390147"/>
    <w:rsid w:val="003905FD"/>
    <w:rsid w:val="0039073B"/>
    <w:rsid w:val="00390E84"/>
    <w:rsid w:val="0039145E"/>
    <w:rsid w:val="00391605"/>
    <w:rsid w:val="003919B6"/>
    <w:rsid w:val="00391AC6"/>
    <w:rsid w:val="00391C16"/>
    <w:rsid w:val="00391CC4"/>
    <w:rsid w:val="00391DBC"/>
    <w:rsid w:val="003920EB"/>
    <w:rsid w:val="003923DE"/>
    <w:rsid w:val="00392BCF"/>
    <w:rsid w:val="00393405"/>
    <w:rsid w:val="0039355D"/>
    <w:rsid w:val="00393775"/>
    <w:rsid w:val="00393C07"/>
    <w:rsid w:val="00394412"/>
    <w:rsid w:val="0039461B"/>
    <w:rsid w:val="00394994"/>
    <w:rsid w:val="00394A6A"/>
    <w:rsid w:val="003952CA"/>
    <w:rsid w:val="0039542D"/>
    <w:rsid w:val="00395844"/>
    <w:rsid w:val="0039589B"/>
    <w:rsid w:val="00395A41"/>
    <w:rsid w:val="00395FCE"/>
    <w:rsid w:val="0039632A"/>
    <w:rsid w:val="00396411"/>
    <w:rsid w:val="00396547"/>
    <w:rsid w:val="003968C7"/>
    <w:rsid w:val="00396A32"/>
    <w:rsid w:val="00397070"/>
    <w:rsid w:val="0039750E"/>
    <w:rsid w:val="00397619"/>
    <w:rsid w:val="003979F1"/>
    <w:rsid w:val="00397B14"/>
    <w:rsid w:val="00397E3A"/>
    <w:rsid w:val="003A0153"/>
    <w:rsid w:val="003A0533"/>
    <w:rsid w:val="003A08BE"/>
    <w:rsid w:val="003A08DF"/>
    <w:rsid w:val="003A0EA5"/>
    <w:rsid w:val="003A0F54"/>
    <w:rsid w:val="003A13BD"/>
    <w:rsid w:val="003A1FC6"/>
    <w:rsid w:val="003A2003"/>
    <w:rsid w:val="003A236E"/>
    <w:rsid w:val="003A2469"/>
    <w:rsid w:val="003A24E1"/>
    <w:rsid w:val="003A2F13"/>
    <w:rsid w:val="003A2FF2"/>
    <w:rsid w:val="003A30CA"/>
    <w:rsid w:val="003A3136"/>
    <w:rsid w:val="003A37F7"/>
    <w:rsid w:val="003A3ADB"/>
    <w:rsid w:val="003A3B0B"/>
    <w:rsid w:val="003A3B17"/>
    <w:rsid w:val="003A3EE4"/>
    <w:rsid w:val="003A3F38"/>
    <w:rsid w:val="003A42FE"/>
    <w:rsid w:val="003A4980"/>
    <w:rsid w:val="003A4E24"/>
    <w:rsid w:val="003A537F"/>
    <w:rsid w:val="003A54F4"/>
    <w:rsid w:val="003A5828"/>
    <w:rsid w:val="003A5872"/>
    <w:rsid w:val="003A5B95"/>
    <w:rsid w:val="003A5DFC"/>
    <w:rsid w:val="003A70B5"/>
    <w:rsid w:val="003A7203"/>
    <w:rsid w:val="003A7957"/>
    <w:rsid w:val="003B04DB"/>
    <w:rsid w:val="003B0721"/>
    <w:rsid w:val="003B0970"/>
    <w:rsid w:val="003B098C"/>
    <w:rsid w:val="003B09FA"/>
    <w:rsid w:val="003B0B40"/>
    <w:rsid w:val="003B1199"/>
    <w:rsid w:val="003B128A"/>
    <w:rsid w:val="003B187B"/>
    <w:rsid w:val="003B1952"/>
    <w:rsid w:val="003B1C9F"/>
    <w:rsid w:val="003B1FF4"/>
    <w:rsid w:val="003B2432"/>
    <w:rsid w:val="003B2454"/>
    <w:rsid w:val="003B2FA2"/>
    <w:rsid w:val="003B3174"/>
    <w:rsid w:val="003B322D"/>
    <w:rsid w:val="003B36BC"/>
    <w:rsid w:val="003B391C"/>
    <w:rsid w:val="003B42EA"/>
    <w:rsid w:val="003B440B"/>
    <w:rsid w:val="003B493E"/>
    <w:rsid w:val="003B49E3"/>
    <w:rsid w:val="003B517B"/>
    <w:rsid w:val="003B539B"/>
    <w:rsid w:val="003B559E"/>
    <w:rsid w:val="003B5685"/>
    <w:rsid w:val="003B575F"/>
    <w:rsid w:val="003B58F1"/>
    <w:rsid w:val="003B61AD"/>
    <w:rsid w:val="003B64F0"/>
    <w:rsid w:val="003B6D63"/>
    <w:rsid w:val="003B6DA6"/>
    <w:rsid w:val="003B6E6D"/>
    <w:rsid w:val="003B6F80"/>
    <w:rsid w:val="003B71F7"/>
    <w:rsid w:val="003B768E"/>
    <w:rsid w:val="003B7779"/>
    <w:rsid w:val="003B7C82"/>
    <w:rsid w:val="003B7EC9"/>
    <w:rsid w:val="003B7FFE"/>
    <w:rsid w:val="003C04D1"/>
    <w:rsid w:val="003C05CE"/>
    <w:rsid w:val="003C063B"/>
    <w:rsid w:val="003C06D5"/>
    <w:rsid w:val="003C08AD"/>
    <w:rsid w:val="003C0E02"/>
    <w:rsid w:val="003C0E76"/>
    <w:rsid w:val="003C12DB"/>
    <w:rsid w:val="003C1509"/>
    <w:rsid w:val="003C15C6"/>
    <w:rsid w:val="003C1855"/>
    <w:rsid w:val="003C18B1"/>
    <w:rsid w:val="003C1A48"/>
    <w:rsid w:val="003C1A56"/>
    <w:rsid w:val="003C1BEB"/>
    <w:rsid w:val="003C1FAB"/>
    <w:rsid w:val="003C2147"/>
    <w:rsid w:val="003C272E"/>
    <w:rsid w:val="003C2D1A"/>
    <w:rsid w:val="003C2EFA"/>
    <w:rsid w:val="003C30E6"/>
    <w:rsid w:val="003C3502"/>
    <w:rsid w:val="003C3537"/>
    <w:rsid w:val="003C35B2"/>
    <w:rsid w:val="003C365C"/>
    <w:rsid w:val="003C38B3"/>
    <w:rsid w:val="003C398A"/>
    <w:rsid w:val="003C3B6C"/>
    <w:rsid w:val="003C4045"/>
    <w:rsid w:val="003C4692"/>
    <w:rsid w:val="003C4FCE"/>
    <w:rsid w:val="003C5039"/>
    <w:rsid w:val="003C5069"/>
    <w:rsid w:val="003C508D"/>
    <w:rsid w:val="003C5274"/>
    <w:rsid w:val="003C580D"/>
    <w:rsid w:val="003C69A6"/>
    <w:rsid w:val="003C6AE9"/>
    <w:rsid w:val="003C6C6C"/>
    <w:rsid w:val="003C6F1F"/>
    <w:rsid w:val="003C761C"/>
    <w:rsid w:val="003C7981"/>
    <w:rsid w:val="003C7EBD"/>
    <w:rsid w:val="003C7F7F"/>
    <w:rsid w:val="003D0000"/>
    <w:rsid w:val="003D024F"/>
    <w:rsid w:val="003D033F"/>
    <w:rsid w:val="003D0461"/>
    <w:rsid w:val="003D0503"/>
    <w:rsid w:val="003D06AE"/>
    <w:rsid w:val="003D071C"/>
    <w:rsid w:val="003D0A8A"/>
    <w:rsid w:val="003D0DE5"/>
    <w:rsid w:val="003D12AB"/>
    <w:rsid w:val="003D18DC"/>
    <w:rsid w:val="003D203C"/>
    <w:rsid w:val="003D20A1"/>
    <w:rsid w:val="003D2358"/>
    <w:rsid w:val="003D278E"/>
    <w:rsid w:val="003D296B"/>
    <w:rsid w:val="003D2A36"/>
    <w:rsid w:val="003D2CA7"/>
    <w:rsid w:val="003D2FBF"/>
    <w:rsid w:val="003D3187"/>
    <w:rsid w:val="003D31DD"/>
    <w:rsid w:val="003D34C2"/>
    <w:rsid w:val="003D3503"/>
    <w:rsid w:val="003D3B51"/>
    <w:rsid w:val="003D3C96"/>
    <w:rsid w:val="003D4325"/>
    <w:rsid w:val="003D4440"/>
    <w:rsid w:val="003D4457"/>
    <w:rsid w:val="003D471A"/>
    <w:rsid w:val="003D4928"/>
    <w:rsid w:val="003D4A55"/>
    <w:rsid w:val="003D4A86"/>
    <w:rsid w:val="003D50F6"/>
    <w:rsid w:val="003D51AE"/>
    <w:rsid w:val="003D53CC"/>
    <w:rsid w:val="003D5864"/>
    <w:rsid w:val="003D58AF"/>
    <w:rsid w:val="003D5A04"/>
    <w:rsid w:val="003D5E2E"/>
    <w:rsid w:val="003D6454"/>
    <w:rsid w:val="003D6614"/>
    <w:rsid w:val="003D6BD9"/>
    <w:rsid w:val="003D6C20"/>
    <w:rsid w:val="003D6D24"/>
    <w:rsid w:val="003D6FF9"/>
    <w:rsid w:val="003D701D"/>
    <w:rsid w:val="003D746A"/>
    <w:rsid w:val="003D76AE"/>
    <w:rsid w:val="003E0127"/>
    <w:rsid w:val="003E045B"/>
    <w:rsid w:val="003E057C"/>
    <w:rsid w:val="003E060F"/>
    <w:rsid w:val="003E07E1"/>
    <w:rsid w:val="003E0A72"/>
    <w:rsid w:val="003E1053"/>
    <w:rsid w:val="003E10B4"/>
    <w:rsid w:val="003E1205"/>
    <w:rsid w:val="003E173A"/>
    <w:rsid w:val="003E1AAB"/>
    <w:rsid w:val="003E1B97"/>
    <w:rsid w:val="003E2110"/>
    <w:rsid w:val="003E24A4"/>
    <w:rsid w:val="003E24E8"/>
    <w:rsid w:val="003E286F"/>
    <w:rsid w:val="003E2A68"/>
    <w:rsid w:val="003E2BCA"/>
    <w:rsid w:val="003E2E75"/>
    <w:rsid w:val="003E3135"/>
    <w:rsid w:val="003E351E"/>
    <w:rsid w:val="003E3784"/>
    <w:rsid w:val="003E3834"/>
    <w:rsid w:val="003E3DA0"/>
    <w:rsid w:val="003E422C"/>
    <w:rsid w:val="003E451C"/>
    <w:rsid w:val="003E45D4"/>
    <w:rsid w:val="003E4C18"/>
    <w:rsid w:val="003E521A"/>
    <w:rsid w:val="003E5A30"/>
    <w:rsid w:val="003E677B"/>
    <w:rsid w:val="003E6A31"/>
    <w:rsid w:val="003E6C1E"/>
    <w:rsid w:val="003E6C66"/>
    <w:rsid w:val="003E6FEA"/>
    <w:rsid w:val="003E7276"/>
    <w:rsid w:val="003E747F"/>
    <w:rsid w:val="003E7633"/>
    <w:rsid w:val="003E7817"/>
    <w:rsid w:val="003E7F5E"/>
    <w:rsid w:val="003E7FF9"/>
    <w:rsid w:val="003F04CF"/>
    <w:rsid w:val="003F056E"/>
    <w:rsid w:val="003F08DC"/>
    <w:rsid w:val="003F0F92"/>
    <w:rsid w:val="003F1761"/>
    <w:rsid w:val="003F17D8"/>
    <w:rsid w:val="003F1A35"/>
    <w:rsid w:val="003F1A66"/>
    <w:rsid w:val="003F1D13"/>
    <w:rsid w:val="003F2314"/>
    <w:rsid w:val="003F24A1"/>
    <w:rsid w:val="003F2680"/>
    <w:rsid w:val="003F2E38"/>
    <w:rsid w:val="003F2E5F"/>
    <w:rsid w:val="003F2F88"/>
    <w:rsid w:val="003F3141"/>
    <w:rsid w:val="003F37A3"/>
    <w:rsid w:val="003F39BE"/>
    <w:rsid w:val="003F3CD3"/>
    <w:rsid w:val="003F3E5D"/>
    <w:rsid w:val="003F3E84"/>
    <w:rsid w:val="003F414B"/>
    <w:rsid w:val="003F4465"/>
    <w:rsid w:val="003F4B42"/>
    <w:rsid w:val="003F4FCC"/>
    <w:rsid w:val="003F51EC"/>
    <w:rsid w:val="003F5319"/>
    <w:rsid w:val="003F537E"/>
    <w:rsid w:val="003F55BF"/>
    <w:rsid w:val="003F59CD"/>
    <w:rsid w:val="003F5E80"/>
    <w:rsid w:val="003F600D"/>
    <w:rsid w:val="003F642B"/>
    <w:rsid w:val="003F6441"/>
    <w:rsid w:val="003F645B"/>
    <w:rsid w:val="003F6726"/>
    <w:rsid w:val="003F68D8"/>
    <w:rsid w:val="003F6A42"/>
    <w:rsid w:val="003F6A90"/>
    <w:rsid w:val="003F6BC9"/>
    <w:rsid w:val="003F6D32"/>
    <w:rsid w:val="003F7815"/>
    <w:rsid w:val="003F7E29"/>
    <w:rsid w:val="003F7E4A"/>
    <w:rsid w:val="00400350"/>
    <w:rsid w:val="004003E0"/>
    <w:rsid w:val="004005B6"/>
    <w:rsid w:val="00400A4E"/>
    <w:rsid w:val="00400B1B"/>
    <w:rsid w:val="00401004"/>
    <w:rsid w:val="004011B5"/>
    <w:rsid w:val="00401896"/>
    <w:rsid w:val="00401A19"/>
    <w:rsid w:val="00401F5C"/>
    <w:rsid w:val="004021A7"/>
    <w:rsid w:val="00402F80"/>
    <w:rsid w:val="004031F5"/>
    <w:rsid w:val="0040331F"/>
    <w:rsid w:val="004034FA"/>
    <w:rsid w:val="00403CCC"/>
    <w:rsid w:val="00403FBE"/>
    <w:rsid w:val="00404631"/>
    <w:rsid w:val="00405244"/>
    <w:rsid w:val="004059F1"/>
    <w:rsid w:val="00406238"/>
    <w:rsid w:val="00406293"/>
    <w:rsid w:val="00406979"/>
    <w:rsid w:val="00406A5F"/>
    <w:rsid w:val="00406CFA"/>
    <w:rsid w:val="00406D04"/>
    <w:rsid w:val="00406DC5"/>
    <w:rsid w:val="0040720E"/>
    <w:rsid w:val="004074B0"/>
    <w:rsid w:val="00407760"/>
    <w:rsid w:val="00407D60"/>
    <w:rsid w:val="004104E7"/>
    <w:rsid w:val="004107ED"/>
    <w:rsid w:val="00410834"/>
    <w:rsid w:val="00410B23"/>
    <w:rsid w:val="00410DA6"/>
    <w:rsid w:val="0041102B"/>
    <w:rsid w:val="0041121D"/>
    <w:rsid w:val="004113EF"/>
    <w:rsid w:val="004117ED"/>
    <w:rsid w:val="00411A9A"/>
    <w:rsid w:val="00411DB7"/>
    <w:rsid w:val="00411F90"/>
    <w:rsid w:val="004120BB"/>
    <w:rsid w:val="00412378"/>
    <w:rsid w:val="0041254D"/>
    <w:rsid w:val="0041273D"/>
    <w:rsid w:val="00412D7A"/>
    <w:rsid w:val="00413128"/>
    <w:rsid w:val="00413132"/>
    <w:rsid w:val="00413698"/>
    <w:rsid w:val="004136BE"/>
    <w:rsid w:val="00413731"/>
    <w:rsid w:val="00413931"/>
    <w:rsid w:val="00413A40"/>
    <w:rsid w:val="00414331"/>
    <w:rsid w:val="00414B53"/>
    <w:rsid w:val="00414CA8"/>
    <w:rsid w:val="00414CC2"/>
    <w:rsid w:val="004151CD"/>
    <w:rsid w:val="004151D5"/>
    <w:rsid w:val="0041544F"/>
    <w:rsid w:val="00415B58"/>
    <w:rsid w:val="00415CDD"/>
    <w:rsid w:val="00415E74"/>
    <w:rsid w:val="00416750"/>
    <w:rsid w:val="00416F04"/>
    <w:rsid w:val="00416F21"/>
    <w:rsid w:val="00417040"/>
    <w:rsid w:val="00417528"/>
    <w:rsid w:val="004176D7"/>
    <w:rsid w:val="00417823"/>
    <w:rsid w:val="00417CCB"/>
    <w:rsid w:val="004204D3"/>
    <w:rsid w:val="004211B2"/>
    <w:rsid w:val="0042124D"/>
    <w:rsid w:val="00421C09"/>
    <w:rsid w:val="00421DA2"/>
    <w:rsid w:val="0042223F"/>
    <w:rsid w:val="00422DD5"/>
    <w:rsid w:val="004235C2"/>
    <w:rsid w:val="00423655"/>
    <w:rsid w:val="0042389F"/>
    <w:rsid w:val="00423965"/>
    <w:rsid w:val="00423D85"/>
    <w:rsid w:val="00423EF2"/>
    <w:rsid w:val="00424144"/>
    <w:rsid w:val="0042425A"/>
    <w:rsid w:val="004244EE"/>
    <w:rsid w:val="004246C1"/>
    <w:rsid w:val="00424ADB"/>
    <w:rsid w:val="00424BC8"/>
    <w:rsid w:val="004253DF"/>
    <w:rsid w:val="004254B3"/>
    <w:rsid w:val="0042582D"/>
    <w:rsid w:val="004259A4"/>
    <w:rsid w:val="00425A28"/>
    <w:rsid w:val="00425A34"/>
    <w:rsid w:val="00425B74"/>
    <w:rsid w:val="00425F4B"/>
    <w:rsid w:val="004261EE"/>
    <w:rsid w:val="00426234"/>
    <w:rsid w:val="00426345"/>
    <w:rsid w:val="00426602"/>
    <w:rsid w:val="0042676B"/>
    <w:rsid w:val="00426C2F"/>
    <w:rsid w:val="004270BF"/>
    <w:rsid w:val="00427706"/>
    <w:rsid w:val="00427A62"/>
    <w:rsid w:val="00427C71"/>
    <w:rsid w:val="00427F3C"/>
    <w:rsid w:val="004301A7"/>
    <w:rsid w:val="00430370"/>
    <w:rsid w:val="004306BC"/>
    <w:rsid w:val="0043079C"/>
    <w:rsid w:val="00430E4B"/>
    <w:rsid w:val="00430EE2"/>
    <w:rsid w:val="00431333"/>
    <w:rsid w:val="0043150F"/>
    <w:rsid w:val="00431910"/>
    <w:rsid w:val="00432069"/>
    <w:rsid w:val="004322BE"/>
    <w:rsid w:val="0043232E"/>
    <w:rsid w:val="0043254B"/>
    <w:rsid w:val="00432B41"/>
    <w:rsid w:val="00432C9F"/>
    <w:rsid w:val="0043382F"/>
    <w:rsid w:val="00433AAD"/>
    <w:rsid w:val="00434510"/>
    <w:rsid w:val="00434861"/>
    <w:rsid w:val="00434BB8"/>
    <w:rsid w:val="00434D45"/>
    <w:rsid w:val="0043504B"/>
    <w:rsid w:val="00435075"/>
    <w:rsid w:val="00435505"/>
    <w:rsid w:val="004355A5"/>
    <w:rsid w:val="00435A71"/>
    <w:rsid w:val="00435C06"/>
    <w:rsid w:val="00435DA6"/>
    <w:rsid w:val="0043673B"/>
    <w:rsid w:val="00436FA9"/>
    <w:rsid w:val="00437730"/>
    <w:rsid w:val="00437A3C"/>
    <w:rsid w:val="00437C19"/>
    <w:rsid w:val="00437CA5"/>
    <w:rsid w:val="0044038C"/>
    <w:rsid w:val="00441047"/>
    <w:rsid w:val="00441C42"/>
    <w:rsid w:val="004423B4"/>
    <w:rsid w:val="0044240B"/>
    <w:rsid w:val="00442478"/>
    <w:rsid w:val="0044250C"/>
    <w:rsid w:val="00443761"/>
    <w:rsid w:val="00444414"/>
    <w:rsid w:val="00444684"/>
    <w:rsid w:val="0044474F"/>
    <w:rsid w:val="00444A96"/>
    <w:rsid w:val="00445017"/>
    <w:rsid w:val="00445254"/>
    <w:rsid w:val="00445703"/>
    <w:rsid w:val="0044586F"/>
    <w:rsid w:val="0044597A"/>
    <w:rsid w:val="00445A00"/>
    <w:rsid w:val="00445B1C"/>
    <w:rsid w:val="00445C81"/>
    <w:rsid w:val="00446B08"/>
    <w:rsid w:val="00446CFD"/>
    <w:rsid w:val="004470C4"/>
    <w:rsid w:val="004473DE"/>
    <w:rsid w:val="0044764E"/>
    <w:rsid w:val="0044785D"/>
    <w:rsid w:val="00447DC2"/>
    <w:rsid w:val="00450436"/>
    <w:rsid w:val="00450584"/>
    <w:rsid w:val="00450784"/>
    <w:rsid w:val="004508E7"/>
    <w:rsid w:val="00451064"/>
    <w:rsid w:val="00451471"/>
    <w:rsid w:val="00451B99"/>
    <w:rsid w:val="00451D24"/>
    <w:rsid w:val="00451D48"/>
    <w:rsid w:val="00452095"/>
    <w:rsid w:val="0045225E"/>
    <w:rsid w:val="00452CDC"/>
    <w:rsid w:val="0045350A"/>
    <w:rsid w:val="004536D9"/>
    <w:rsid w:val="004537F5"/>
    <w:rsid w:val="00453DC6"/>
    <w:rsid w:val="00453FC4"/>
    <w:rsid w:val="00454377"/>
    <w:rsid w:val="0045467D"/>
    <w:rsid w:val="0045482B"/>
    <w:rsid w:val="0045492B"/>
    <w:rsid w:val="00455111"/>
    <w:rsid w:val="004555B0"/>
    <w:rsid w:val="00455734"/>
    <w:rsid w:val="00455B74"/>
    <w:rsid w:val="0045613E"/>
    <w:rsid w:val="00456190"/>
    <w:rsid w:val="0045659D"/>
    <w:rsid w:val="00456600"/>
    <w:rsid w:val="00456A1D"/>
    <w:rsid w:val="00456A3E"/>
    <w:rsid w:val="00456AC9"/>
    <w:rsid w:val="00456B8B"/>
    <w:rsid w:val="00456DA8"/>
    <w:rsid w:val="00456E0D"/>
    <w:rsid w:val="00456ECF"/>
    <w:rsid w:val="00456EDE"/>
    <w:rsid w:val="00457070"/>
    <w:rsid w:val="00457264"/>
    <w:rsid w:val="00460B9D"/>
    <w:rsid w:val="004612BB"/>
    <w:rsid w:val="00461A77"/>
    <w:rsid w:val="00461F92"/>
    <w:rsid w:val="00462F46"/>
    <w:rsid w:val="004634E8"/>
    <w:rsid w:val="004639C0"/>
    <w:rsid w:val="00463A84"/>
    <w:rsid w:val="00463AE5"/>
    <w:rsid w:val="00463DD6"/>
    <w:rsid w:val="00464924"/>
    <w:rsid w:val="0046493F"/>
    <w:rsid w:val="00464A20"/>
    <w:rsid w:val="00464F72"/>
    <w:rsid w:val="00465460"/>
    <w:rsid w:val="0046588D"/>
    <w:rsid w:val="00465EE8"/>
    <w:rsid w:val="00466526"/>
    <w:rsid w:val="004667FF"/>
    <w:rsid w:val="004668E9"/>
    <w:rsid w:val="00466D0B"/>
    <w:rsid w:val="00466DD6"/>
    <w:rsid w:val="00466E1E"/>
    <w:rsid w:val="00467653"/>
    <w:rsid w:val="00467A2F"/>
    <w:rsid w:val="00467A48"/>
    <w:rsid w:val="00467F5E"/>
    <w:rsid w:val="0047034A"/>
    <w:rsid w:val="00470E60"/>
    <w:rsid w:val="00470F14"/>
    <w:rsid w:val="0047123A"/>
    <w:rsid w:val="0047142C"/>
    <w:rsid w:val="004718D7"/>
    <w:rsid w:val="004719EF"/>
    <w:rsid w:val="00471C28"/>
    <w:rsid w:val="00471C2F"/>
    <w:rsid w:val="00471D64"/>
    <w:rsid w:val="00471F22"/>
    <w:rsid w:val="004724FC"/>
    <w:rsid w:val="00472614"/>
    <w:rsid w:val="004727D3"/>
    <w:rsid w:val="0047297A"/>
    <w:rsid w:val="00472A24"/>
    <w:rsid w:val="00472A46"/>
    <w:rsid w:val="00472B67"/>
    <w:rsid w:val="00472B7D"/>
    <w:rsid w:val="00472C16"/>
    <w:rsid w:val="00472CA4"/>
    <w:rsid w:val="00472D90"/>
    <w:rsid w:val="004731CC"/>
    <w:rsid w:val="004734C9"/>
    <w:rsid w:val="004736D5"/>
    <w:rsid w:val="0047395E"/>
    <w:rsid w:val="00473B8E"/>
    <w:rsid w:val="00473C2C"/>
    <w:rsid w:val="00473CAE"/>
    <w:rsid w:val="00473FED"/>
    <w:rsid w:val="00474085"/>
    <w:rsid w:val="004740AE"/>
    <w:rsid w:val="0047411F"/>
    <w:rsid w:val="0047413B"/>
    <w:rsid w:val="0047419A"/>
    <w:rsid w:val="00474302"/>
    <w:rsid w:val="00474322"/>
    <w:rsid w:val="00474AD1"/>
    <w:rsid w:val="00474CE2"/>
    <w:rsid w:val="00474FA0"/>
    <w:rsid w:val="004752A1"/>
    <w:rsid w:val="004754CD"/>
    <w:rsid w:val="00475CC7"/>
    <w:rsid w:val="004761C6"/>
    <w:rsid w:val="004764BE"/>
    <w:rsid w:val="00476517"/>
    <w:rsid w:val="00476F8C"/>
    <w:rsid w:val="00477760"/>
    <w:rsid w:val="00477A63"/>
    <w:rsid w:val="00477DF1"/>
    <w:rsid w:val="004803E0"/>
    <w:rsid w:val="0048175F"/>
    <w:rsid w:val="0048176F"/>
    <w:rsid w:val="00482721"/>
    <w:rsid w:val="0048305B"/>
    <w:rsid w:val="00483623"/>
    <w:rsid w:val="0048375C"/>
    <w:rsid w:val="004837FC"/>
    <w:rsid w:val="00483B15"/>
    <w:rsid w:val="00483B4F"/>
    <w:rsid w:val="00483DA3"/>
    <w:rsid w:val="00483E3F"/>
    <w:rsid w:val="00483E51"/>
    <w:rsid w:val="00483F88"/>
    <w:rsid w:val="00483FFB"/>
    <w:rsid w:val="00484009"/>
    <w:rsid w:val="0048409C"/>
    <w:rsid w:val="0048494E"/>
    <w:rsid w:val="0048496C"/>
    <w:rsid w:val="0048550C"/>
    <w:rsid w:val="00485C61"/>
    <w:rsid w:val="00486709"/>
    <w:rsid w:val="004868F6"/>
    <w:rsid w:val="00486A68"/>
    <w:rsid w:val="00486DA2"/>
    <w:rsid w:val="00486FF0"/>
    <w:rsid w:val="004871AD"/>
    <w:rsid w:val="004872ED"/>
    <w:rsid w:val="0048735D"/>
    <w:rsid w:val="00487B4F"/>
    <w:rsid w:val="00487D1E"/>
    <w:rsid w:val="004900FE"/>
    <w:rsid w:val="00490714"/>
    <w:rsid w:val="00490CA2"/>
    <w:rsid w:val="00491271"/>
    <w:rsid w:val="004914B5"/>
    <w:rsid w:val="00491752"/>
    <w:rsid w:val="00491912"/>
    <w:rsid w:val="00491CC8"/>
    <w:rsid w:val="0049240D"/>
    <w:rsid w:val="004927CB"/>
    <w:rsid w:val="00492F88"/>
    <w:rsid w:val="0049331C"/>
    <w:rsid w:val="004934AA"/>
    <w:rsid w:val="004934F7"/>
    <w:rsid w:val="00493A66"/>
    <w:rsid w:val="00493E2F"/>
    <w:rsid w:val="00494495"/>
    <w:rsid w:val="0049453C"/>
    <w:rsid w:val="004946C6"/>
    <w:rsid w:val="004949A1"/>
    <w:rsid w:val="00494C11"/>
    <w:rsid w:val="004957B8"/>
    <w:rsid w:val="004957D0"/>
    <w:rsid w:val="0049580D"/>
    <w:rsid w:val="00495908"/>
    <w:rsid w:val="004959A8"/>
    <w:rsid w:val="00495CFF"/>
    <w:rsid w:val="00496274"/>
    <w:rsid w:val="00496613"/>
    <w:rsid w:val="0049692C"/>
    <w:rsid w:val="00496E61"/>
    <w:rsid w:val="004970A0"/>
    <w:rsid w:val="004971A7"/>
    <w:rsid w:val="00497B09"/>
    <w:rsid w:val="004A00F9"/>
    <w:rsid w:val="004A02B0"/>
    <w:rsid w:val="004A05EA"/>
    <w:rsid w:val="004A0FC7"/>
    <w:rsid w:val="004A11E7"/>
    <w:rsid w:val="004A1977"/>
    <w:rsid w:val="004A1E2B"/>
    <w:rsid w:val="004A28B6"/>
    <w:rsid w:val="004A2A12"/>
    <w:rsid w:val="004A2BF9"/>
    <w:rsid w:val="004A32C4"/>
    <w:rsid w:val="004A3467"/>
    <w:rsid w:val="004A36A0"/>
    <w:rsid w:val="004A40C2"/>
    <w:rsid w:val="004A47C6"/>
    <w:rsid w:val="004A4BA2"/>
    <w:rsid w:val="004A5423"/>
    <w:rsid w:val="004A598F"/>
    <w:rsid w:val="004A71C9"/>
    <w:rsid w:val="004A76D2"/>
    <w:rsid w:val="004B03A9"/>
    <w:rsid w:val="004B099D"/>
    <w:rsid w:val="004B0B74"/>
    <w:rsid w:val="004B0F1E"/>
    <w:rsid w:val="004B1DBD"/>
    <w:rsid w:val="004B23BD"/>
    <w:rsid w:val="004B2688"/>
    <w:rsid w:val="004B2A37"/>
    <w:rsid w:val="004B2B80"/>
    <w:rsid w:val="004B2E40"/>
    <w:rsid w:val="004B3057"/>
    <w:rsid w:val="004B31CA"/>
    <w:rsid w:val="004B3229"/>
    <w:rsid w:val="004B38E9"/>
    <w:rsid w:val="004B3DE8"/>
    <w:rsid w:val="004B3ED8"/>
    <w:rsid w:val="004B404E"/>
    <w:rsid w:val="004B4663"/>
    <w:rsid w:val="004B479D"/>
    <w:rsid w:val="004B482D"/>
    <w:rsid w:val="004B4D82"/>
    <w:rsid w:val="004B4FBD"/>
    <w:rsid w:val="004B5312"/>
    <w:rsid w:val="004B53FD"/>
    <w:rsid w:val="004B5B77"/>
    <w:rsid w:val="004B5BF5"/>
    <w:rsid w:val="004B5D8D"/>
    <w:rsid w:val="004B5E9E"/>
    <w:rsid w:val="004B5EB8"/>
    <w:rsid w:val="004B5FD8"/>
    <w:rsid w:val="004B6873"/>
    <w:rsid w:val="004B6961"/>
    <w:rsid w:val="004B708D"/>
    <w:rsid w:val="004B726E"/>
    <w:rsid w:val="004B7508"/>
    <w:rsid w:val="004C005F"/>
    <w:rsid w:val="004C0319"/>
    <w:rsid w:val="004C057B"/>
    <w:rsid w:val="004C0979"/>
    <w:rsid w:val="004C1102"/>
    <w:rsid w:val="004C14C6"/>
    <w:rsid w:val="004C18ED"/>
    <w:rsid w:val="004C19FB"/>
    <w:rsid w:val="004C1A3F"/>
    <w:rsid w:val="004C1D02"/>
    <w:rsid w:val="004C22BD"/>
    <w:rsid w:val="004C22D3"/>
    <w:rsid w:val="004C2304"/>
    <w:rsid w:val="004C25B5"/>
    <w:rsid w:val="004C28D0"/>
    <w:rsid w:val="004C290D"/>
    <w:rsid w:val="004C29FC"/>
    <w:rsid w:val="004C2D58"/>
    <w:rsid w:val="004C2FF9"/>
    <w:rsid w:val="004C30FF"/>
    <w:rsid w:val="004C3165"/>
    <w:rsid w:val="004C3611"/>
    <w:rsid w:val="004C37D7"/>
    <w:rsid w:val="004C38EA"/>
    <w:rsid w:val="004C3C10"/>
    <w:rsid w:val="004C3C68"/>
    <w:rsid w:val="004C40FD"/>
    <w:rsid w:val="004C4286"/>
    <w:rsid w:val="004C4FC9"/>
    <w:rsid w:val="004C541C"/>
    <w:rsid w:val="004C54A4"/>
    <w:rsid w:val="004C54D7"/>
    <w:rsid w:val="004C56D6"/>
    <w:rsid w:val="004C56F5"/>
    <w:rsid w:val="004C5770"/>
    <w:rsid w:val="004C599D"/>
    <w:rsid w:val="004C5B98"/>
    <w:rsid w:val="004C5D13"/>
    <w:rsid w:val="004C5DC2"/>
    <w:rsid w:val="004C5F33"/>
    <w:rsid w:val="004C60C3"/>
    <w:rsid w:val="004C62E1"/>
    <w:rsid w:val="004C6443"/>
    <w:rsid w:val="004C696D"/>
    <w:rsid w:val="004C6C15"/>
    <w:rsid w:val="004C6DFA"/>
    <w:rsid w:val="004C79ED"/>
    <w:rsid w:val="004C7B78"/>
    <w:rsid w:val="004C7CEA"/>
    <w:rsid w:val="004C7F7B"/>
    <w:rsid w:val="004C7FF8"/>
    <w:rsid w:val="004D00FB"/>
    <w:rsid w:val="004D01B2"/>
    <w:rsid w:val="004D040D"/>
    <w:rsid w:val="004D0437"/>
    <w:rsid w:val="004D0601"/>
    <w:rsid w:val="004D0646"/>
    <w:rsid w:val="004D08E6"/>
    <w:rsid w:val="004D0DCE"/>
    <w:rsid w:val="004D1376"/>
    <w:rsid w:val="004D1445"/>
    <w:rsid w:val="004D1913"/>
    <w:rsid w:val="004D19DD"/>
    <w:rsid w:val="004D1AC5"/>
    <w:rsid w:val="004D1E6B"/>
    <w:rsid w:val="004D2046"/>
    <w:rsid w:val="004D20C6"/>
    <w:rsid w:val="004D23D8"/>
    <w:rsid w:val="004D253A"/>
    <w:rsid w:val="004D2920"/>
    <w:rsid w:val="004D2AFB"/>
    <w:rsid w:val="004D30A0"/>
    <w:rsid w:val="004D3139"/>
    <w:rsid w:val="004D341B"/>
    <w:rsid w:val="004D3480"/>
    <w:rsid w:val="004D3F68"/>
    <w:rsid w:val="004D3FE5"/>
    <w:rsid w:val="004D411F"/>
    <w:rsid w:val="004D42B2"/>
    <w:rsid w:val="004D43D1"/>
    <w:rsid w:val="004D493B"/>
    <w:rsid w:val="004D49D6"/>
    <w:rsid w:val="004D4CB1"/>
    <w:rsid w:val="004D4FF9"/>
    <w:rsid w:val="004D5907"/>
    <w:rsid w:val="004D66E5"/>
    <w:rsid w:val="004D6814"/>
    <w:rsid w:val="004D6D00"/>
    <w:rsid w:val="004D6EAA"/>
    <w:rsid w:val="004D6F6B"/>
    <w:rsid w:val="004D6FA8"/>
    <w:rsid w:val="004D70BA"/>
    <w:rsid w:val="004D72A3"/>
    <w:rsid w:val="004D72B9"/>
    <w:rsid w:val="004D790B"/>
    <w:rsid w:val="004D79BA"/>
    <w:rsid w:val="004D7AC5"/>
    <w:rsid w:val="004D7AF6"/>
    <w:rsid w:val="004D7F90"/>
    <w:rsid w:val="004E0147"/>
    <w:rsid w:val="004E030C"/>
    <w:rsid w:val="004E089A"/>
    <w:rsid w:val="004E09A3"/>
    <w:rsid w:val="004E0AC8"/>
    <w:rsid w:val="004E0BFA"/>
    <w:rsid w:val="004E0C49"/>
    <w:rsid w:val="004E0EC2"/>
    <w:rsid w:val="004E0F48"/>
    <w:rsid w:val="004E178A"/>
    <w:rsid w:val="004E1845"/>
    <w:rsid w:val="004E1C3D"/>
    <w:rsid w:val="004E21DE"/>
    <w:rsid w:val="004E239A"/>
    <w:rsid w:val="004E2562"/>
    <w:rsid w:val="004E25A8"/>
    <w:rsid w:val="004E25D7"/>
    <w:rsid w:val="004E2B1D"/>
    <w:rsid w:val="004E2B3B"/>
    <w:rsid w:val="004E2D0B"/>
    <w:rsid w:val="004E2D62"/>
    <w:rsid w:val="004E30F2"/>
    <w:rsid w:val="004E36A7"/>
    <w:rsid w:val="004E3D39"/>
    <w:rsid w:val="004E3FDE"/>
    <w:rsid w:val="004E4028"/>
    <w:rsid w:val="004E47C2"/>
    <w:rsid w:val="004E4A4E"/>
    <w:rsid w:val="004E4B52"/>
    <w:rsid w:val="004E4EFE"/>
    <w:rsid w:val="004E515A"/>
    <w:rsid w:val="004E5206"/>
    <w:rsid w:val="004E5257"/>
    <w:rsid w:val="004E57E4"/>
    <w:rsid w:val="004E5A44"/>
    <w:rsid w:val="004E5AC9"/>
    <w:rsid w:val="004E5D62"/>
    <w:rsid w:val="004E617A"/>
    <w:rsid w:val="004E6187"/>
    <w:rsid w:val="004E6323"/>
    <w:rsid w:val="004E65F4"/>
    <w:rsid w:val="004E68F7"/>
    <w:rsid w:val="004E6B34"/>
    <w:rsid w:val="004E6C6F"/>
    <w:rsid w:val="004E6E15"/>
    <w:rsid w:val="004E6EC5"/>
    <w:rsid w:val="004E70F0"/>
    <w:rsid w:val="004E721E"/>
    <w:rsid w:val="004E76F3"/>
    <w:rsid w:val="004E7BFA"/>
    <w:rsid w:val="004E7C46"/>
    <w:rsid w:val="004E7C94"/>
    <w:rsid w:val="004E7D6B"/>
    <w:rsid w:val="004F048D"/>
    <w:rsid w:val="004F0584"/>
    <w:rsid w:val="004F0C7A"/>
    <w:rsid w:val="004F0C84"/>
    <w:rsid w:val="004F166E"/>
    <w:rsid w:val="004F194B"/>
    <w:rsid w:val="004F1D3A"/>
    <w:rsid w:val="004F2363"/>
    <w:rsid w:val="004F24F6"/>
    <w:rsid w:val="004F256B"/>
    <w:rsid w:val="004F2801"/>
    <w:rsid w:val="004F2BF2"/>
    <w:rsid w:val="004F2FB7"/>
    <w:rsid w:val="004F3316"/>
    <w:rsid w:val="004F3323"/>
    <w:rsid w:val="004F33E2"/>
    <w:rsid w:val="004F34D6"/>
    <w:rsid w:val="004F3791"/>
    <w:rsid w:val="004F3F31"/>
    <w:rsid w:val="004F3FD5"/>
    <w:rsid w:val="004F3FF6"/>
    <w:rsid w:val="004F4237"/>
    <w:rsid w:val="004F42EB"/>
    <w:rsid w:val="004F4871"/>
    <w:rsid w:val="004F4A0D"/>
    <w:rsid w:val="004F4A67"/>
    <w:rsid w:val="004F5645"/>
    <w:rsid w:val="004F58E6"/>
    <w:rsid w:val="004F5CDD"/>
    <w:rsid w:val="004F5E14"/>
    <w:rsid w:val="004F5EEF"/>
    <w:rsid w:val="004F600D"/>
    <w:rsid w:val="004F6137"/>
    <w:rsid w:val="004F6268"/>
    <w:rsid w:val="004F6363"/>
    <w:rsid w:val="004F6BA5"/>
    <w:rsid w:val="004F6CF5"/>
    <w:rsid w:val="004F6D1E"/>
    <w:rsid w:val="004F700D"/>
    <w:rsid w:val="004F74CE"/>
    <w:rsid w:val="004F75E0"/>
    <w:rsid w:val="004F76EE"/>
    <w:rsid w:val="004F76F7"/>
    <w:rsid w:val="004F7D6F"/>
    <w:rsid w:val="004F7E20"/>
    <w:rsid w:val="004F7F80"/>
    <w:rsid w:val="005000F3"/>
    <w:rsid w:val="00500131"/>
    <w:rsid w:val="0050026F"/>
    <w:rsid w:val="005004E6"/>
    <w:rsid w:val="00500757"/>
    <w:rsid w:val="00500A18"/>
    <w:rsid w:val="00500AE0"/>
    <w:rsid w:val="0050108A"/>
    <w:rsid w:val="005010FF"/>
    <w:rsid w:val="00501112"/>
    <w:rsid w:val="0050174B"/>
    <w:rsid w:val="00501836"/>
    <w:rsid w:val="00501A5E"/>
    <w:rsid w:val="00501A86"/>
    <w:rsid w:val="00501E0B"/>
    <w:rsid w:val="00501E3C"/>
    <w:rsid w:val="00501E8C"/>
    <w:rsid w:val="0050214E"/>
    <w:rsid w:val="0050219F"/>
    <w:rsid w:val="00502208"/>
    <w:rsid w:val="00502559"/>
    <w:rsid w:val="00502573"/>
    <w:rsid w:val="0050264B"/>
    <w:rsid w:val="00502682"/>
    <w:rsid w:val="005026D1"/>
    <w:rsid w:val="005029A8"/>
    <w:rsid w:val="00502F0B"/>
    <w:rsid w:val="00502F2B"/>
    <w:rsid w:val="005031FF"/>
    <w:rsid w:val="00503244"/>
    <w:rsid w:val="00503425"/>
    <w:rsid w:val="0050351A"/>
    <w:rsid w:val="00503AB0"/>
    <w:rsid w:val="00503C11"/>
    <w:rsid w:val="00503D75"/>
    <w:rsid w:val="00503E08"/>
    <w:rsid w:val="00503E17"/>
    <w:rsid w:val="00503E4A"/>
    <w:rsid w:val="00503FD4"/>
    <w:rsid w:val="00503FE1"/>
    <w:rsid w:val="0050461A"/>
    <w:rsid w:val="005046A0"/>
    <w:rsid w:val="005047DC"/>
    <w:rsid w:val="00504950"/>
    <w:rsid w:val="005049DA"/>
    <w:rsid w:val="00504D99"/>
    <w:rsid w:val="00505B26"/>
    <w:rsid w:val="00506582"/>
    <w:rsid w:val="00506D8A"/>
    <w:rsid w:val="00506F88"/>
    <w:rsid w:val="00507197"/>
    <w:rsid w:val="00507446"/>
    <w:rsid w:val="0050745C"/>
    <w:rsid w:val="00507AD5"/>
    <w:rsid w:val="00507AE7"/>
    <w:rsid w:val="00507BCC"/>
    <w:rsid w:val="00507BF4"/>
    <w:rsid w:val="0051029B"/>
    <w:rsid w:val="005103E4"/>
    <w:rsid w:val="0051042E"/>
    <w:rsid w:val="0051087E"/>
    <w:rsid w:val="00510988"/>
    <w:rsid w:val="00510CB2"/>
    <w:rsid w:val="00510D01"/>
    <w:rsid w:val="005110C5"/>
    <w:rsid w:val="00511255"/>
    <w:rsid w:val="0051145B"/>
    <w:rsid w:val="005119F2"/>
    <w:rsid w:val="00511A94"/>
    <w:rsid w:val="00511D55"/>
    <w:rsid w:val="00511FD4"/>
    <w:rsid w:val="0051240F"/>
    <w:rsid w:val="00512813"/>
    <w:rsid w:val="00512B24"/>
    <w:rsid w:val="00512D6A"/>
    <w:rsid w:val="005134F1"/>
    <w:rsid w:val="005135DE"/>
    <w:rsid w:val="00513649"/>
    <w:rsid w:val="0051364D"/>
    <w:rsid w:val="00513BA5"/>
    <w:rsid w:val="00513C37"/>
    <w:rsid w:val="00513D02"/>
    <w:rsid w:val="00513E11"/>
    <w:rsid w:val="00514036"/>
    <w:rsid w:val="005144A7"/>
    <w:rsid w:val="005149DB"/>
    <w:rsid w:val="00514DEB"/>
    <w:rsid w:val="00515048"/>
    <w:rsid w:val="00515050"/>
    <w:rsid w:val="005155A6"/>
    <w:rsid w:val="00515E17"/>
    <w:rsid w:val="00515F0B"/>
    <w:rsid w:val="0051672E"/>
    <w:rsid w:val="00516A9D"/>
    <w:rsid w:val="00516AED"/>
    <w:rsid w:val="00516C0F"/>
    <w:rsid w:val="00516F27"/>
    <w:rsid w:val="005171E8"/>
    <w:rsid w:val="00517464"/>
    <w:rsid w:val="00517649"/>
    <w:rsid w:val="00517A4C"/>
    <w:rsid w:val="00517B90"/>
    <w:rsid w:val="00520515"/>
    <w:rsid w:val="005208A8"/>
    <w:rsid w:val="005208AD"/>
    <w:rsid w:val="00520A8C"/>
    <w:rsid w:val="00520BCD"/>
    <w:rsid w:val="0052122E"/>
    <w:rsid w:val="00521486"/>
    <w:rsid w:val="00521657"/>
    <w:rsid w:val="005216E6"/>
    <w:rsid w:val="005217B3"/>
    <w:rsid w:val="00521AAF"/>
    <w:rsid w:val="00521DDF"/>
    <w:rsid w:val="00521F74"/>
    <w:rsid w:val="005225B4"/>
    <w:rsid w:val="00522997"/>
    <w:rsid w:val="00522A35"/>
    <w:rsid w:val="00522BD8"/>
    <w:rsid w:val="00523478"/>
    <w:rsid w:val="0052348F"/>
    <w:rsid w:val="00523616"/>
    <w:rsid w:val="0052366D"/>
    <w:rsid w:val="00523884"/>
    <w:rsid w:val="005244C9"/>
    <w:rsid w:val="00524621"/>
    <w:rsid w:val="00524E81"/>
    <w:rsid w:val="005257F7"/>
    <w:rsid w:val="0052586F"/>
    <w:rsid w:val="0052590F"/>
    <w:rsid w:val="00525DA2"/>
    <w:rsid w:val="00525F4E"/>
    <w:rsid w:val="00526308"/>
    <w:rsid w:val="005263A7"/>
    <w:rsid w:val="00526430"/>
    <w:rsid w:val="0052691B"/>
    <w:rsid w:val="005269E9"/>
    <w:rsid w:val="00526DD8"/>
    <w:rsid w:val="00526E36"/>
    <w:rsid w:val="005270A8"/>
    <w:rsid w:val="0052724D"/>
    <w:rsid w:val="005272F2"/>
    <w:rsid w:val="00527323"/>
    <w:rsid w:val="00527529"/>
    <w:rsid w:val="00527E1C"/>
    <w:rsid w:val="00530402"/>
    <w:rsid w:val="005304DE"/>
    <w:rsid w:val="00531497"/>
    <w:rsid w:val="00532258"/>
    <w:rsid w:val="005323C9"/>
    <w:rsid w:val="00532AC1"/>
    <w:rsid w:val="00532EE1"/>
    <w:rsid w:val="005335D0"/>
    <w:rsid w:val="00533617"/>
    <w:rsid w:val="00533671"/>
    <w:rsid w:val="00533ADF"/>
    <w:rsid w:val="00533DEA"/>
    <w:rsid w:val="00534201"/>
    <w:rsid w:val="005343B1"/>
    <w:rsid w:val="00534B0C"/>
    <w:rsid w:val="00534BA1"/>
    <w:rsid w:val="00534F8E"/>
    <w:rsid w:val="00535328"/>
    <w:rsid w:val="00535530"/>
    <w:rsid w:val="00535809"/>
    <w:rsid w:val="00535FC7"/>
    <w:rsid w:val="00536132"/>
    <w:rsid w:val="005361AA"/>
    <w:rsid w:val="00536387"/>
    <w:rsid w:val="00536796"/>
    <w:rsid w:val="005368BD"/>
    <w:rsid w:val="005369F0"/>
    <w:rsid w:val="00536BC4"/>
    <w:rsid w:val="00536E94"/>
    <w:rsid w:val="00536F42"/>
    <w:rsid w:val="0053721C"/>
    <w:rsid w:val="00537314"/>
    <w:rsid w:val="005373AD"/>
    <w:rsid w:val="00537805"/>
    <w:rsid w:val="005379B1"/>
    <w:rsid w:val="00537B77"/>
    <w:rsid w:val="00537C0F"/>
    <w:rsid w:val="00537D8C"/>
    <w:rsid w:val="00537E13"/>
    <w:rsid w:val="00540A3C"/>
    <w:rsid w:val="00540CBB"/>
    <w:rsid w:val="0054128B"/>
    <w:rsid w:val="00541472"/>
    <w:rsid w:val="0054189C"/>
    <w:rsid w:val="00541DB0"/>
    <w:rsid w:val="00542206"/>
    <w:rsid w:val="00542382"/>
    <w:rsid w:val="00542963"/>
    <w:rsid w:val="00543007"/>
    <w:rsid w:val="005432D2"/>
    <w:rsid w:val="00543B91"/>
    <w:rsid w:val="00543DE3"/>
    <w:rsid w:val="005441C7"/>
    <w:rsid w:val="00544403"/>
    <w:rsid w:val="00544504"/>
    <w:rsid w:val="00544675"/>
    <w:rsid w:val="005446D4"/>
    <w:rsid w:val="005446F9"/>
    <w:rsid w:val="0054478B"/>
    <w:rsid w:val="00544911"/>
    <w:rsid w:val="00544A95"/>
    <w:rsid w:val="0054518E"/>
    <w:rsid w:val="005452C9"/>
    <w:rsid w:val="005456DB"/>
    <w:rsid w:val="00545717"/>
    <w:rsid w:val="00545C5B"/>
    <w:rsid w:val="00546122"/>
    <w:rsid w:val="00546276"/>
    <w:rsid w:val="005463AD"/>
    <w:rsid w:val="005465B7"/>
    <w:rsid w:val="005466AC"/>
    <w:rsid w:val="0054672D"/>
    <w:rsid w:val="00546787"/>
    <w:rsid w:val="005467CA"/>
    <w:rsid w:val="00546A40"/>
    <w:rsid w:val="00546C77"/>
    <w:rsid w:val="00546D36"/>
    <w:rsid w:val="0054741E"/>
    <w:rsid w:val="00547477"/>
    <w:rsid w:val="00547695"/>
    <w:rsid w:val="00547BD5"/>
    <w:rsid w:val="00547E2F"/>
    <w:rsid w:val="0055004C"/>
    <w:rsid w:val="005508AF"/>
    <w:rsid w:val="00550B11"/>
    <w:rsid w:val="00550BB2"/>
    <w:rsid w:val="005510DC"/>
    <w:rsid w:val="00551165"/>
    <w:rsid w:val="005513E2"/>
    <w:rsid w:val="0055155C"/>
    <w:rsid w:val="0055209E"/>
    <w:rsid w:val="00552302"/>
    <w:rsid w:val="005525B4"/>
    <w:rsid w:val="005526C0"/>
    <w:rsid w:val="005527CC"/>
    <w:rsid w:val="00552F4F"/>
    <w:rsid w:val="00553874"/>
    <w:rsid w:val="005541B2"/>
    <w:rsid w:val="0055437E"/>
    <w:rsid w:val="00554497"/>
    <w:rsid w:val="0055454E"/>
    <w:rsid w:val="00554985"/>
    <w:rsid w:val="005549B6"/>
    <w:rsid w:val="00554BC8"/>
    <w:rsid w:val="00554E1D"/>
    <w:rsid w:val="00554F42"/>
    <w:rsid w:val="00554FD2"/>
    <w:rsid w:val="00555245"/>
    <w:rsid w:val="0055533E"/>
    <w:rsid w:val="0055590C"/>
    <w:rsid w:val="0055603E"/>
    <w:rsid w:val="005560AA"/>
    <w:rsid w:val="005561F8"/>
    <w:rsid w:val="005566F6"/>
    <w:rsid w:val="005569C5"/>
    <w:rsid w:val="005572C5"/>
    <w:rsid w:val="0055763C"/>
    <w:rsid w:val="00557820"/>
    <w:rsid w:val="00557BBB"/>
    <w:rsid w:val="005602CF"/>
    <w:rsid w:val="005603AD"/>
    <w:rsid w:val="00560AEF"/>
    <w:rsid w:val="00560DFD"/>
    <w:rsid w:val="00561112"/>
    <w:rsid w:val="005612F1"/>
    <w:rsid w:val="00561457"/>
    <w:rsid w:val="0056179D"/>
    <w:rsid w:val="005619D9"/>
    <w:rsid w:val="00561D58"/>
    <w:rsid w:val="00561DE0"/>
    <w:rsid w:val="00561E81"/>
    <w:rsid w:val="00562048"/>
    <w:rsid w:val="00562175"/>
    <w:rsid w:val="005621DE"/>
    <w:rsid w:val="005628D8"/>
    <w:rsid w:val="00562BB6"/>
    <w:rsid w:val="00562DFC"/>
    <w:rsid w:val="005631BF"/>
    <w:rsid w:val="0056371A"/>
    <w:rsid w:val="00563859"/>
    <w:rsid w:val="005638D6"/>
    <w:rsid w:val="00563A60"/>
    <w:rsid w:val="00563ACD"/>
    <w:rsid w:val="0056418A"/>
    <w:rsid w:val="00564334"/>
    <w:rsid w:val="00564453"/>
    <w:rsid w:val="005645F2"/>
    <w:rsid w:val="0056469B"/>
    <w:rsid w:val="005646EB"/>
    <w:rsid w:val="00564BDA"/>
    <w:rsid w:val="00564C1C"/>
    <w:rsid w:val="005652C1"/>
    <w:rsid w:val="005654DC"/>
    <w:rsid w:val="0056591C"/>
    <w:rsid w:val="00565B83"/>
    <w:rsid w:val="00565C5F"/>
    <w:rsid w:val="00565DDE"/>
    <w:rsid w:val="00565E79"/>
    <w:rsid w:val="00565F0A"/>
    <w:rsid w:val="005660E1"/>
    <w:rsid w:val="00566FAE"/>
    <w:rsid w:val="00567200"/>
    <w:rsid w:val="005674A2"/>
    <w:rsid w:val="00567D48"/>
    <w:rsid w:val="00567E93"/>
    <w:rsid w:val="00570250"/>
    <w:rsid w:val="00570AFA"/>
    <w:rsid w:val="00570DDD"/>
    <w:rsid w:val="00570EA5"/>
    <w:rsid w:val="005710F5"/>
    <w:rsid w:val="00571484"/>
    <w:rsid w:val="005717D0"/>
    <w:rsid w:val="00571B47"/>
    <w:rsid w:val="00571D1A"/>
    <w:rsid w:val="00571E75"/>
    <w:rsid w:val="00572076"/>
    <w:rsid w:val="0057207E"/>
    <w:rsid w:val="005724FA"/>
    <w:rsid w:val="00572861"/>
    <w:rsid w:val="00572CA5"/>
    <w:rsid w:val="00572CC9"/>
    <w:rsid w:val="00572DFB"/>
    <w:rsid w:val="0057308B"/>
    <w:rsid w:val="005732B7"/>
    <w:rsid w:val="005734A0"/>
    <w:rsid w:val="005736C5"/>
    <w:rsid w:val="0057386F"/>
    <w:rsid w:val="005738B1"/>
    <w:rsid w:val="005739BE"/>
    <w:rsid w:val="00573B4C"/>
    <w:rsid w:val="00573C13"/>
    <w:rsid w:val="00573C68"/>
    <w:rsid w:val="00573DDC"/>
    <w:rsid w:val="00573EF5"/>
    <w:rsid w:val="005740D3"/>
    <w:rsid w:val="005742E7"/>
    <w:rsid w:val="005745CF"/>
    <w:rsid w:val="005746F0"/>
    <w:rsid w:val="00574889"/>
    <w:rsid w:val="00575039"/>
    <w:rsid w:val="0057504C"/>
    <w:rsid w:val="00575137"/>
    <w:rsid w:val="005753B7"/>
    <w:rsid w:val="00575692"/>
    <w:rsid w:val="005759B2"/>
    <w:rsid w:val="005759F7"/>
    <w:rsid w:val="00575BB5"/>
    <w:rsid w:val="005764B8"/>
    <w:rsid w:val="00576859"/>
    <w:rsid w:val="00576945"/>
    <w:rsid w:val="00576E06"/>
    <w:rsid w:val="0057706E"/>
    <w:rsid w:val="00577202"/>
    <w:rsid w:val="0057735B"/>
    <w:rsid w:val="005801F0"/>
    <w:rsid w:val="005805FD"/>
    <w:rsid w:val="0058062D"/>
    <w:rsid w:val="00580939"/>
    <w:rsid w:val="00580EE7"/>
    <w:rsid w:val="00581172"/>
    <w:rsid w:val="00581193"/>
    <w:rsid w:val="0058157B"/>
    <w:rsid w:val="005815C9"/>
    <w:rsid w:val="0058198B"/>
    <w:rsid w:val="00582565"/>
    <w:rsid w:val="00582AF5"/>
    <w:rsid w:val="00582D2B"/>
    <w:rsid w:val="00582E21"/>
    <w:rsid w:val="005831D3"/>
    <w:rsid w:val="00583309"/>
    <w:rsid w:val="005834A4"/>
    <w:rsid w:val="0058358A"/>
    <w:rsid w:val="005838D7"/>
    <w:rsid w:val="00583BCD"/>
    <w:rsid w:val="00583FCF"/>
    <w:rsid w:val="00584113"/>
    <w:rsid w:val="00584799"/>
    <w:rsid w:val="005849B8"/>
    <w:rsid w:val="00584B00"/>
    <w:rsid w:val="00584D12"/>
    <w:rsid w:val="00584DF4"/>
    <w:rsid w:val="005853C2"/>
    <w:rsid w:val="00585E81"/>
    <w:rsid w:val="00586071"/>
    <w:rsid w:val="00586078"/>
    <w:rsid w:val="00586453"/>
    <w:rsid w:val="00586C34"/>
    <w:rsid w:val="00586D37"/>
    <w:rsid w:val="00586E19"/>
    <w:rsid w:val="0058709B"/>
    <w:rsid w:val="00587240"/>
    <w:rsid w:val="005879D5"/>
    <w:rsid w:val="00590432"/>
    <w:rsid w:val="00590850"/>
    <w:rsid w:val="00590A9E"/>
    <w:rsid w:val="00590EB7"/>
    <w:rsid w:val="00591136"/>
    <w:rsid w:val="00591D76"/>
    <w:rsid w:val="00591EC1"/>
    <w:rsid w:val="00592199"/>
    <w:rsid w:val="0059237A"/>
    <w:rsid w:val="0059283E"/>
    <w:rsid w:val="00592995"/>
    <w:rsid w:val="00592B66"/>
    <w:rsid w:val="00592DB0"/>
    <w:rsid w:val="00592F88"/>
    <w:rsid w:val="00593184"/>
    <w:rsid w:val="00593325"/>
    <w:rsid w:val="00593A97"/>
    <w:rsid w:val="00593DE2"/>
    <w:rsid w:val="00593F87"/>
    <w:rsid w:val="00594043"/>
    <w:rsid w:val="005940D4"/>
    <w:rsid w:val="00594345"/>
    <w:rsid w:val="0059446D"/>
    <w:rsid w:val="0059485D"/>
    <w:rsid w:val="005948E8"/>
    <w:rsid w:val="00594ABE"/>
    <w:rsid w:val="00594AC7"/>
    <w:rsid w:val="0059505E"/>
    <w:rsid w:val="005951B0"/>
    <w:rsid w:val="005952C1"/>
    <w:rsid w:val="00595456"/>
    <w:rsid w:val="00595666"/>
    <w:rsid w:val="005959F5"/>
    <w:rsid w:val="00595A5D"/>
    <w:rsid w:val="00595BD0"/>
    <w:rsid w:val="00596074"/>
    <w:rsid w:val="0059621B"/>
    <w:rsid w:val="00596536"/>
    <w:rsid w:val="005970EB"/>
    <w:rsid w:val="00597292"/>
    <w:rsid w:val="005975B5"/>
    <w:rsid w:val="0059766D"/>
    <w:rsid w:val="0059799C"/>
    <w:rsid w:val="00597A58"/>
    <w:rsid w:val="005A05D2"/>
    <w:rsid w:val="005A0644"/>
    <w:rsid w:val="005A0AEC"/>
    <w:rsid w:val="005A0C5F"/>
    <w:rsid w:val="005A0E79"/>
    <w:rsid w:val="005A137F"/>
    <w:rsid w:val="005A16ED"/>
    <w:rsid w:val="005A18C2"/>
    <w:rsid w:val="005A1909"/>
    <w:rsid w:val="005A21CD"/>
    <w:rsid w:val="005A2490"/>
    <w:rsid w:val="005A2948"/>
    <w:rsid w:val="005A2DDE"/>
    <w:rsid w:val="005A31B6"/>
    <w:rsid w:val="005A3240"/>
    <w:rsid w:val="005A33BD"/>
    <w:rsid w:val="005A34E1"/>
    <w:rsid w:val="005A3FC6"/>
    <w:rsid w:val="005A417A"/>
    <w:rsid w:val="005A4A43"/>
    <w:rsid w:val="005A4A7E"/>
    <w:rsid w:val="005A51EA"/>
    <w:rsid w:val="005A554F"/>
    <w:rsid w:val="005A5800"/>
    <w:rsid w:val="005A5854"/>
    <w:rsid w:val="005A5C34"/>
    <w:rsid w:val="005A6112"/>
    <w:rsid w:val="005A6251"/>
    <w:rsid w:val="005A640F"/>
    <w:rsid w:val="005A642F"/>
    <w:rsid w:val="005A7298"/>
    <w:rsid w:val="005A737D"/>
    <w:rsid w:val="005A7505"/>
    <w:rsid w:val="005B02DF"/>
    <w:rsid w:val="005B0625"/>
    <w:rsid w:val="005B0DE2"/>
    <w:rsid w:val="005B10AB"/>
    <w:rsid w:val="005B1109"/>
    <w:rsid w:val="005B1193"/>
    <w:rsid w:val="005B1618"/>
    <w:rsid w:val="005B186B"/>
    <w:rsid w:val="005B1E96"/>
    <w:rsid w:val="005B212B"/>
    <w:rsid w:val="005B21E8"/>
    <w:rsid w:val="005B2324"/>
    <w:rsid w:val="005B2FB2"/>
    <w:rsid w:val="005B3028"/>
    <w:rsid w:val="005B31C2"/>
    <w:rsid w:val="005B339D"/>
    <w:rsid w:val="005B38E5"/>
    <w:rsid w:val="005B3C38"/>
    <w:rsid w:val="005B3C5B"/>
    <w:rsid w:val="005B40DA"/>
    <w:rsid w:val="005B40F2"/>
    <w:rsid w:val="005B435B"/>
    <w:rsid w:val="005B43FC"/>
    <w:rsid w:val="005B4884"/>
    <w:rsid w:val="005B48E6"/>
    <w:rsid w:val="005B4AA5"/>
    <w:rsid w:val="005B4BB6"/>
    <w:rsid w:val="005B4F6C"/>
    <w:rsid w:val="005B51DC"/>
    <w:rsid w:val="005B5292"/>
    <w:rsid w:val="005B60CA"/>
    <w:rsid w:val="005B670A"/>
    <w:rsid w:val="005B69EF"/>
    <w:rsid w:val="005B6CE2"/>
    <w:rsid w:val="005B7035"/>
    <w:rsid w:val="005B7717"/>
    <w:rsid w:val="005B78C9"/>
    <w:rsid w:val="005B797B"/>
    <w:rsid w:val="005B7B3D"/>
    <w:rsid w:val="005B7D4C"/>
    <w:rsid w:val="005B7EA8"/>
    <w:rsid w:val="005C00A2"/>
    <w:rsid w:val="005C0666"/>
    <w:rsid w:val="005C06D1"/>
    <w:rsid w:val="005C07F0"/>
    <w:rsid w:val="005C0961"/>
    <w:rsid w:val="005C0C5A"/>
    <w:rsid w:val="005C0E09"/>
    <w:rsid w:val="005C0F0F"/>
    <w:rsid w:val="005C0F7A"/>
    <w:rsid w:val="005C12A9"/>
    <w:rsid w:val="005C1327"/>
    <w:rsid w:val="005C150D"/>
    <w:rsid w:val="005C170E"/>
    <w:rsid w:val="005C17C4"/>
    <w:rsid w:val="005C1BB8"/>
    <w:rsid w:val="005C1E21"/>
    <w:rsid w:val="005C1E95"/>
    <w:rsid w:val="005C1EC8"/>
    <w:rsid w:val="005C1ED7"/>
    <w:rsid w:val="005C1EF5"/>
    <w:rsid w:val="005C20D3"/>
    <w:rsid w:val="005C221A"/>
    <w:rsid w:val="005C27C0"/>
    <w:rsid w:val="005C29EF"/>
    <w:rsid w:val="005C35A2"/>
    <w:rsid w:val="005C38C1"/>
    <w:rsid w:val="005C38CF"/>
    <w:rsid w:val="005C3E07"/>
    <w:rsid w:val="005C3FF1"/>
    <w:rsid w:val="005C4001"/>
    <w:rsid w:val="005C443D"/>
    <w:rsid w:val="005C4655"/>
    <w:rsid w:val="005C4BD5"/>
    <w:rsid w:val="005C4E9D"/>
    <w:rsid w:val="005C4F2B"/>
    <w:rsid w:val="005C4FBD"/>
    <w:rsid w:val="005C54DB"/>
    <w:rsid w:val="005C5777"/>
    <w:rsid w:val="005C60EE"/>
    <w:rsid w:val="005C63CD"/>
    <w:rsid w:val="005C66C3"/>
    <w:rsid w:val="005C678C"/>
    <w:rsid w:val="005C69AB"/>
    <w:rsid w:val="005C69C2"/>
    <w:rsid w:val="005C6C00"/>
    <w:rsid w:val="005C6CC7"/>
    <w:rsid w:val="005C6E58"/>
    <w:rsid w:val="005C70E7"/>
    <w:rsid w:val="005C72C3"/>
    <w:rsid w:val="005C7375"/>
    <w:rsid w:val="005C7CAF"/>
    <w:rsid w:val="005C7D18"/>
    <w:rsid w:val="005C7E87"/>
    <w:rsid w:val="005C7F4A"/>
    <w:rsid w:val="005C7F51"/>
    <w:rsid w:val="005D0229"/>
    <w:rsid w:val="005D04E3"/>
    <w:rsid w:val="005D067D"/>
    <w:rsid w:val="005D06CA"/>
    <w:rsid w:val="005D181E"/>
    <w:rsid w:val="005D1856"/>
    <w:rsid w:val="005D18AF"/>
    <w:rsid w:val="005D1A19"/>
    <w:rsid w:val="005D1DBA"/>
    <w:rsid w:val="005D2A12"/>
    <w:rsid w:val="005D2F23"/>
    <w:rsid w:val="005D37A8"/>
    <w:rsid w:val="005D38A2"/>
    <w:rsid w:val="005D3AFA"/>
    <w:rsid w:val="005D3C31"/>
    <w:rsid w:val="005D3C6E"/>
    <w:rsid w:val="005D4592"/>
    <w:rsid w:val="005D49C8"/>
    <w:rsid w:val="005D4BDA"/>
    <w:rsid w:val="005D4F1A"/>
    <w:rsid w:val="005D50FA"/>
    <w:rsid w:val="005D5540"/>
    <w:rsid w:val="005D5940"/>
    <w:rsid w:val="005D5A0C"/>
    <w:rsid w:val="005D5B56"/>
    <w:rsid w:val="005D5D1A"/>
    <w:rsid w:val="005D5DB0"/>
    <w:rsid w:val="005D5FA8"/>
    <w:rsid w:val="005D61F4"/>
    <w:rsid w:val="005D67EA"/>
    <w:rsid w:val="005D68D1"/>
    <w:rsid w:val="005D6A6A"/>
    <w:rsid w:val="005D6C85"/>
    <w:rsid w:val="005D77B3"/>
    <w:rsid w:val="005D78B0"/>
    <w:rsid w:val="005D7D07"/>
    <w:rsid w:val="005E0113"/>
    <w:rsid w:val="005E06A1"/>
    <w:rsid w:val="005E0765"/>
    <w:rsid w:val="005E0B60"/>
    <w:rsid w:val="005E0E3E"/>
    <w:rsid w:val="005E0F79"/>
    <w:rsid w:val="005E11B5"/>
    <w:rsid w:val="005E11E4"/>
    <w:rsid w:val="005E129C"/>
    <w:rsid w:val="005E13E2"/>
    <w:rsid w:val="005E14F2"/>
    <w:rsid w:val="005E161C"/>
    <w:rsid w:val="005E17C2"/>
    <w:rsid w:val="005E1A05"/>
    <w:rsid w:val="005E1B47"/>
    <w:rsid w:val="005E26AB"/>
    <w:rsid w:val="005E26EF"/>
    <w:rsid w:val="005E31A9"/>
    <w:rsid w:val="005E36D9"/>
    <w:rsid w:val="005E37B7"/>
    <w:rsid w:val="005E3887"/>
    <w:rsid w:val="005E3A6B"/>
    <w:rsid w:val="005E3B40"/>
    <w:rsid w:val="005E3E2A"/>
    <w:rsid w:val="005E4310"/>
    <w:rsid w:val="005E512A"/>
    <w:rsid w:val="005E5207"/>
    <w:rsid w:val="005E5297"/>
    <w:rsid w:val="005E5430"/>
    <w:rsid w:val="005E64F9"/>
    <w:rsid w:val="005E66D9"/>
    <w:rsid w:val="005E68B4"/>
    <w:rsid w:val="005E70AD"/>
    <w:rsid w:val="005E7584"/>
    <w:rsid w:val="005E7D80"/>
    <w:rsid w:val="005E7E87"/>
    <w:rsid w:val="005F063C"/>
    <w:rsid w:val="005F070F"/>
    <w:rsid w:val="005F07F7"/>
    <w:rsid w:val="005F080E"/>
    <w:rsid w:val="005F0860"/>
    <w:rsid w:val="005F0A92"/>
    <w:rsid w:val="005F0FD4"/>
    <w:rsid w:val="005F14AA"/>
    <w:rsid w:val="005F154B"/>
    <w:rsid w:val="005F1795"/>
    <w:rsid w:val="005F1B94"/>
    <w:rsid w:val="005F1CA3"/>
    <w:rsid w:val="005F21B1"/>
    <w:rsid w:val="005F2E67"/>
    <w:rsid w:val="005F306F"/>
    <w:rsid w:val="005F30C9"/>
    <w:rsid w:val="005F364B"/>
    <w:rsid w:val="005F389F"/>
    <w:rsid w:val="005F3944"/>
    <w:rsid w:val="005F3C1D"/>
    <w:rsid w:val="005F3ED2"/>
    <w:rsid w:val="005F3ED3"/>
    <w:rsid w:val="005F436A"/>
    <w:rsid w:val="005F4527"/>
    <w:rsid w:val="005F4777"/>
    <w:rsid w:val="005F47A6"/>
    <w:rsid w:val="005F481A"/>
    <w:rsid w:val="005F4C71"/>
    <w:rsid w:val="005F5163"/>
    <w:rsid w:val="005F54B3"/>
    <w:rsid w:val="005F588C"/>
    <w:rsid w:val="005F5FA4"/>
    <w:rsid w:val="005F6124"/>
    <w:rsid w:val="005F61DD"/>
    <w:rsid w:val="005F6719"/>
    <w:rsid w:val="005F6C47"/>
    <w:rsid w:val="005F7049"/>
    <w:rsid w:val="005F70D4"/>
    <w:rsid w:val="005F722B"/>
    <w:rsid w:val="005F7287"/>
    <w:rsid w:val="005F75AD"/>
    <w:rsid w:val="005F764B"/>
    <w:rsid w:val="005F7846"/>
    <w:rsid w:val="005F7D03"/>
    <w:rsid w:val="005F7D61"/>
    <w:rsid w:val="005F7FFE"/>
    <w:rsid w:val="00600451"/>
    <w:rsid w:val="00600B30"/>
    <w:rsid w:val="00601193"/>
    <w:rsid w:val="006011EA"/>
    <w:rsid w:val="006016FD"/>
    <w:rsid w:val="00601EB9"/>
    <w:rsid w:val="00602377"/>
    <w:rsid w:val="006023B8"/>
    <w:rsid w:val="0060268A"/>
    <w:rsid w:val="00602AC8"/>
    <w:rsid w:val="00602FAE"/>
    <w:rsid w:val="0060346D"/>
    <w:rsid w:val="00603B41"/>
    <w:rsid w:val="00603C68"/>
    <w:rsid w:val="006040A2"/>
    <w:rsid w:val="006040EC"/>
    <w:rsid w:val="006045FB"/>
    <w:rsid w:val="00604892"/>
    <w:rsid w:val="00604C00"/>
    <w:rsid w:val="00604CC6"/>
    <w:rsid w:val="00604CD6"/>
    <w:rsid w:val="00604E7E"/>
    <w:rsid w:val="00605061"/>
    <w:rsid w:val="0060537E"/>
    <w:rsid w:val="00605B45"/>
    <w:rsid w:val="00605D10"/>
    <w:rsid w:val="00605EBA"/>
    <w:rsid w:val="006064C8"/>
    <w:rsid w:val="00607D8D"/>
    <w:rsid w:val="00607E6C"/>
    <w:rsid w:val="00610243"/>
    <w:rsid w:val="006104E9"/>
    <w:rsid w:val="0061060E"/>
    <w:rsid w:val="00610A1B"/>
    <w:rsid w:val="00610CC0"/>
    <w:rsid w:val="00610EC7"/>
    <w:rsid w:val="00610F76"/>
    <w:rsid w:val="00611229"/>
    <w:rsid w:val="00611461"/>
    <w:rsid w:val="00611688"/>
    <w:rsid w:val="006116F8"/>
    <w:rsid w:val="00611C8A"/>
    <w:rsid w:val="00611EA6"/>
    <w:rsid w:val="00612031"/>
    <w:rsid w:val="0061210A"/>
    <w:rsid w:val="00612353"/>
    <w:rsid w:val="00612354"/>
    <w:rsid w:val="006126B0"/>
    <w:rsid w:val="00612813"/>
    <w:rsid w:val="00612AAE"/>
    <w:rsid w:val="00613474"/>
    <w:rsid w:val="006134CF"/>
    <w:rsid w:val="00613542"/>
    <w:rsid w:val="0061368B"/>
    <w:rsid w:val="0061377C"/>
    <w:rsid w:val="0061391D"/>
    <w:rsid w:val="00613E5F"/>
    <w:rsid w:val="006144FF"/>
    <w:rsid w:val="0061459F"/>
    <w:rsid w:val="00614716"/>
    <w:rsid w:val="00614921"/>
    <w:rsid w:val="00614ABC"/>
    <w:rsid w:val="00614E77"/>
    <w:rsid w:val="00615295"/>
    <w:rsid w:val="00615875"/>
    <w:rsid w:val="00615EBD"/>
    <w:rsid w:val="00616755"/>
    <w:rsid w:val="0061684D"/>
    <w:rsid w:val="00616852"/>
    <w:rsid w:val="00616F0B"/>
    <w:rsid w:val="006170F8"/>
    <w:rsid w:val="00617639"/>
    <w:rsid w:val="006176A0"/>
    <w:rsid w:val="00617D55"/>
    <w:rsid w:val="006200EB"/>
    <w:rsid w:val="00621638"/>
    <w:rsid w:val="0062191E"/>
    <w:rsid w:val="00621AE3"/>
    <w:rsid w:val="00622398"/>
    <w:rsid w:val="0062239C"/>
    <w:rsid w:val="0062239E"/>
    <w:rsid w:val="0062352E"/>
    <w:rsid w:val="00623737"/>
    <w:rsid w:val="0062384D"/>
    <w:rsid w:val="006238B9"/>
    <w:rsid w:val="00623AF5"/>
    <w:rsid w:val="00623D96"/>
    <w:rsid w:val="006241C1"/>
    <w:rsid w:val="0062420D"/>
    <w:rsid w:val="0062420E"/>
    <w:rsid w:val="006242FE"/>
    <w:rsid w:val="006247D9"/>
    <w:rsid w:val="00624900"/>
    <w:rsid w:val="006249D8"/>
    <w:rsid w:val="00624B5F"/>
    <w:rsid w:val="0062545D"/>
    <w:rsid w:val="006255F7"/>
    <w:rsid w:val="00625995"/>
    <w:rsid w:val="00625C31"/>
    <w:rsid w:val="00625CFE"/>
    <w:rsid w:val="00625F0C"/>
    <w:rsid w:val="00625F5B"/>
    <w:rsid w:val="0062611F"/>
    <w:rsid w:val="0062630C"/>
    <w:rsid w:val="00626614"/>
    <w:rsid w:val="006268DE"/>
    <w:rsid w:val="00626992"/>
    <w:rsid w:val="00626BD6"/>
    <w:rsid w:val="00626CC4"/>
    <w:rsid w:val="00626E23"/>
    <w:rsid w:val="006279E6"/>
    <w:rsid w:val="00627C38"/>
    <w:rsid w:val="00627CCE"/>
    <w:rsid w:val="00627FC5"/>
    <w:rsid w:val="00630267"/>
    <w:rsid w:val="00630510"/>
    <w:rsid w:val="00630812"/>
    <w:rsid w:val="00630B08"/>
    <w:rsid w:val="00630E95"/>
    <w:rsid w:val="00630F8D"/>
    <w:rsid w:val="00631543"/>
    <w:rsid w:val="00631A2F"/>
    <w:rsid w:val="00631A7F"/>
    <w:rsid w:val="00631B64"/>
    <w:rsid w:val="006326D0"/>
    <w:rsid w:val="00632C97"/>
    <w:rsid w:val="00633049"/>
    <w:rsid w:val="0063334B"/>
    <w:rsid w:val="006340CD"/>
    <w:rsid w:val="0063414D"/>
    <w:rsid w:val="006341E3"/>
    <w:rsid w:val="00634526"/>
    <w:rsid w:val="0063472D"/>
    <w:rsid w:val="006347B4"/>
    <w:rsid w:val="00634CB6"/>
    <w:rsid w:val="006351F0"/>
    <w:rsid w:val="0063523F"/>
    <w:rsid w:val="00635CED"/>
    <w:rsid w:val="00635DE3"/>
    <w:rsid w:val="00635E26"/>
    <w:rsid w:val="00635F5F"/>
    <w:rsid w:val="00636B25"/>
    <w:rsid w:val="00637075"/>
    <w:rsid w:val="0063716D"/>
    <w:rsid w:val="00637728"/>
    <w:rsid w:val="0063788E"/>
    <w:rsid w:val="00637B71"/>
    <w:rsid w:val="00637CAD"/>
    <w:rsid w:val="006400C6"/>
    <w:rsid w:val="0064044F"/>
    <w:rsid w:val="0064051D"/>
    <w:rsid w:val="006407E1"/>
    <w:rsid w:val="00640CFC"/>
    <w:rsid w:val="00641642"/>
    <w:rsid w:val="006417F4"/>
    <w:rsid w:val="0064192C"/>
    <w:rsid w:val="00641ACB"/>
    <w:rsid w:val="006420C6"/>
    <w:rsid w:val="00642218"/>
    <w:rsid w:val="00642254"/>
    <w:rsid w:val="00642368"/>
    <w:rsid w:val="00642557"/>
    <w:rsid w:val="00642898"/>
    <w:rsid w:val="00642930"/>
    <w:rsid w:val="00642CE1"/>
    <w:rsid w:val="00642E2B"/>
    <w:rsid w:val="006430C5"/>
    <w:rsid w:val="00643191"/>
    <w:rsid w:val="006435BB"/>
    <w:rsid w:val="00643664"/>
    <w:rsid w:val="0064394A"/>
    <w:rsid w:val="006440A1"/>
    <w:rsid w:val="00644404"/>
    <w:rsid w:val="006445C7"/>
    <w:rsid w:val="00644690"/>
    <w:rsid w:val="00644953"/>
    <w:rsid w:val="006449BE"/>
    <w:rsid w:val="00644D7F"/>
    <w:rsid w:val="00645BEC"/>
    <w:rsid w:val="006463D3"/>
    <w:rsid w:val="00646B7B"/>
    <w:rsid w:val="00646D81"/>
    <w:rsid w:val="00647243"/>
    <w:rsid w:val="00647420"/>
    <w:rsid w:val="0064775A"/>
    <w:rsid w:val="006478B7"/>
    <w:rsid w:val="00647C5B"/>
    <w:rsid w:val="00647C88"/>
    <w:rsid w:val="00647D50"/>
    <w:rsid w:val="00650933"/>
    <w:rsid w:val="00650B6D"/>
    <w:rsid w:val="00650D88"/>
    <w:rsid w:val="006520A6"/>
    <w:rsid w:val="0065221E"/>
    <w:rsid w:val="0065238D"/>
    <w:rsid w:val="0065265D"/>
    <w:rsid w:val="0065272F"/>
    <w:rsid w:val="00652755"/>
    <w:rsid w:val="00652AC7"/>
    <w:rsid w:val="0065345F"/>
    <w:rsid w:val="006536F4"/>
    <w:rsid w:val="00653819"/>
    <w:rsid w:val="00653912"/>
    <w:rsid w:val="0065415F"/>
    <w:rsid w:val="006542A0"/>
    <w:rsid w:val="00654358"/>
    <w:rsid w:val="006543E4"/>
    <w:rsid w:val="006549F9"/>
    <w:rsid w:val="00654B4A"/>
    <w:rsid w:val="00654B84"/>
    <w:rsid w:val="00655193"/>
    <w:rsid w:val="0065569A"/>
    <w:rsid w:val="00655806"/>
    <w:rsid w:val="006560BF"/>
    <w:rsid w:val="006563AC"/>
    <w:rsid w:val="006567C0"/>
    <w:rsid w:val="00656D2B"/>
    <w:rsid w:val="00656F60"/>
    <w:rsid w:val="00657383"/>
    <w:rsid w:val="0065743C"/>
    <w:rsid w:val="0065745A"/>
    <w:rsid w:val="00657809"/>
    <w:rsid w:val="00657A9A"/>
    <w:rsid w:val="006602BD"/>
    <w:rsid w:val="00660844"/>
    <w:rsid w:val="00660A39"/>
    <w:rsid w:val="00661EE9"/>
    <w:rsid w:val="006620CF"/>
    <w:rsid w:val="00662243"/>
    <w:rsid w:val="006623C3"/>
    <w:rsid w:val="006626D4"/>
    <w:rsid w:val="0066289D"/>
    <w:rsid w:val="00662B18"/>
    <w:rsid w:val="00662BDC"/>
    <w:rsid w:val="006633AE"/>
    <w:rsid w:val="006633B2"/>
    <w:rsid w:val="00663A2B"/>
    <w:rsid w:val="00663ACB"/>
    <w:rsid w:val="00664000"/>
    <w:rsid w:val="006643B5"/>
    <w:rsid w:val="00664666"/>
    <w:rsid w:val="00664D0C"/>
    <w:rsid w:val="006650DF"/>
    <w:rsid w:val="00665393"/>
    <w:rsid w:val="00665496"/>
    <w:rsid w:val="006656B0"/>
    <w:rsid w:val="00665D0D"/>
    <w:rsid w:val="00665EE0"/>
    <w:rsid w:val="0066612F"/>
    <w:rsid w:val="0066623B"/>
    <w:rsid w:val="0066693D"/>
    <w:rsid w:val="00666983"/>
    <w:rsid w:val="006669AB"/>
    <w:rsid w:val="006669B0"/>
    <w:rsid w:val="006669B5"/>
    <w:rsid w:val="00666D18"/>
    <w:rsid w:val="00666E9F"/>
    <w:rsid w:val="00667825"/>
    <w:rsid w:val="00667E70"/>
    <w:rsid w:val="006701B0"/>
    <w:rsid w:val="0067036F"/>
    <w:rsid w:val="006709C8"/>
    <w:rsid w:val="00670CC8"/>
    <w:rsid w:val="006711B3"/>
    <w:rsid w:val="00671837"/>
    <w:rsid w:val="006718E4"/>
    <w:rsid w:val="00671F66"/>
    <w:rsid w:val="006720CB"/>
    <w:rsid w:val="00672150"/>
    <w:rsid w:val="0067226A"/>
    <w:rsid w:val="0067251C"/>
    <w:rsid w:val="00672CF7"/>
    <w:rsid w:val="0067311E"/>
    <w:rsid w:val="006732A5"/>
    <w:rsid w:val="006737E4"/>
    <w:rsid w:val="00673A20"/>
    <w:rsid w:val="00673A3F"/>
    <w:rsid w:val="00673C48"/>
    <w:rsid w:val="00673DF4"/>
    <w:rsid w:val="006740E1"/>
    <w:rsid w:val="0067453C"/>
    <w:rsid w:val="00674803"/>
    <w:rsid w:val="00674BED"/>
    <w:rsid w:val="00674E2C"/>
    <w:rsid w:val="00674F2A"/>
    <w:rsid w:val="006757E6"/>
    <w:rsid w:val="006758CC"/>
    <w:rsid w:val="00675BCC"/>
    <w:rsid w:val="006771BC"/>
    <w:rsid w:val="006771E2"/>
    <w:rsid w:val="0067727F"/>
    <w:rsid w:val="006773E5"/>
    <w:rsid w:val="00677951"/>
    <w:rsid w:val="00677AA8"/>
    <w:rsid w:val="00677B77"/>
    <w:rsid w:val="00677D7C"/>
    <w:rsid w:val="00677FCC"/>
    <w:rsid w:val="006800F3"/>
    <w:rsid w:val="0068027D"/>
    <w:rsid w:val="0068044F"/>
    <w:rsid w:val="006809EE"/>
    <w:rsid w:val="00680C95"/>
    <w:rsid w:val="00681122"/>
    <w:rsid w:val="00681431"/>
    <w:rsid w:val="006816F4"/>
    <w:rsid w:val="00681829"/>
    <w:rsid w:val="0068184E"/>
    <w:rsid w:val="00681DD5"/>
    <w:rsid w:val="0068267C"/>
    <w:rsid w:val="006827BB"/>
    <w:rsid w:val="00682887"/>
    <w:rsid w:val="00682B6D"/>
    <w:rsid w:val="00682DA0"/>
    <w:rsid w:val="00682ECC"/>
    <w:rsid w:val="00683442"/>
    <w:rsid w:val="00683589"/>
    <w:rsid w:val="00683E12"/>
    <w:rsid w:val="00683E47"/>
    <w:rsid w:val="00684180"/>
    <w:rsid w:val="006841EA"/>
    <w:rsid w:val="0068423C"/>
    <w:rsid w:val="006853DE"/>
    <w:rsid w:val="006858B7"/>
    <w:rsid w:val="006859BD"/>
    <w:rsid w:val="00685D00"/>
    <w:rsid w:val="00685DC8"/>
    <w:rsid w:val="00686144"/>
    <w:rsid w:val="006868EA"/>
    <w:rsid w:val="0068693F"/>
    <w:rsid w:val="00686971"/>
    <w:rsid w:val="00686D8B"/>
    <w:rsid w:val="00686EA6"/>
    <w:rsid w:val="00686FEA"/>
    <w:rsid w:val="00687455"/>
    <w:rsid w:val="00687B3C"/>
    <w:rsid w:val="00687E1A"/>
    <w:rsid w:val="0069079B"/>
    <w:rsid w:val="006908F9"/>
    <w:rsid w:val="00690AE6"/>
    <w:rsid w:val="0069102F"/>
    <w:rsid w:val="0069108B"/>
    <w:rsid w:val="00691536"/>
    <w:rsid w:val="00691F66"/>
    <w:rsid w:val="006927BC"/>
    <w:rsid w:val="00692B64"/>
    <w:rsid w:val="00692BD2"/>
    <w:rsid w:val="00693897"/>
    <w:rsid w:val="006938D9"/>
    <w:rsid w:val="00693FA2"/>
    <w:rsid w:val="00694036"/>
    <w:rsid w:val="006940EC"/>
    <w:rsid w:val="006941E5"/>
    <w:rsid w:val="0069502C"/>
    <w:rsid w:val="00695060"/>
    <w:rsid w:val="006951D8"/>
    <w:rsid w:val="00695208"/>
    <w:rsid w:val="006957EB"/>
    <w:rsid w:val="00695F9A"/>
    <w:rsid w:val="0069630D"/>
    <w:rsid w:val="0069634E"/>
    <w:rsid w:val="0069653E"/>
    <w:rsid w:val="00696621"/>
    <w:rsid w:val="006969C4"/>
    <w:rsid w:val="00696C36"/>
    <w:rsid w:val="00696EFA"/>
    <w:rsid w:val="006971AC"/>
    <w:rsid w:val="0069798F"/>
    <w:rsid w:val="00697CAA"/>
    <w:rsid w:val="00697CAD"/>
    <w:rsid w:val="00697EA6"/>
    <w:rsid w:val="006A003F"/>
    <w:rsid w:val="006A00F7"/>
    <w:rsid w:val="006A0592"/>
    <w:rsid w:val="006A05F7"/>
    <w:rsid w:val="006A0A8F"/>
    <w:rsid w:val="006A0E32"/>
    <w:rsid w:val="006A0F05"/>
    <w:rsid w:val="006A1267"/>
    <w:rsid w:val="006A13EC"/>
    <w:rsid w:val="006A192D"/>
    <w:rsid w:val="006A194F"/>
    <w:rsid w:val="006A1E0A"/>
    <w:rsid w:val="006A1EC8"/>
    <w:rsid w:val="006A2289"/>
    <w:rsid w:val="006A24D0"/>
    <w:rsid w:val="006A2510"/>
    <w:rsid w:val="006A259E"/>
    <w:rsid w:val="006A2D1E"/>
    <w:rsid w:val="006A2EE5"/>
    <w:rsid w:val="006A3BB5"/>
    <w:rsid w:val="006A3C82"/>
    <w:rsid w:val="006A3F17"/>
    <w:rsid w:val="006A4722"/>
    <w:rsid w:val="006A4867"/>
    <w:rsid w:val="006A4A66"/>
    <w:rsid w:val="006A4F02"/>
    <w:rsid w:val="006A53D1"/>
    <w:rsid w:val="006A599E"/>
    <w:rsid w:val="006A629F"/>
    <w:rsid w:val="006A666A"/>
    <w:rsid w:val="006A6CE2"/>
    <w:rsid w:val="006A6CE3"/>
    <w:rsid w:val="006A6E8D"/>
    <w:rsid w:val="006A734D"/>
    <w:rsid w:val="006A786D"/>
    <w:rsid w:val="006A7C40"/>
    <w:rsid w:val="006A7FF2"/>
    <w:rsid w:val="006B013D"/>
    <w:rsid w:val="006B0B3B"/>
    <w:rsid w:val="006B0CA4"/>
    <w:rsid w:val="006B0D5B"/>
    <w:rsid w:val="006B16CF"/>
    <w:rsid w:val="006B1762"/>
    <w:rsid w:val="006B23C8"/>
    <w:rsid w:val="006B2970"/>
    <w:rsid w:val="006B2A60"/>
    <w:rsid w:val="006B2C2A"/>
    <w:rsid w:val="006B2CB4"/>
    <w:rsid w:val="006B300E"/>
    <w:rsid w:val="006B30EE"/>
    <w:rsid w:val="006B3A9F"/>
    <w:rsid w:val="006B3B10"/>
    <w:rsid w:val="006B3C64"/>
    <w:rsid w:val="006B3CF3"/>
    <w:rsid w:val="006B3D86"/>
    <w:rsid w:val="006B49DF"/>
    <w:rsid w:val="006B4A0D"/>
    <w:rsid w:val="006B4A73"/>
    <w:rsid w:val="006B4AA3"/>
    <w:rsid w:val="006B4AE4"/>
    <w:rsid w:val="006B4AE6"/>
    <w:rsid w:val="006B5008"/>
    <w:rsid w:val="006B53EC"/>
    <w:rsid w:val="006B578F"/>
    <w:rsid w:val="006B597B"/>
    <w:rsid w:val="006B5B66"/>
    <w:rsid w:val="006B5F0D"/>
    <w:rsid w:val="006B6032"/>
    <w:rsid w:val="006B6486"/>
    <w:rsid w:val="006B6ABA"/>
    <w:rsid w:val="006B7202"/>
    <w:rsid w:val="006B725D"/>
    <w:rsid w:val="006B7260"/>
    <w:rsid w:val="006B7840"/>
    <w:rsid w:val="006B79DF"/>
    <w:rsid w:val="006B7B26"/>
    <w:rsid w:val="006B7C2F"/>
    <w:rsid w:val="006C018D"/>
    <w:rsid w:val="006C04A0"/>
    <w:rsid w:val="006C0535"/>
    <w:rsid w:val="006C08E4"/>
    <w:rsid w:val="006C0B80"/>
    <w:rsid w:val="006C0BF7"/>
    <w:rsid w:val="006C0CA1"/>
    <w:rsid w:val="006C0E83"/>
    <w:rsid w:val="006C10BA"/>
    <w:rsid w:val="006C125C"/>
    <w:rsid w:val="006C1339"/>
    <w:rsid w:val="006C14CB"/>
    <w:rsid w:val="006C1530"/>
    <w:rsid w:val="006C173A"/>
    <w:rsid w:val="006C1ABA"/>
    <w:rsid w:val="006C1E70"/>
    <w:rsid w:val="006C28A8"/>
    <w:rsid w:val="006C2D7F"/>
    <w:rsid w:val="006C2D92"/>
    <w:rsid w:val="006C303E"/>
    <w:rsid w:val="006C36B9"/>
    <w:rsid w:val="006C374F"/>
    <w:rsid w:val="006C46EA"/>
    <w:rsid w:val="006C4E0D"/>
    <w:rsid w:val="006C4FDB"/>
    <w:rsid w:val="006C535C"/>
    <w:rsid w:val="006C5788"/>
    <w:rsid w:val="006C5C69"/>
    <w:rsid w:val="006C5D89"/>
    <w:rsid w:val="006C5F0A"/>
    <w:rsid w:val="006C6555"/>
    <w:rsid w:val="006C67DE"/>
    <w:rsid w:val="006C6989"/>
    <w:rsid w:val="006C6A57"/>
    <w:rsid w:val="006C6FDE"/>
    <w:rsid w:val="006C700D"/>
    <w:rsid w:val="006C7380"/>
    <w:rsid w:val="006C7461"/>
    <w:rsid w:val="006C756F"/>
    <w:rsid w:val="006C7871"/>
    <w:rsid w:val="006C7BAC"/>
    <w:rsid w:val="006D003F"/>
    <w:rsid w:val="006D00D2"/>
    <w:rsid w:val="006D0589"/>
    <w:rsid w:val="006D05DC"/>
    <w:rsid w:val="006D061E"/>
    <w:rsid w:val="006D089B"/>
    <w:rsid w:val="006D0A86"/>
    <w:rsid w:val="006D0AA4"/>
    <w:rsid w:val="006D0B17"/>
    <w:rsid w:val="006D0D0C"/>
    <w:rsid w:val="006D1098"/>
    <w:rsid w:val="006D10BE"/>
    <w:rsid w:val="006D1BCB"/>
    <w:rsid w:val="006D1D1C"/>
    <w:rsid w:val="006D1F38"/>
    <w:rsid w:val="006D1FC4"/>
    <w:rsid w:val="006D20D3"/>
    <w:rsid w:val="006D232D"/>
    <w:rsid w:val="006D30B3"/>
    <w:rsid w:val="006D3424"/>
    <w:rsid w:val="006D3A56"/>
    <w:rsid w:val="006D3DE9"/>
    <w:rsid w:val="006D40DC"/>
    <w:rsid w:val="006D41A8"/>
    <w:rsid w:val="006D431F"/>
    <w:rsid w:val="006D45F7"/>
    <w:rsid w:val="006D47BC"/>
    <w:rsid w:val="006D4E51"/>
    <w:rsid w:val="006D50C9"/>
    <w:rsid w:val="006D552C"/>
    <w:rsid w:val="006D59C3"/>
    <w:rsid w:val="006D60BE"/>
    <w:rsid w:val="006D63BD"/>
    <w:rsid w:val="006D68DF"/>
    <w:rsid w:val="006D6C45"/>
    <w:rsid w:val="006D6D56"/>
    <w:rsid w:val="006D718E"/>
    <w:rsid w:val="006D7457"/>
    <w:rsid w:val="006D74C3"/>
    <w:rsid w:val="006D75A3"/>
    <w:rsid w:val="006D7927"/>
    <w:rsid w:val="006D7C73"/>
    <w:rsid w:val="006D7D56"/>
    <w:rsid w:val="006D7DFF"/>
    <w:rsid w:val="006D7EDA"/>
    <w:rsid w:val="006E0138"/>
    <w:rsid w:val="006E0AE2"/>
    <w:rsid w:val="006E0EF9"/>
    <w:rsid w:val="006E1453"/>
    <w:rsid w:val="006E1512"/>
    <w:rsid w:val="006E16F8"/>
    <w:rsid w:val="006E17F3"/>
    <w:rsid w:val="006E1A86"/>
    <w:rsid w:val="006E1CA9"/>
    <w:rsid w:val="006E1FC2"/>
    <w:rsid w:val="006E23D4"/>
    <w:rsid w:val="006E2817"/>
    <w:rsid w:val="006E28A3"/>
    <w:rsid w:val="006E2D56"/>
    <w:rsid w:val="006E2F00"/>
    <w:rsid w:val="006E3282"/>
    <w:rsid w:val="006E3299"/>
    <w:rsid w:val="006E32CB"/>
    <w:rsid w:val="006E3C58"/>
    <w:rsid w:val="006E3E1F"/>
    <w:rsid w:val="006E4816"/>
    <w:rsid w:val="006E4821"/>
    <w:rsid w:val="006E49B9"/>
    <w:rsid w:val="006E51D5"/>
    <w:rsid w:val="006E541C"/>
    <w:rsid w:val="006E5438"/>
    <w:rsid w:val="006E5990"/>
    <w:rsid w:val="006E5A74"/>
    <w:rsid w:val="006E5AA3"/>
    <w:rsid w:val="006E60C6"/>
    <w:rsid w:val="006E61EE"/>
    <w:rsid w:val="006E6AEC"/>
    <w:rsid w:val="006E6ED8"/>
    <w:rsid w:val="006E7012"/>
    <w:rsid w:val="006E7279"/>
    <w:rsid w:val="006E7496"/>
    <w:rsid w:val="006E76FE"/>
    <w:rsid w:val="006E77A8"/>
    <w:rsid w:val="006E7829"/>
    <w:rsid w:val="006E792E"/>
    <w:rsid w:val="006E7952"/>
    <w:rsid w:val="006E7DFE"/>
    <w:rsid w:val="006F0152"/>
    <w:rsid w:val="006F0498"/>
    <w:rsid w:val="006F0556"/>
    <w:rsid w:val="006F135B"/>
    <w:rsid w:val="006F141E"/>
    <w:rsid w:val="006F1672"/>
    <w:rsid w:val="006F18EB"/>
    <w:rsid w:val="006F1C78"/>
    <w:rsid w:val="006F1CA0"/>
    <w:rsid w:val="006F1F62"/>
    <w:rsid w:val="006F22C1"/>
    <w:rsid w:val="006F2317"/>
    <w:rsid w:val="006F28FD"/>
    <w:rsid w:val="006F29D6"/>
    <w:rsid w:val="006F2CD5"/>
    <w:rsid w:val="006F2D60"/>
    <w:rsid w:val="006F306F"/>
    <w:rsid w:val="006F32FF"/>
    <w:rsid w:val="006F3329"/>
    <w:rsid w:val="006F34C7"/>
    <w:rsid w:val="006F3593"/>
    <w:rsid w:val="006F35F6"/>
    <w:rsid w:val="006F3635"/>
    <w:rsid w:val="006F36B1"/>
    <w:rsid w:val="006F3A56"/>
    <w:rsid w:val="006F3C54"/>
    <w:rsid w:val="006F4016"/>
    <w:rsid w:val="006F41AE"/>
    <w:rsid w:val="006F4380"/>
    <w:rsid w:val="006F4764"/>
    <w:rsid w:val="006F4B95"/>
    <w:rsid w:val="006F4F1F"/>
    <w:rsid w:val="006F5949"/>
    <w:rsid w:val="006F5B09"/>
    <w:rsid w:val="006F5BCF"/>
    <w:rsid w:val="006F64F3"/>
    <w:rsid w:val="006F651A"/>
    <w:rsid w:val="006F6B88"/>
    <w:rsid w:val="006F71ED"/>
    <w:rsid w:val="006F7235"/>
    <w:rsid w:val="006F72B8"/>
    <w:rsid w:val="006F77B4"/>
    <w:rsid w:val="006F7929"/>
    <w:rsid w:val="006F7B24"/>
    <w:rsid w:val="006F7D0F"/>
    <w:rsid w:val="007002B3"/>
    <w:rsid w:val="007004E2"/>
    <w:rsid w:val="00700519"/>
    <w:rsid w:val="007007C4"/>
    <w:rsid w:val="00700B47"/>
    <w:rsid w:val="00700F93"/>
    <w:rsid w:val="00701615"/>
    <w:rsid w:val="00701B21"/>
    <w:rsid w:val="007020BF"/>
    <w:rsid w:val="00702583"/>
    <w:rsid w:val="00702768"/>
    <w:rsid w:val="007029AD"/>
    <w:rsid w:val="00702AB1"/>
    <w:rsid w:val="007033A8"/>
    <w:rsid w:val="0070340E"/>
    <w:rsid w:val="00703536"/>
    <w:rsid w:val="00703D94"/>
    <w:rsid w:val="00703DBC"/>
    <w:rsid w:val="00704209"/>
    <w:rsid w:val="0070494A"/>
    <w:rsid w:val="00704AEA"/>
    <w:rsid w:val="00704CBB"/>
    <w:rsid w:val="00704EAE"/>
    <w:rsid w:val="00704ED9"/>
    <w:rsid w:val="00704F4E"/>
    <w:rsid w:val="00705434"/>
    <w:rsid w:val="00705A28"/>
    <w:rsid w:val="00705AA2"/>
    <w:rsid w:val="007063DE"/>
    <w:rsid w:val="007064F6"/>
    <w:rsid w:val="007066E4"/>
    <w:rsid w:val="00706817"/>
    <w:rsid w:val="0070695A"/>
    <w:rsid w:val="007069A4"/>
    <w:rsid w:val="00706A62"/>
    <w:rsid w:val="00706F7E"/>
    <w:rsid w:val="0070704E"/>
    <w:rsid w:val="007070CE"/>
    <w:rsid w:val="0070778D"/>
    <w:rsid w:val="007078A0"/>
    <w:rsid w:val="00707FB4"/>
    <w:rsid w:val="0071006B"/>
    <w:rsid w:val="00710352"/>
    <w:rsid w:val="0071042D"/>
    <w:rsid w:val="00710442"/>
    <w:rsid w:val="0071052E"/>
    <w:rsid w:val="00710706"/>
    <w:rsid w:val="00710990"/>
    <w:rsid w:val="007109B4"/>
    <w:rsid w:val="0071111A"/>
    <w:rsid w:val="007111B7"/>
    <w:rsid w:val="00711671"/>
    <w:rsid w:val="00711B1B"/>
    <w:rsid w:val="00711D51"/>
    <w:rsid w:val="00711EDC"/>
    <w:rsid w:val="00711F5B"/>
    <w:rsid w:val="007127C5"/>
    <w:rsid w:val="00712D56"/>
    <w:rsid w:val="007130AB"/>
    <w:rsid w:val="00713446"/>
    <w:rsid w:val="00713739"/>
    <w:rsid w:val="007137AC"/>
    <w:rsid w:val="00713B71"/>
    <w:rsid w:val="00713D86"/>
    <w:rsid w:val="00713DCE"/>
    <w:rsid w:val="00714033"/>
    <w:rsid w:val="00714117"/>
    <w:rsid w:val="00714233"/>
    <w:rsid w:val="0071453B"/>
    <w:rsid w:val="007147C4"/>
    <w:rsid w:val="00714812"/>
    <w:rsid w:val="00714918"/>
    <w:rsid w:val="00714B1A"/>
    <w:rsid w:val="00714CD6"/>
    <w:rsid w:val="00714DBA"/>
    <w:rsid w:val="007150B4"/>
    <w:rsid w:val="007152F7"/>
    <w:rsid w:val="007153DD"/>
    <w:rsid w:val="007156C5"/>
    <w:rsid w:val="007158C1"/>
    <w:rsid w:val="00716173"/>
    <w:rsid w:val="00716448"/>
    <w:rsid w:val="00716769"/>
    <w:rsid w:val="00716890"/>
    <w:rsid w:val="00716E96"/>
    <w:rsid w:val="00717622"/>
    <w:rsid w:val="00717749"/>
    <w:rsid w:val="0071778E"/>
    <w:rsid w:val="00717AA0"/>
    <w:rsid w:val="00717D68"/>
    <w:rsid w:val="00717FEF"/>
    <w:rsid w:val="00720760"/>
    <w:rsid w:val="00720779"/>
    <w:rsid w:val="007207D8"/>
    <w:rsid w:val="00720D3A"/>
    <w:rsid w:val="00720E13"/>
    <w:rsid w:val="00720E97"/>
    <w:rsid w:val="007213AF"/>
    <w:rsid w:val="007213F8"/>
    <w:rsid w:val="007217DA"/>
    <w:rsid w:val="00721C09"/>
    <w:rsid w:val="00721D3B"/>
    <w:rsid w:val="007223FE"/>
    <w:rsid w:val="007226FA"/>
    <w:rsid w:val="00722863"/>
    <w:rsid w:val="00722951"/>
    <w:rsid w:val="00722B9F"/>
    <w:rsid w:val="00722E24"/>
    <w:rsid w:val="00722E46"/>
    <w:rsid w:val="00723188"/>
    <w:rsid w:val="007231AF"/>
    <w:rsid w:val="007233A1"/>
    <w:rsid w:val="007233A2"/>
    <w:rsid w:val="0072370C"/>
    <w:rsid w:val="0072375B"/>
    <w:rsid w:val="00724340"/>
    <w:rsid w:val="00724603"/>
    <w:rsid w:val="00724794"/>
    <w:rsid w:val="0072493A"/>
    <w:rsid w:val="00724B58"/>
    <w:rsid w:val="00724E5F"/>
    <w:rsid w:val="00724F2C"/>
    <w:rsid w:val="00725261"/>
    <w:rsid w:val="00725497"/>
    <w:rsid w:val="00725A12"/>
    <w:rsid w:val="00725D7D"/>
    <w:rsid w:val="00725DD3"/>
    <w:rsid w:val="00726077"/>
    <w:rsid w:val="00726119"/>
    <w:rsid w:val="00726994"/>
    <w:rsid w:val="00726C5E"/>
    <w:rsid w:val="00726D3C"/>
    <w:rsid w:val="00726D3D"/>
    <w:rsid w:val="00726E40"/>
    <w:rsid w:val="0072703E"/>
    <w:rsid w:val="007272AF"/>
    <w:rsid w:val="007274E2"/>
    <w:rsid w:val="00727876"/>
    <w:rsid w:val="00727B95"/>
    <w:rsid w:val="00727DE9"/>
    <w:rsid w:val="00730078"/>
    <w:rsid w:val="007300E9"/>
    <w:rsid w:val="007300F3"/>
    <w:rsid w:val="00730317"/>
    <w:rsid w:val="00730422"/>
    <w:rsid w:val="00730552"/>
    <w:rsid w:val="007306CB"/>
    <w:rsid w:val="00730701"/>
    <w:rsid w:val="00730C58"/>
    <w:rsid w:val="00730CA2"/>
    <w:rsid w:val="00730DBE"/>
    <w:rsid w:val="00730E79"/>
    <w:rsid w:val="00730E93"/>
    <w:rsid w:val="00731476"/>
    <w:rsid w:val="007318CC"/>
    <w:rsid w:val="00731A91"/>
    <w:rsid w:val="00731E35"/>
    <w:rsid w:val="00732135"/>
    <w:rsid w:val="007321F4"/>
    <w:rsid w:val="00732724"/>
    <w:rsid w:val="00732943"/>
    <w:rsid w:val="007332F3"/>
    <w:rsid w:val="0073334F"/>
    <w:rsid w:val="00733418"/>
    <w:rsid w:val="0073353B"/>
    <w:rsid w:val="007337CF"/>
    <w:rsid w:val="00733EBA"/>
    <w:rsid w:val="007342D1"/>
    <w:rsid w:val="007342D4"/>
    <w:rsid w:val="00734396"/>
    <w:rsid w:val="007345E5"/>
    <w:rsid w:val="007354A9"/>
    <w:rsid w:val="007357EA"/>
    <w:rsid w:val="007358DC"/>
    <w:rsid w:val="00735BFF"/>
    <w:rsid w:val="007360F4"/>
    <w:rsid w:val="00736138"/>
    <w:rsid w:val="00736674"/>
    <w:rsid w:val="007367D3"/>
    <w:rsid w:val="00736BB5"/>
    <w:rsid w:val="00736D27"/>
    <w:rsid w:val="00737FE9"/>
    <w:rsid w:val="0074019C"/>
    <w:rsid w:val="007404B9"/>
    <w:rsid w:val="0074074A"/>
    <w:rsid w:val="00740A1F"/>
    <w:rsid w:val="00740A78"/>
    <w:rsid w:val="00740B86"/>
    <w:rsid w:val="00740CA2"/>
    <w:rsid w:val="007412D5"/>
    <w:rsid w:val="00741691"/>
    <w:rsid w:val="0074175E"/>
    <w:rsid w:val="00741983"/>
    <w:rsid w:val="00741A7C"/>
    <w:rsid w:val="00741DBD"/>
    <w:rsid w:val="00741FEC"/>
    <w:rsid w:val="00742164"/>
    <w:rsid w:val="00742535"/>
    <w:rsid w:val="00742832"/>
    <w:rsid w:val="00742A6A"/>
    <w:rsid w:val="00742C50"/>
    <w:rsid w:val="00742E37"/>
    <w:rsid w:val="00743796"/>
    <w:rsid w:val="00743BE6"/>
    <w:rsid w:val="007440E2"/>
    <w:rsid w:val="007447D7"/>
    <w:rsid w:val="00744E96"/>
    <w:rsid w:val="00744EBC"/>
    <w:rsid w:val="00745364"/>
    <w:rsid w:val="007455D5"/>
    <w:rsid w:val="00745D0E"/>
    <w:rsid w:val="0074696F"/>
    <w:rsid w:val="007470EF"/>
    <w:rsid w:val="007471D9"/>
    <w:rsid w:val="00747346"/>
    <w:rsid w:val="00747770"/>
    <w:rsid w:val="007477EA"/>
    <w:rsid w:val="00747BFD"/>
    <w:rsid w:val="00747CA4"/>
    <w:rsid w:val="00747F5C"/>
    <w:rsid w:val="00750C38"/>
    <w:rsid w:val="007510EA"/>
    <w:rsid w:val="00751219"/>
    <w:rsid w:val="00751300"/>
    <w:rsid w:val="0075133A"/>
    <w:rsid w:val="0075151E"/>
    <w:rsid w:val="00751536"/>
    <w:rsid w:val="00751A3F"/>
    <w:rsid w:val="00751B96"/>
    <w:rsid w:val="00751F28"/>
    <w:rsid w:val="0075208B"/>
    <w:rsid w:val="00752324"/>
    <w:rsid w:val="00752B35"/>
    <w:rsid w:val="00752E91"/>
    <w:rsid w:val="0075309A"/>
    <w:rsid w:val="007531C1"/>
    <w:rsid w:val="007534C6"/>
    <w:rsid w:val="00753682"/>
    <w:rsid w:val="007536A4"/>
    <w:rsid w:val="00753819"/>
    <w:rsid w:val="00753820"/>
    <w:rsid w:val="00753975"/>
    <w:rsid w:val="00753AEB"/>
    <w:rsid w:val="00753C02"/>
    <w:rsid w:val="00753C8A"/>
    <w:rsid w:val="00753E8C"/>
    <w:rsid w:val="0075416B"/>
    <w:rsid w:val="0075452F"/>
    <w:rsid w:val="007546B2"/>
    <w:rsid w:val="00754A0E"/>
    <w:rsid w:val="00754B8F"/>
    <w:rsid w:val="0075563C"/>
    <w:rsid w:val="00755C00"/>
    <w:rsid w:val="00755D64"/>
    <w:rsid w:val="00756141"/>
    <w:rsid w:val="00756220"/>
    <w:rsid w:val="00756369"/>
    <w:rsid w:val="0075689B"/>
    <w:rsid w:val="007568B5"/>
    <w:rsid w:val="007569A9"/>
    <w:rsid w:val="00756DB6"/>
    <w:rsid w:val="00756EAC"/>
    <w:rsid w:val="00756ECC"/>
    <w:rsid w:val="0075705A"/>
    <w:rsid w:val="00757A43"/>
    <w:rsid w:val="00757D63"/>
    <w:rsid w:val="00757DB7"/>
    <w:rsid w:val="00757DBA"/>
    <w:rsid w:val="0076076E"/>
    <w:rsid w:val="007607BC"/>
    <w:rsid w:val="00760A28"/>
    <w:rsid w:val="00760D80"/>
    <w:rsid w:val="00760D84"/>
    <w:rsid w:val="00760EE5"/>
    <w:rsid w:val="00760F98"/>
    <w:rsid w:val="00761751"/>
    <w:rsid w:val="007618B2"/>
    <w:rsid w:val="00761A8F"/>
    <w:rsid w:val="00761D70"/>
    <w:rsid w:val="00762901"/>
    <w:rsid w:val="00762B9B"/>
    <w:rsid w:val="00762E33"/>
    <w:rsid w:val="00762F16"/>
    <w:rsid w:val="0076300E"/>
    <w:rsid w:val="0076362C"/>
    <w:rsid w:val="0076373D"/>
    <w:rsid w:val="00763F0A"/>
    <w:rsid w:val="00764119"/>
    <w:rsid w:val="0076425F"/>
    <w:rsid w:val="007648ED"/>
    <w:rsid w:val="00765046"/>
    <w:rsid w:val="0076571E"/>
    <w:rsid w:val="0076578A"/>
    <w:rsid w:val="00765D9A"/>
    <w:rsid w:val="00765F9F"/>
    <w:rsid w:val="007661DD"/>
    <w:rsid w:val="0076625D"/>
    <w:rsid w:val="00766427"/>
    <w:rsid w:val="0076650F"/>
    <w:rsid w:val="00766516"/>
    <w:rsid w:val="007667C8"/>
    <w:rsid w:val="007667E0"/>
    <w:rsid w:val="00766D05"/>
    <w:rsid w:val="00767158"/>
    <w:rsid w:val="00767641"/>
    <w:rsid w:val="00767728"/>
    <w:rsid w:val="007677DC"/>
    <w:rsid w:val="0077028A"/>
    <w:rsid w:val="0077035B"/>
    <w:rsid w:val="00770500"/>
    <w:rsid w:val="007708D3"/>
    <w:rsid w:val="00770CAD"/>
    <w:rsid w:val="00770E58"/>
    <w:rsid w:val="00771699"/>
    <w:rsid w:val="007716C2"/>
    <w:rsid w:val="007716F0"/>
    <w:rsid w:val="007717FF"/>
    <w:rsid w:val="007719C1"/>
    <w:rsid w:val="00771B98"/>
    <w:rsid w:val="00771D7E"/>
    <w:rsid w:val="00772601"/>
    <w:rsid w:val="00772E33"/>
    <w:rsid w:val="00773476"/>
    <w:rsid w:val="00773B58"/>
    <w:rsid w:val="00773D63"/>
    <w:rsid w:val="00773D94"/>
    <w:rsid w:val="00773F74"/>
    <w:rsid w:val="007741B3"/>
    <w:rsid w:val="00774417"/>
    <w:rsid w:val="0077464B"/>
    <w:rsid w:val="0077464E"/>
    <w:rsid w:val="00774A2A"/>
    <w:rsid w:val="00774A2B"/>
    <w:rsid w:val="00774A9A"/>
    <w:rsid w:val="00774CAC"/>
    <w:rsid w:val="00774EFC"/>
    <w:rsid w:val="00774F16"/>
    <w:rsid w:val="00774F30"/>
    <w:rsid w:val="007753C6"/>
    <w:rsid w:val="00775557"/>
    <w:rsid w:val="00775646"/>
    <w:rsid w:val="00775A48"/>
    <w:rsid w:val="00775B7E"/>
    <w:rsid w:val="00775DB2"/>
    <w:rsid w:val="00776314"/>
    <w:rsid w:val="0077695D"/>
    <w:rsid w:val="00776A9A"/>
    <w:rsid w:val="00776BB8"/>
    <w:rsid w:val="007772A8"/>
    <w:rsid w:val="0077777F"/>
    <w:rsid w:val="00777E35"/>
    <w:rsid w:val="00777EAB"/>
    <w:rsid w:val="007801C8"/>
    <w:rsid w:val="007809DD"/>
    <w:rsid w:val="00780C2E"/>
    <w:rsid w:val="0078108E"/>
    <w:rsid w:val="007814B5"/>
    <w:rsid w:val="00781801"/>
    <w:rsid w:val="00781874"/>
    <w:rsid w:val="007829A4"/>
    <w:rsid w:val="00782A5E"/>
    <w:rsid w:val="00782CCB"/>
    <w:rsid w:val="00782F66"/>
    <w:rsid w:val="00783236"/>
    <w:rsid w:val="007832E3"/>
    <w:rsid w:val="0078352C"/>
    <w:rsid w:val="00783701"/>
    <w:rsid w:val="00783825"/>
    <w:rsid w:val="00783975"/>
    <w:rsid w:val="00783AE1"/>
    <w:rsid w:val="00783B9E"/>
    <w:rsid w:val="00783CFB"/>
    <w:rsid w:val="00783FCA"/>
    <w:rsid w:val="00783FED"/>
    <w:rsid w:val="00784566"/>
    <w:rsid w:val="00784583"/>
    <w:rsid w:val="00784679"/>
    <w:rsid w:val="00785089"/>
    <w:rsid w:val="0078549C"/>
    <w:rsid w:val="00785671"/>
    <w:rsid w:val="007857B6"/>
    <w:rsid w:val="0078641C"/>
    <w:rsid w:val="007864FD"/>
    <w:rsid w:val="0078662C"/>
    <w:rsid w:val="007867C3"/>
    <w:rsid w:val="00786B08"/>
    <w:rsid w:val="00786BFB"/>
    <w:rsid w:val="00786E64"/>
    <w:rsid w:val="00786EB4"/>
    <w:rsid w:val="00786FC3"/>
    <w:rsid w:val="0078714C"/>
    <w:rsid w:val="00787306"/>
    <w:rsid w:val="0078756C"/>
    <w:rsid w:val="00787843"/>
    <w:rsid w:val="00787CA3"/>
    <w:rsid w:val="00787F96"/>
    <w:rsid w:val="00790270"/>
    <w:rsid w:val="0079041E"/>
    <w:rsid w:val="00790EFD"/>
    <w:rsid w:val="007910D5"/>
    <w:rsid w:val="00792141"/>
    <w:rsid w:val="0079252A"/>
    <w:rsid w:val="00792A43"/>
    <w:rsid w:val="00792CAA"/>
    <w:rsid w:val="00792E54"/>
    <w:rsid w:val="007930F8"/>
    <w:rsid w:val="007935B9"/>
    <w:rsid w:val="00793B5F"/>
    <w:rsid w:val="00793FC7"/>
    <w:rsid w:val="007940CD"/>
    <w:rsid w:val="00794289"/>
    <w:rsid w:val="00794916"/>
    <w:rsid w:val="007957A1"/>
    <w:rsid w:val="00795BC4"/>
    <w:rsid w:val="00795C2A"/>
    <w:rsid w:val="007961C4"/>
    <w:rsid w:val="00796226"/>
    <w:rsid w:val="007962EC"/>
    <w:rsid w:val="00796A20"/>
    <w:rsid w:val="0079708F"/>
    <w:rsid w:val="0079732F"/>
    <w:rsid w:val="00797770"/>
    <w:rsid w:val="00797836"/>
    <w:rsid w:val="00797A66"/>
    <w:rsid w:val="00797B79"/>
    <w:rsid w:val="00797E6C"/>
    <w:rsid w:val="007A014F"/>
    <w:rsid w:val="007A01F7"/>
    <w:rsid w:val="007A0257"/>
    <w:rsid w:val="007A046C"/>
    <w:rsid w:val="007A0B75"/>
    <w:rsid w:val="007A1B4C"/>
    <w:rsid w:val="007A1D11"/>
    <w:rsid w:val="007A2284"/>
    <w:rsid w:val="007A23EB"/>
    <w:rsid w:val="007A28E8"/>
    <w:rsid w:val="007A2AD9"/>
    <w:rsid w:val="007A2FA3"/>
    <w:rsid w:val="007A30FB"/>
    <w:rsid w:val="007A3650"/>
    <w:rsid w:val="007A3899"/>
    <w:rsid w:val="007A3D80"/>
    <w:rsid w:val="007A44E8"/>
    <w:rsid w:val="007A4EC8"/>
    <w:rsid w:val="007A4EF9"/>
    <w:rsid w:val="007A5042"/>
    <w:rsid w:val="007A50EE"/>
    <w:rsid w:val="007A575E"/>
    <w:rsid w:val="007A578A"/>
    <w:rsid w:val="007A5962"/>
    <w:rsid w:val="007A5F48"/>
    <w:rsid w:val="007A5F54"/>
    <w:rsid w:val="007A6A03"/>
    <w:rsid w:val="007A6C3A"/>
    <w:rsid w:val="007A70F5"/>
    <w:rsid w:val="007A73EB"/>
    <w:rsid w:val="007A74F8"/>
    <w:rsid w:val="007A7893"/>
    <w:rsid w:val="007A7CAC"/>
    <w:rsid w:val="007B02E2"/>
    <w:rsid w:val="007B074D"/>
    <w:rsid w:val="007B0EDE"/>
    <w:rsid w:val="007B1394"/>
    <w:rsid w:val="007B141D"/>
    <w:rsid w:val="007B1624"/>
    <w:rsid w:val="007B17C7"/>
    <w:rsid w:val="007B19E5"/>
    <w:rsid w:val="007B20EE"/>
    <w:rsid w:val="007B2132"/>
    <w:rsid w:val="007B213C"/>
    <w:rsid w:val="007B277B"/>
    <w:rsid w:val="007B2DE1"/>
    <w:rsid w:val="007B3312"/>
    <w:rsid w:val="007B33BB"/>
    <w:rsid w:val="007B3A0F"/>
    <w:rsid w:val="007B3B24"/>
    <w:rsid w:val="007B43F1"/>
    <w:rsid w:val="007B4732"/>
    <w:rsid w:val="007B5211"/>
    <w:rsid w:val="007B5B8F"/>
    <w:rsid w:val="007B5C0B"/>
    <w:rsid w:val="007B5EBB"/>
    <w:rsid w:val="007B61D1"/>
    <w:rsid w:val="007B6251"/>
    <w:rsid w:val="007B67E1"/>
    <w:rsid w:val="007B71BA"/>
    <w:rsid w:val="007B7D6C"/>
    <w:rsid w:val="007C04CE"/>
    <w:rsid w:val="007C0553"/>
    <w:rsid w:val="007C0CB3"/>
    <w:rsid w:val="007C11AB"/>
    <w:rsid w:val="007C121C"/>
    <w:rsid w:val="007C1B67"/>
    <w:rsid w:val="007C1B97"/>
    <w:rsid w:val="007C2140"/>
    <w:rsid w:val="007C21B6"/>
    <w:rsid w:val="007C25B1"/>
    <w:rsid w:val="007C25FC"/>
    <w:rsid w:val="007C27B4"/>
    <w:rsid w:val="007C326C"/>
    <w:rsid w:val="007C392B"/>
    <w:rsid w:val="007C395A"/>
    <w:rsid w:val="007C3C42"/>
    <w:rsid w:val="007C4063"/>
    <w:rsid w:val="007C4265"/>
    <w:rsid w:val="007C43A4"/>
    <w:rsid w:val="007C4716"/>
    <w:rsid w:val="007C4775"/>
    <w:rsid w:val="007C47A4"/>
    <w:rsid w:val="007C48AD"/>
    <w:rsid w:val="007C4B2C"/>
    <w:rsid w:val="007C4FB7"/>
    <w:rsid w:val="007C5C0F"/>
    <w:rsid w:val="007C612A"/>
    <w:rsid w:val="007C69F1"/>
    <w:rsid w:val="007C6D58"/>
    <w:rsid w:val="007C6DB4"/>
    <w:rsid w:val="007C7460"/>
    <w:rsid w:val="007C7986"/>
    <w:rsid w:val="007C7A7B"/>
    <w:rsid w:val="007C7F44"/>
    <w:rsid w:val="007D0114"/>
    <w:rsid w:val="007D0232"/>
    <w:rsid w:val="007D0859"/>
    <w:rsid w:val="007D0A13"/>
    <w:rsid w:val="007D11FF"/>
    <w:rsid w:val="007D1220"/>
    <w:rsid w:val="007D1433"/>
    <w:rsid w:val="007D15C7"/>
    <w:rsid w:val="007D19DE"/>
    <w:rsid w:val="007D1A9D"/>
    <w:rsid w:val="007D2B42"/>
    <w:rsid w:val="007D2DCB"/>
    <w:rsid w:val="007D2E57"/>
    <w:rsid w:val="007D3136"/>
    <w:rsid w:val="007D34A7"/>
    <w:rsid w:val="007D3790"/>
    <w:rsid w:val="007D37A5"/>
    <w:rsid w:val="007D380E"/>
    <w:rsid w:val="007D3F43"/>
    <w:rsid w:val="007D3FA9"/>
    <w:rsid w:val="007D3FEA"/>
    <w:rsid w:val="007D45B4"/>
    <w:rsid w:val="007D48F4"/>
    <w:rsid w:val="007D4A27"/>
    <w:rsid w:val="007D4A90"/>
    <w:rsid w:val="007D4E15"/>
    <w:rsid w:val="007D4ED2"/>
    <w:rsid w:val="007D56D1"/>
    <w:rsid w:val="007D5709"/>
    <w:rsid w:val="007D6796"/>
    <w:rsid w:val="007D6E7F"/>
    <w:rsid w:val="007D72D9"/>
    <w:rsid w:val="007D76CB"/>
    <w:rsid w:val="007D7A79"/>
    <w:rsid w:val="007D7F70"/>
    <w:rsid w:val="007E0076"/>
    <w:rsid w:val="007E0991"/>
    <w:rsid w:val="007E0A70"/>
    <w:rsid w:val="007E0C13"/>
    <w:rsid w:val="007E0FD3"/>
    <w:rsid w:val="007E10AC"/>
    <w:rsid w:val="007E1328"/>
    <w:rsid w:val="007E1BF0"/>
    <w:rsid w:val="007E1FA8"/>
    <w:rsid w:val="007E23F1"/>
    <w:rsid w:val="007E2432"/>
    <w:rsid w:val="007E2598"/>
    <w:rsid w:val="007E2759"/>
    <w:rsid w:val="007E290E"/>
    <w:rsid w:val="007E29B1"/>
    <w:rsid w:val="007E2A68"/>
    <w:rsid w:val="007E2FC9"/>
    <w:rsid w:val="007E3CD3"/>
    <w:rsid w:val="007E3E37"/>
    <w:rsid w:val="007E41EA"/>
    <w:rsid w:val="007E46A9"/>
    <w:rsid w:val="007E46F5"/>
    <w:rsid w:val="007E48B7"/>
    <w:rsid w:val="007E49B0"/>
    <w:rsid w:val="007E4DC3"/>
    <w:rsid w:val="007E4E98"/>
    <w:rsid w:val="007E5217"/>
    <w:rsid w:val="007E5894"/>
    <w:rsid w:val="007E61F4"/>
    <w:rsid w:val="007E6546"/>
    <w:rsid w:val="007E6C3B"/>
    <w:rsid w:val="007E6C62"/>
    <w:rsid w:val="007E79F4"/>
    <w:rsid w:val="007E7D74"/>
    <w:rsid w:val="007E7FF3"/>
    <w:rsid w:val="007F0464"/>
    <w:rsid w:val="007F1613"/>
    <w:rsid w:val="007F16BB"/>
    <w:rsid w:val="007F1891"/>
    <w:rsid w:val="007F2021"/>
    <w:rsid w:val="007F2272"/>
    <w:rsid w:val="007F234C"/>
    <w:rsid w:val="007F2922"/>
    <w:rsid w:val="007F2AB8"/>
    <w:rsid w:val="007F2B90"/>
    <w:rsid w:val="007F31B5"/>
    <w:rsid w:val="007F31E3"/>
    <w:rsid w:val="007F3361"/>
    <w:rsid w:val="007F3541"/>
    <w:rsid w:val="007F3629"/>
    <w:rsid w:val="007F3A31"/>
    <w:rsid w:val="007F3C61"/>
    <w:rsid w:val="007F42F3"/>
    <w:rsid w:val="007F4485"/>
    <w:rsid w:val="007F456C"/>
    <w:rsid w:val="007F4A47"/>
    <w:rsid w:val="007F4C6C"/>
    <w:rsid w:val="007F4E27"/>
    <w:rsid w:val="007F4EA3"/>
    <w:rsid w:val="007F53C8"/>
    <w:rsid w:val="007F55FB"/>
    <w:rsid w:val="007F5A8A"/>
    <w:rsid w:val="007F5A94"/>
    <w:rsid w:val="007F6385"/>
    <w:rsid w:val="007F63BB"/>
    <w:rsid w:val="007F6677"/>
    <w:rsid w:val="007F66E7"/>
    <w:rsid w:val="007F6A7F"/>
    <w:rsid w:val="007F6B0C"/>
    <w:rsid w:val="007F6B5F"/>
    <w:rsid w:val="007F6C76"/>
    <w:rsid w:val="007F6E78"/>
    <w:rsid w:val="007F6F26"/>
    <w:rsid w:val="007F7012"/>
    <w:rsid w:val="007F70B2"/>
    <w:rsid w:val="007F71E8"/>
    <w:rsid w:val="007F7227"/>
    <w:rsid w:val="007F75D2"/>
    <w:rsid w:val="007F7859"/>
    <w:rsid w:val="007F793D"/>
    <w:rsid w:val="0080008C"/>
    <w:rsid w:val="0080020F"/>
    <w:rsid w:val="008002DF"/>
    <w:rsid w:val="00800702"/>
    <w:rsid w:val="008009AD"/>
    <w:rsid w:val="00800E2F"/>
    <w:rsid w:val="008010BD"/>
    <w:rsid w:val="00801139"/>
    <w:rsid w:val="00801670"/>
    <w:rsid w:val="00801745"/>
    <w:rsid w:val="008017F6"/>
    <w:rsid w:val="0080202E"/>
    <w:rsid w:val="0080243D"/>
    <w:rsid w:val="00802951"/>
    <w:rsid w:val="008029D2"/>
    <w:rsid w:val="00803042"/>
    <w:rsid w:val="00803276"/>
    <w:rsid w:val="00803D63"/>
    <w:rsid w:val="00803E66"/>
    <w:rsid w:val="00803F9A"/>
    <w:rsid w:val="0080482E"/>
    <w:rsid w:val="00804C66"/>
    <w:rsid w:val="00804D2F"/>
    <w:rsid w:val="008053FC"/>
    <w:rsid w:val="00805447"/>
    <w:rsid w:val="00805507"/>
    <w:rsid w:val="00805815"/>
    <w:rsid w:val="00805BD0"/>
    <w:rsid w:val="00805BE2"/>
    <w:rsid w:val="00805DC8"/>
    <w:rsid w:val="00806B70"/>
    <w:rsid w:val="00806C88"/>
    <w:rsid w:val="00806C8D"/>
    <w:rsid w:val="00806F10"/>
    <w:rsid w:val="00806F1D"/>
    <w:rsid w:val="00806F51"/>
    <w:rsid w:val="008071D0"/>
    <w:rsid w:val="0080775A"/>
    <w:rsid w:val="00807840"/>
    <w:rsid w:val="008079B8"/>
    <w:rsid w:val="00807A93"/>
    <w:rsid w:val="00807BD7"/>
    <w:rsid w:val="008106A7"/>
    <w:rsid w:val="008106BC"/>
    <w:rsid w:val="008106C3"/>
    <w:rsid w:val="00810D0C"/>
    <w:rsid w:val="00811D7E"/>
    <w:rsid w:val="008123E5"/>
    <w:rsid w:val="008124E0"/>
    <w:rsid w:val="00812518"/>
    <w:rsid w:val="008128B7"/>
    <w:rsid w:val="00812DB0"/>
    <w:rsid w:val="00813243"/>
    <w:rsid w:val="008138E9"/>
    <w:rsid w:val="00813E1E"/>
    <w:rsid w:val="00813E1F"/>
    <w:rsid w:val="0081411D"/>
    <w:rsid w:val="008142CB"/>
    <w:rsid w:val="0081449A"/>
    <w:rsid w:val="008146AD"/>
    <w:rsid w:val="0081492D"/>
    <w:rsid w:val="00814A34"/>
    <w:rsid w:val="00814AB6"/>
    <w:rsid w:val="00815173"/>
    <w:rsid w:val="008152C6"/>
    <w:rsid w:val="00815903"/>
    <w:rsid w:val="00815BA2"/>
    <w:rsid w:val="00816FA9"/>
    <w:rsid w:val="0081711E"/>
    <w:rsid w:val="00817881"/>
    <w:rsid w:val="00817F0F"/>
    <w:rsid w:val="00817F37"/>
    <w:rsid w:val="008201B7"/>
    <w:rsid w:val="00820413"/>
    <w:rsid w:val="00820C94"/>
    <w:rsid w:val="00821278"/>
    <w:rsid w:val="008215F9"/>
    <w:rsid w:val="008216AE"/>
    <w:rsid w:val="00821810"/>
    <w:rsid w:val="008218F3"/>
    <w:rsid w:val="00821ADF"/>
    <w:rsid w:val="008220B8"/>
    <w:rsid w:val="00822436"/>
    <w:rsid w:val="008226FA"/>
    <w:rsid w:val="00822AC9"/>
    <w:rsid w:val="00822DE8"/>
    <w:rsid w:val="008235C2"/>
    <w:rsid w:val="008235F0"/>
    <w:rsid w:val="00823713"/>
    <w:rsid w:val="00823B2E"/>
    <w:rsid w:val="00823EC5"/>
    <w:rsid w:val="00824059"/>
    <w:rsid w:val="00824506"/>
    <w:rsid w:val="0082459C"/>
    <w:rsid w:val="00824DAA"/>
    <w:rsid w:val="00825013"/>
    <w:rsid w:val="00825024"/>
    <w:rsid w:val="00825214"/>
    <w:rsid w:val="00825483"/>
    <w:rsid w:val="0082548A"/>
    <w:rsid w:val="00825671"/>
    <w:rsid w:val="008256A8"/>
    <w:rsid w:val="00826002"/>
    <w:rsid w:val="0082600E"/>
    <w:rsid w:val="00826BCC"/>
    <w:rsid w:val="00826EB8"/>
    <w:rsid w:val="008272A3"/>
    <w:rsid w:val="0082789B"/>
    <w:rsid w:val="00827BE5"/>
    <w:rsid w:val="00827D82"/>
    <w:rsid w:val="00830B46"/>
    <w:rsid w:val="00830BB2"/>
    <w:rsid w:val="00830DD5"/>
    <w:rsid w:val="008311A0"/>
    <w:rsid w:val="00831234"/>
    <w:rsid w:val="0083158B"/>
    <w:rsid w:val="00831CDB"/>
    <w:rsid w:val="00831FBA"/>
    <w:rsid w:val="00831FC1"/>
    <w:rsid w:val="008320E8"/>
    <w:rsid w:val="008325DD"/>
    <w:rsid w:val="00832671"/>
    <w:rsid w:val="00832A75"/>
    <w:rsid w:val="00832AD9"/>
    <w:rsid w:val="00832F56"/>
    <w:rsid w:val="008332BC"/>
    <w:rsid w:val="0083337D"/>
    <w:rsid w:val="00833391"/>
    <w:rsid w:val="00833611"/>
    <w:rsid w:val="0083368B"/>
    <w:rsid w:val="00833A07"/>
    <w:rsid w:val="00833AE2"/>
    <w:rsid w:val="00834B0C"/>
    <w:rsid w:val="00834CAC"/>
    <w:rsid w:val="00834E73"/>
    <w:rsid w:val="00834E91"/>
    <w:rsid w:val="008350F2"/>
    <w:rsid w:val="00835718"/>
    <w:rsid w:val="00835B43"/>
    <w:rsid w:val="00835CFF"/>
    <w:rsid w:val="00835E9A"/>
    <w:rsid w:val="00836B4C"/>
    <w:rsid w:val="008375BE"/>
    <w:rsid w:val="008378BC"/>
    <w:rsid w:val="008379EF"/>
    <w:rsid w:val="00837B11"/>
    <w:rsid w:val="00837B1B"/>
    <w:rsid w:val="00837C76"/>
    <w:rsid w:val="00840455"/>
    <w:rsid w:val="008408FA"/>
    <w:rsid w:val="00840932"/>
    <w:rsid w:val="00841457"/>
    <w:rsid w:val="0084182D"/>
    <w:rsid w:val="00841CF8"/>
    <w:rsid w:val="0084243B"/>
    <w:rsid w:val="00842469"/>
    <w:rsid w:val="008424AD"/>
    <w:rsid w:val="008425D9"/>
    <w:rsid w:val="00842CD8"/>
    <w:rsid w:val="00843323"/>
    <w:rsid w:val="00843430"/>
    <w:rsid w:val="0084351B"/>
    <w:rsid w:val="008438B1"/>
    <w:rsid w:val="008440C9"/>
    <w:rsid w:val="008441EE"/>
    <w:rsid w:val="00844571"/>
    <w:rsid w:val="0084469E"/>
    <w:rsid w:val="00844D73"/>
    <w:rsid w:val="0084516C"/>
    <w:rsid w:val="0084546F"/>
    <w:rsid w:val="00845DBE"/>
    <w:rsid w:val="00845FEF"/>
    <w:rsid w:val="0084667C"/>
    <w:rsid w:val="00846A5C"/>
    <w:rsid w:val="00846CB1"/>
    <w:rsid w:val="00846D7A"/>
    <w:rsid w:val="0084754D"/>
    <w:rsid w:val="00847550"/>
    <w:rsid w:val="00847664"/>
    <w:rsid w:val="00847D41"/>
    <w:rsid w:val="00847D5D"/>
    <w:rsid w:val="00847E39"/>
    <w:rsid w:val="00847F42"/>
    <w:rsid w:val="00850000"/>
    <w:rsid w:val="0085027A"/>
    <w:rsid w:val="0085055B"/>
    <w:rsid w:val="008509EE"/>
    <w:rsid w:val="00850C3D"/>
    <w:rsid w:val="00850C44"/>
    <w:rsid w:val="00850D5B"/>
    <w:rsid w:val="0085106C"/>
    <w:rsid w:val="00851453"/>
    <w:rsid w:val="00851827"/>
    <w:rsid w:val="00851993"/>
    <w:rsid w:val="00851C9E"/>
    <w:rsid w:val="00852058"/>
    <w:rsid w:val="008525F2"/>
    <w:rsid w:val="00852B2B"/>
    <w:rsid w:val="00852EAA"/>
    <w:rsid w:val="00852F2E"/>
    <w:rsid w:val="008530E3"/>
    <w:rsid w:val="00853233"/>
    <w:rsid w:val="0085335E"/>
    <w:rsid w:val="00853BAC"/>
    <w:rsid w:val="0085429E"/>
    <w:rsid w:val="0085433D"/>
    <w:rsid w:val="008547B2"/>
    <w:rsid w:val="00854C13"/>
    <w:rsid w:val="008550C4"/>
    <w:rsid w:val="00855279"/>
    <w:rsid w:val="00855301"/>
    <w:rsid w:val="00855478"/>
    <w:rsid w:val="0085579A"/>
    <w:rsid w:val="00855E54"/>
    <w:rsid w:val="00856171"/>
    <w:rsid w:val="00856284"/>
    <w:rsid w:val="0085654D"/>
    <w:rsid w:val="00856CB3"/>
    <w:rsid w:val="00856E68"/>
    <w:rsid w:val="00857230"/>
    <w:rsid w:val="00857257"/>
    <w:rsid w:val="008578C4"/>
    <w:rsid w:val="00857912"/>
    <w:rsid w:val="00857969"/>
    <w:rsid w:val="00857F93"/>
    <w:rsid w:val="00860405"/>
    <w:rsid w:val="008604A5"/>
    <w:rsid w:val="00860516"/>
    <w:rsid w:val="008605AB"/>
    <w:rsid w:val="00860B57"/>
    <w:rsid w:val="00860EFE"/>
    <w:rsid w:val="00860F0B"/>
    <w:rsid w:val="00860F5D"/>
    <w:rsid w:val="00860F9E"/>
    <w:rsid w:val="00861914"/>
    <w:rsid w:val="00861A67"/>
    <w:rsid w:val="00861FD5"/>
    <w:rsid w:val="00862226"/>
    <w:rsid w:val="008625F5"/>
    <w:rsid w:val="0086266B"/>
    <w:rsid w:val="00862B09"/>
    <w:rsid w:val="0086314D"/>
    <w:rsid w:val="0086334F"/>
    <w:rsid w:val="008633F6"/>
    <w:rsid w:val="0086357D"/>
    <w:rsid w:val="00863713"/>
    <w:rsid w:val="0086450E"/>
    <w:rsid w:val="00864742"/>
    <w:rsid w:val="0086487E"/>
    <w:rsid w:val="00864ADC"/>
    <w:rsid w:val="0086506A"/>
    <w:rsid w:val="00865102"/>
    <w:rsid w:val="00865721"/>
    <w:rsid w:val="00865A5B"/>
    <w:rsid w:val="00865F12"/>
    <w:rsid w:val="008660BD"/>
    <w:rsid w:val="00866374"/>
    <w:rsid w:val="008665FF"/>
    <w:rsid w:val="00866EE8"/>
    <w:rsid w:val="00866F43"/>
    <w:rsid w:val="008670C8"/>
    <w:rsid w:val="008670E0"/>
    <w:rsid w:val="00867372"/>
    <w:rsid w:val="00867BDA"/>
    <w:rsid w:val="00867D5C"/>
    <w:rsid w:val="00870509"/>
    <w:rsid w:val="00870603"/>
    <w:rsid w:val="0087079F"/>
    <w:rsid w:val="008707B0"/>
    <w:rsid w:val="008707DF"/>
    <w:rsid w:val="008707F3"/>
    <w:rsid w:val="00870E68"/>
    <w:rsid w:val="00871232"/>
    <w:rsid w:val="00871A85"/>
    <w:rsid w:val="00871E38"/>
    <w:rsid w:val="00871FFA"/>
    <w:rsid w:val="0087227B"/>
    <w:rsid w:val="00872AD2"/>
    <w:rsid w:val="00872D02"/>
    <w:rsid w:val="00872F9F"/>
    <w:rsid w:val="00873500"/>
    <w:rsid w:val="00873AAD"/>
    <w:rsid w:val="00873DD3"/>
    <w:rsid w:val="00873F46"/>
    <w:rsid w:val="00874096"/>
    <w:rsid w:val="008741A1"/>
    <w:rsid w:val="00874779"/>
    <w:rsid w:val="00874794"/>
    <w:rsid w:val="00874814"/>
    <w:rsid w:val="0087498A"/>
    <w:rsid w:val="00874B1A"/>
    <w:rsid w:val="00874B53"/>
    <w:rsid w:val="00874C8F"/>
    <w:rsid w:val="0087503D"/>
    <w:rsid w:val="008754FD"/>
    <w:rsid w:val="00875CFB"/>
    <w:rsid w:val="00875E71"/>
    <w:rsid w:val="00875F27"/>
    <w:rsid w:val="00876103"/>
    <w:rsid w:val="0087615C"/>
    <w:rsid w:val="008763EF"/>
    <w:rsid w:val="008766CB"/>
    <w:rsid w:val="008766DD"/>
    <w:rsid w:val="00876775"/>
    <w:rsid w:val="008767FD"/>
    <w:rsid w:val="00876888"/>
    <w:rsid w:val="00876A90"/>
    <w:rsid w:val="00876C53"/>
    <w:rsid w:val="00876EC7"/>
    <w:rsid w:val="00877212"/>
    <w:rsid w:val="00877260"/>
    <w:rsid w:val="00877660"/>
    <w:rsid w:val="00877F94"/>
    <w:rsid w:val="00877FBF"/>
    <w:rsid w:val="008802D2"/>
    <w:rsid w:val="008802F0"/>
    <w:rsid w:val="008804FA"/>
    <w:rsid w:val="008811C2"/>
    <w:rsid w:val="00881426"/>
    <w:rsid w:val="00881530"/>
    <w:rsid w:val="00881B40"/>
    <w:rsid w:val="00881C77"/>
    <w:rsid w:val="00881E15"/>
    <w:rsid w:val="00882374"/>
    <w:rsid w:val="008824FD"/>
    <w:rsid w:val="00882551"/>
    <w:rsid w:val="0088271A"/>
    <w:rsid w:val="00882746"/>
    <w:rsid w:val="00882B0D"/>
    <w:rsid w:val="00883209"/>
    <w:rsid w:val="008833B2"/>
    <w:rsid w:val="00883426"/>
    <w:rsid w:val="00883629"/>
    <w:rsid w:val="008837E5"/>
    <w:rsid w:val="0088474D"/>
    <w:rsid w:val="00884791"/>
    <w:rsid w:val="008847C4"/>
    <w:rsid w:val="00885461"/>
    <w:rsid w:val="008854C1"/>
    <w:rsid w:val="008860BC"/>
    <w:rsid w:val="008860C0"/>
    <w:rsid w:val="008866FC"/>
    <w:rsid w:val="008867E0"/>
    <w:rsid w:val="00886B11"/>
    <w:rsid w:val="00886C61"/>
    <w:rsid w:val="00886E8C"/>
    <w:rsid w:val="0088702E"/>
    <w:rsid w:val="008870D7"/>
    <w:rsid w:val="00887350"/>
    <w:rsid w:val="00887CA8"/>
    <w:rsid w:val="00887DE6"/>
    <w:rsid w:val="00887FC5"/>
    <w:rsid w:val="00890184"/>
    <w:rsid w:val="008901B8"/>
    <w:rsid w:val="00890292"/>
    <w:rsid w:val="008902CA"/>
    <w:rsid w:val="00890379"/>
    <w:rsid w:val="0089058E"/>
    <w:rsid w:val="008905CF"/>
    <w:rsid w:val="008908C8"/>
    <w:rsid w:val="00890AF9"/>
    <w:rsid w:val="0089122B"/>
    <w:rsid w:val="0089129D"/>
    <w:rsid w:val="00891654"/>
    <w:rsid w:val="00891790"/>
    <w:rsid w:val="00891806"/>
    <w:rsid w:val="00891B5E"/>
    <w:rsid w:val="00891F7C"/>
    <w:rsid w:val="00892290"/>
    <w:rsid w:val="008924FD"/>
    <w:rsid w:val="0089254D"/>
    <w:rsid w:val="00892571"/>
    <w:rsid w:val="00892830"/>
    <w:rsid w:val="00892CEB"/>
    <w:rsid w:val="0089336C"/>
    <w:rsid w:val="00893ACC"/>
    <w:rsid w:val="00893BC1"/>
    <w:rsid w:val="00893CE1"/>
    <w:rsid w:val="00893FBD"/>
    <w:rsid w:val="0089443A"/>
    <w:rsid w:val="00895528"/>
    <w:rsid w:val="008957B3"/>
    <w:rsid w:val="008958BB"/>
    <w:rsid w:val="00895AF4"/>
    <w:rsid w:val="00896D51"/>
    <w:rsid w:val="00896F92"/>
    <w:rsid w:val="00897287"/>
    <w:rsid w:val="00897454"/>
    <w:rsid w:val="00897689"/>
    <w:rsid w:val="008976E0"/>
    <w:rsid w:val="00897982"/>
    <w:rsid w:val="008A0068"/>
    <w:rsid w:val="008A04CD"/>
    <w:rsid w:val="008A07A6"/>
    <w:rsid w:val="008A0813"/>
    <w:rsid w:val="008A0884"/>
    <w:rsid w:val="008A0946"/>
    <w:rsid w:val="008A0A22"/>
    <w:rsid w:val="008A0F45"/>
    <w:rsid w:val="008A0F52"/>
    <w:rsid w:val="008A1455"/>
    <w:rsid w:val="008A1B13"/>
    <w:rsid w:val="008A1D1C"/>
    <w:rsid w:val="008A2307"/>
    <w:rsid w:val="008A26F5"/>
    <w:rsid w:val="008A2C1A"/>
    <w:rsid w:val="008A30E6"/>
    <w:rsid w:val="008A339E"/>
    <w:rsid w:val="008A3AC2"/>
    <w:rsid w:val="008A3BC8"/>
    <w:rsid w:val="008A3E3B"/>
    <w:rsid w:val="008A4133"/>
    <w:rsid w:val="008A441B"/>
    <w:rsid w:val="008A4A43"/>
    <w:rsid w:val="008A4B9E"/>
    <w:rsid w:val="008A4F5B"/>
    <w:rsid w:val="008A512E"/>
    <w:rsid w:val="008A5237"/>
    <w:rsid w:val="008A5458"/>
    <w:rsid w:val="008A5746"/>
    <w:rsid w:val="008A596D"/>
    <w:rsid w:val="008A5987"/>
    <w:rsid w:val="008A59F4"/>
    <w:rsid w:val="008A5BB4"/>
    <w:rsid w:val="008A5BD9"/>
    <w:rsid w:val="008A6243"/>
    <w:rsid w:val="008A653D"/>
    <w:rsid w:val="008A65B1"/>
    <w:rsid w:val="008A6749"/>
    <w:rsid w:val="008A687A"/>
    <w:rsid w:val="008A6AAA"/>
    <w:rsid w:val="008A6DBD"/>
    <w:rsid w:val="008A6FD5"/>
    <w:rsid w:val="008A6FFA"/>
    <w:rsid w:val="008A71B0"/>
    <w:rsid w:val="008A7916"/>
    <w:rsid w:val="008A7B70"/>
    <w:rsid w:val="008A7BFD"/>
    <w:rsid w:val="008A7CF7"/>
    <w:rsid w:val="008B00C3"/>
    <w:rsid w:val="008B06D3"/>
    <w:rsid w:val="008B090F"/>
    <w:rsid w:val="008B0AB0"/>
    <w:rsid w:val="008B0B23"/>
    <w:rsid w:val="008B0B6B"/>
    <w:rsid w:val="008B0D68"/>
    <w:rsid w:val="008B0FE6"/>
    <w:rsid w:val="008B12CF"/>
    <w:rsid w:val="008B12DC"/>
    <w:rsid w:val="008B1453"/>
    <w:rsid w:val="008B1515"/>
    <w:rsid w:val="008B154E"/>
    <w:rsid w:val="008B15C4"/>
    <w:rsid w:val="008B192D"/>
    <w:rsid w:val="008B1A65"/>
    <w:rsid w:val="008B1EEC"/>
    <w:rsid w:val="008B202A"/>
    <w:rsid w:val="008B2039"/>
    <w:rsid w:val="008B2153"/>
    <w:rsid w:val="008B2809"/>
    <w:rsid w:val="008B2B2E"/>
    <w:rsid w:val="008B2BFD"/>
    <w:rsid w:val="008B329D"/>
    <w:rsid w:val="008B33A7"/>
    <w:rsid w:val="008B38FA"/>
    <w:rsid w:val="008B3D4C"/>
    <w:rsid w:val="008B42B5"/>
    <w:rsid w:val="008B45A2"/>
    <w:rsid w:val="008B462E"/>
    <w:rsid w:val="008B4B0A"/>
    <w:rsid w:val="008B4E42"/>
    <w:rsid w:val="008B5335"/>
    <w:rsid w:val="008B53F2"/>
    <w:rsid w:val="008B5604"/>
    <w:rsid w:val="008B5724"/>
    <w:rsid w:val="008B5E35"/>
    <w:rsid w:val="008B62F2"/>
    <w:rsid w:val="008B6305"/>
    <w:rsid w:val="008B639E"/>
    <w:rsid w:val="008B657E"/>
    <w:rsid w:val="008B6691"/>
    <w:rsid w:val="008B67F2"/>
    <w:rsid w:val="008B6BA1"/>
    <w:rsid w:val="008B721C"/>
    <w:rsid w:val="008B73A0"/>
    <w:rsid w:val="008B76CD"/>
    <w:rsid w:val="008B7A7B"/>
    <w:rsid w:val="008C020B"/>
    <w:rsid w:val="008C073F"/>
    <w:rsid w:val="008C0922"/>
    <w:rsid w:val="008C0BF2"/>
    <w:rsid w:val="008C1261"/>
    <w:rsid w:val="008C190C"/>
    <w:rsid w:val="008C1A46"/>
    <w:rsid w:val="008C20A8"/>
    <w:rsid w:val="008C2382"/>
    <w:rsid w:val="008C2AE8"/>
    <w:rsid w:val="008C2BEF"/>
    <w:rsid w:val="008C31F3"/>
    <w:rsid w:val="008C324A"/>
    <w:rsid w:val="008C366D"/>
    <w:rsid w:val="008C3D35"/>
    <w:rsid w:val="008C3F36"/>
    <w:rsid w:val="008C402B"/>
    <w:rsid w:val="008C424C"/>
    <w:rsid w:val="008C42A4"/>
    <w:rsid w:val="008C4454"/>
    <w:rsid w:val="008C44FE"/>
    <w:rsid w:val="008C4AB5"/>
    <w:rsid w:val="008C4FD9"/>
    <w:rsid w:val="008C52D4"/>
    <w:rsid w:val="008C56BF"/>
    <w:rsid w:val="008C581C"/>
    <w:rsid w:val="008C583F"/>
    <w:rsid w:val="008C5C8A"/>
    <w:rsid w:val="008C63CE"/>
    <w:rsid w:val="008C65E3"/>
    <w:rsid w:val="008C6ABA"/>
    <w:rsid w:val="008C6B59"/>
    <w:rsid w:val="008C72E7"/>
    <w:rsid w:val="008C784C"/>
    <w:rsid w:val="008C7B1C"/>
    <w:rsid w:val="008C7D0D"/>
    <w:rsid w:val="008D0787"/>
    <w:rsid w:val="008D0ABB"/>
    <w:rsid w:val="008D0BC3"/>
    <w:rsid w:val="008D107E"/>
    <w:rsid w:val="008D1096"/>
    <w:rsid w:val="008D1653"/>
    <w:rsid w:val="008D1C5B"/>
    <w:rsid w:val="008D1F66"/>
    <w:rsid w:val="008D248C"/>
    <w:rsid w:val="008D28AB"/>
    <w:rsid w:val="008D2D6C"/>
    <w:rsid w:val="008D30EE"/>
    <w:rsid w:val="008D3882"/>
    <w:rsid w:val="008D3A7E"/>
    <w:rsid w:val="008D3BD0"/>
    <w:rsid w:val="008D3DCE"/>
    <w:rsid w:val="008D449D"/>
    <w:rsid w:val="008D461A"/>
    <w:rsid w:val="008D4979"/>
    <w:rsid w:val="008D4AD6"/>
    <w:rsid w:val="008D4AF9"/>
    <w:rsid w:val="008D4C06"/>
    <w:rsid w:val="008D5046"/>
    <w:rsid w:val="008D532E"/>
    <w:rsid w:val="008D573F"/>
    <w:rsid w:val="008D57CF"/>
    <w:rsid w:val="008D5A89"/>
    <w:rsid w:val="008D5CC0"/>
    <w:rsid w:val="008D5D84"/>
    <w:rsid w:val="008D63DC"/>
    <w:rsid w:val="008D653B"/>
    <w:rsid w:val="008D66C9"/>
    <w:rsid w:val="008D6775"/>
    <w:rsid w:val="008D6D55"/>
    <w:rsid w:val="008D74AD"/>
    <w:rsid w:val="008D74F5"/>
    <w:rsid w:val="008D7660"/>
    <w:rsid w:val="008D78F2"/>
    <w:rsid w:val="008D790E"/>
    <w:rsid w:val="008D7A1E"/>
    <w:rsid w:val="008D7AF1"/>
    <w:rsid w:val="008D7D1B"/>
    <w:rsid w:val="008E038B"/>
    <w:rsid w:val="008E07E4"/>
    <w:rsid w:val="008E0DC3"/>
    <w:rsid w:val="008E0E85"/>
    <w:rsid w:val="008E107C"/>
    <w:rsid w:val="008E1560"/>
    <w:rsid w:val="008E16BE"/>
    <w:rsid w:val="008E1B0A"/>
    <w:rsid w:val="008E1C61"/>
    <w:rsid w:val="008E1F0A"/>
    <w:rsid w:val="008E233E"/>
    <w:rsid w:val="008E2491"/>
    <w:rsid w:val="008E2546"/>
    <w:rsid w:val="008E2880"/>
    <w:rsid w:val="008E2AF4"/>
    <w:rsid w:val="008E2DD0"/>
    <w:rsid w:val="008E2F5F"/>
    <w:rsid w:val="008E3529"/>
    <w:rsid w:val="008E35E2"/>
    <w:rsid w:val="008E3C50"/>
    <w:rsid w:val="008E3DEA"/>
    <w:rsid w:val="008E3EC0"/>
    <w:rsid w:val="008E40D9"/>
    <w:rsid w:val="008E4184"/>
    <w:rsid w:val="008E420A"/>
    <w:rsid w:val="008E44C2"/>
    <w:rsid w:val="008E46D0"/>
    <w:rsid w:val="008E48A5"/>
    <w:rsid w:val="008E4DE3"/>
    <w:rsid w:val="008E4E68"/>
    <w:rsid w:val="008E5047"/>
    <w:rsid w:val="008E5142"/>
    <w:rsid w:val="008E5732"/>
    <w:rsid w:val="008E5F1C"/>
    <w:rsid w:val="008E5F44"/>
    <w:rsid w:val="008E5FAF"/>
    <w:rsid w:val="008E625A"/>
    <w:rsid w:val="008E6C23"/>
    <w:rsid w:val="008E6E17"/>
    <w:rsid w:val="008E6E63"/>
    <w:rsid w:val="008E6E91"/>
    <w:rsid w:val="008E6EE3"/>
    <w:rsid w:val="008E6F86"/>
    <w:rsid w:val="008E7615"/>
    <w:rsid w:val="008E7BF7"/>
    <w:rsid w:val="008E7D57"/>
    <w:rsid w:val="008E7F41"/>
    <w:rsid w:val="008F0168"/>
    <w:rsid w:val="008F048D"/>
    <w:rsid w:val="008F064C"/>
    <w:rsid w:val="008F07A7"/>
    <w:rsid w:val="008F132F"/>
    <w:rsid w:val="008F1348"/>
    <w:rsid w:val="008F1721"/>
    <w:rsid w:val="008F18AA"/>
    <w:rsid w:val="008F18FD"/>
    <w:rsid w:val="008F1991"/>
    <w:rsid w:val="008F1BE2"/>
    <w:rsid w:val="008F22F9"/>
    <w:rsid w:val="008F2748"/>
    <w:rsid w:val="008F2ADE"/>
    <w:rsid w:val="008F2B24"/>
    <w:rsid w:val="008F2F1F"/>
    <w:rsid w:val="008F3428"/>
    <w:rsid w:val="008F36B9"/>
    <w:rsid w:val="008F3762"/>
    <w:rsid w:val="008F3B80"/>
    <w:rsid w:val="008F3BF0"/>
    <w:rsid w:val="008F3EC2"/>
    <w:rsid w:val="008F42C7"/>
    <w:rsid w:val="008F4EC1"/>
    <w:rsid w:val="008F5D4D"/>
    <w:rsid w:val="008F5D73"/>
    <w:rsid w:val="008F5E1F"/>
    <w:rsid w:val="008F64A7"/>
    <w:rsid w:val="008F68FA"/>
    <w:rsid w:val="008F6B42"/>
    <w:rsid w:val="008F6B4A"/>
    <w:rsid w:val="008F6B52"/>
    <w:rsid w:val="008F77BD"/>
    <w:rsid w:val="008F7D95"/>
    <w:rsid w:val="008F7DAA"/>
    <w:rsid w:val="008F7E06"/>
    <w:rsid w:val="00900793"/>
    <w:rsid w:val="00900891"/>
    <w:rsid w:val="00900ACB"/>
    <w:rsid w:val="00900FB2"/>
    <w:rsid w:val="00901047"/>
    <w:rsid w:val="009011B1"/>
    <w:rsid w:val="0090257C"/>
    <w:rsid w:val="00902649"/>
    <w:rsid w:val="00902AF5"/>
    <w:rsid w:val="00902B93"/>
    <w:rsid w:val="00902E1F"/>
    <w:rsid w:val="00902F0D"/>
    <w:rsid w:val="009033B4"/>
    <w:rsid w:val="00903655"/>
    <w:rsid w:val="0090372B"/>
    <w:rsid w:val="00903C93"/>
    <w:rsid w:val="00903D1D"/>
    <w:rsid w:val="00904004"/>
    <w:rsid w:val="00904B22"/>
    <w:rsid w:val="00904C9A"/>
    <w:rsid w:val="00905016"/>
    <w:rsid w:val="00905300"/>
    <w:rsid w:val="00905726"/>
    <w:rsid w:val="009057AC"/>
    <w:rsid w:val="00905854"/>
    <w:rsid w:val="00905969"/>
    <w:rsid w:val="00906149"/>
    <w:rsid w:val="00906512"/>
    <w:rsid w:val="00906606"/>
    <w:rsid w:val="00907504"/>
    <w:rsid w:val="00907870"/>
    <w:rsid w:val="00907A7D"/>
    <w:rsid w:val="00907C38"/>
    <w:rsid w:val="00907CDF"/>
    <w:rsid w:val="00907CE5"/>
    <w:rsid w:val="00910005"/>
    <w:rsid w:val="00910013"/>
    <w:rsid w:val="00910116"/>
    <w:rsid w:val="00910822"/>
    <w:rsid w:val="00910928"/>
    <w:rsid w:val="00910BA2"/>
    <w:rsid w:val="00910D29"/>
    <w:rsid w:val="009116EC"/>
    <w:rsid w:val="00911A83"/>
    <w:rsid w:val="009120D1"/>
    <w:rsid w:val="00912941"/>
    <w:rsid w:val="0091295C"/>
    <w:rsid w:val="00913688"/>
    <w:rsid w:val="0091372E"/>
    <w:rsid w:val="00913944"/>
    <w:rsid w:val="00913AB0"/>
    <w:rsid w:val="00913F29"/>
    <w:rsid w:val="009140D2"/>
    <w:rsid w:val="009143EB"/>
    <w:rsid w:val="00914A12"/>
    <w:rsid w:val="00914ACA"/>
    <w:rsid w:val="00914B73"/>
    <w:rsid w:val="00914C17"/>
    <w:rsid w:val="00914FE6"/>
    <w:rsid w:val="009151FB"/>
    <w:rsid w:val="00915294"/>
    <w:rsid w:val="00915521"/>
    <w:rsid w:val="009155F5"/>
    <w:rsid w:val="00915F5D"/>
    <w:rsid w:val="009160FA"/>
    <w:rsid w:val="009163F4"/>
    <w:rsid w:val="0091669E"/>
    <w:rsid w:val="00916BEC"/>
    <w:rsid w:val="0091705A"/>
    <w:rsid w:val="00917179"/>
    <w:rsid w:val="009174DE"/>
    <w:rsid w:val="00917668"/>
    <w:rsid w:val="009177BB"/>
    <w:rsid w:val="00917BB6"/>
    <w:rsid w:val="00917F30"/>
    <w:rsid w:val="00920857"/>
    <w:rsid w:val="00920A97"/>
    <w:rsid w:val="00920B71"/>
    <w:rsid w:val="0092159F"/>
    <w:rsid w:val="00921658"/>
    <w:rsid w:val="00921689"/>
    <w:rsid w:val="009218F0"/>
    <w:rsid w:val="00921A1D"/>
    <w:rsid w:val="00921A38"/>
    <w:rsid w:val="00921B56"/>
    <w:rsid w:val="00921B7B"/>
    <w:rsid w:val="00921BE0"/>
    <w:rsid w:val="00921E51"/>
    <w:rsid w:val="00921F17"/>
    <w:rsid w:val="009220E5"/>
    <w:rsid w:val="00922414"/>
    <w:rsid w:val="009224DD"/>
    <w:rsid w:val="00922856"/>
    <w:rsid w:val="00922E5F"/>
    <w:rsid w:val="00922EA3"/>
    <w:rsid w:val="00923045"/>
    <w:rsid w:val="0092338B"/>
    <w:rsid w:val="00923472"/>
    <w:rsid w:val="00923575"/>
    <w:rsid w:val="009235F5"/>
    <w:rsid w:val="00924045"/>
    <w:rsid w:val="009241A0"/>
    <w:rsid w:val="0092466C"/>
    <w:rsid w:val="0092541C"/>
    <w:rsid w:val="00925869"/>
    <w:rsid w:val="00926132"/>
    <w:rsid w:val="009264E8"/>
    <w:rsid w:val="00926E58"/>
    <w:rsid w:val="009278D4"/>
    <w:rsid w:val="0092795B"/>
    <w:rsid w:val="0092796F"/>
    <w:rsid w:val="009279CA"/>
    <w:rsid w:val="00927D86"/>
    <w:rsid w:val="00930062"/>
    <w:rsid w:val="00930193"/>
    <w:rsid w:val="0093027B"/>
    <w:rsid w:val="00930331"/>
    <w:rsid w:val="009307CF"/>
    <w:rsid w:val="00930C7B"/>
    <w:rsid w:val="00931129"/>
    <w:rsid w:val="0093145C"/>
    <w:rsid w:val="009314FE"/>
    <w:rsid w:val="00931705"/>
    <w:rsid w:val="00931B02"/>
    <w:rsid w:val="00931C15"/>
    <w:rsid w:val="00931D3C"/>
    <w:rsid w:val="0093207C"/>
    <w:rsid w:val="00932274"/>
    <w:rsid w:val="009326C2"/>
    <w:rsid w:val="00932860"/>
    <w:rsid w:val="00932E07"/>
    <w:rsid w:val="00932E2C"/>
    <w:rsid w:val="00932F20"/>
    <w:rsid w:val="009332EA"/>
    <w:rsid w:val="009337C7"/>
    <w:rsid w:val="00933C6E"/>
    <w:rsid w:val="00933DFD"/>
    <w:rsid w:val="00933F1D"/>
    <w:rsid w:val="00934047"/>
    <w:rsid w:val="009341C4"/>
    <w:rsid w:val="009344D6"/>
    <w:rsid w:val="00934E75"/>
    <w:rsid w:val="009356EE"/>
    <w:rsid w:val="00935876"/>
    <w:rsid w:val="00935ECC"/>
    <w:rsid w:val="00936608"/>
    <w:rsid w:val="0093681D"/>
    <w:rsid w:val="009369FA"/>
    <w:rsid w:val="00936B56"/>
    <w:rsid w:val="00936B84"/>
    <w:rsid w:val="00936CAB"/>
    <w:rsid w:val="00936DE6"/>
    <w:rsid w:val="00936FC1"/>
    <w:rsid w:val="0093718A"/>
    <w:rsid w:val="009374D4"/>
    <w:rsid w:val="00937611"/>
    <w:rsid w:val="00937807"/>
    <w:rsid w:val="00937937"/>
    <w:rsid w:val="00937AD9"/>
    <w:rsid w:val="00937DE5"/>
    <w:rsid w:val="0094023E"/>
    <w:rsid w:val="009402B6"/>
    <w:rsid w:val="0094057D"/>
    <w:rsid w:val="009406F2"/>
    <w:rsid w:val="0094072F"/>
    <w:rsid w:val="00940808"/>
    <w:rsid w:val="00940929"/>
    <w:rsid w:val="0094129C"/>
    <w:rsid w:val="00941343"/>
    <w:rsid w:val="0094136E"/>
    <w:rsid w:val="00941C25"/>
    <w:rsid w:val="00941E1A"/>
    <w:rsid w:val="0094203B"/>
    <w:rsid w:val="009420A9"/>
    <w:rsid w:val="009426A0"/>
    <w:rsid w:val="00942AAC"/>
    <w:rsid w:val="00942F53"/>
    <w:rsid w:val="00943495"/>
    <w:rsid w:val="0094370D"/>
    <w:rsid w:val="00944146"/>
    <w:rsid w:val="00944271"/>
    <w:rsid w:val="00944E2F"/>
    <w:rsid w:val="009454FB"/>
    <w:rsid w:val="0094599E"/>
    <w:rsid w:val="00945C89"/>
    <w:rsid w:val="00945FEE"/>
    <w:rsid w:val="009464ED"/>
    <w:rsid w:val="00946648"/>
    <w:rsid w:val="00946663"/>
    <w:rsid w:val="00946669"/>
    <w:rsid w:val="00946B78"/>
    <w:rsid w:val="00946C13"/>
    <w:rsid w:val="00946C40"/>
    <w:rsid w:val="00946CB7"/>
    <w:rsid w:val="00947459"/>
    <w:rsid w:val="0094748B"/>
    <w:rsid w:val="009479B6"/>
    <w:rsid w:val="00947E82"/>
    <w:rsid w:val="009506F0"/>
    <w:rsid w:val="00950C6A"/>
    <w:rsid w:val="00950E43"/>
    <w:rsid w:val="0095103E"/>
    <w:rsid w:val="00951182"/>
    <w:rsid w:val="00951EB0"/>
    <w:rsid w:val="009521A9"/>
    <w:rsid w:val="00952324"/>
    <w:rsid w:val="00952F51"/>
    <w:rsid w:val="00953169"/>
    <w:rsid w:val="00953A78"/>
    <w:rsid w:val="00953AD8"/>
    <w:rsid w:val="009542E0"/>
    <w:rsid w:val="0095432F"/>
    <w:rsid w:val="0095445F"/>
    <w:rsid w:val="0095453C"/>
    <w:rsid w:val="00954800"/>
    <w:rsid w:val="0095525B"/>
    <w:rsid w:val="00955729"/>
    <w:rsid w:val="00955AB3"/>
    <w:rsid w:val="00955EDE"/>
    <w:rsid w:val="00955EEC"/>
    <w:rsid w:val="00956843"/>
    <w:rsid w:val="00957588"/>
    <w:rsid w:val="009577A1"/>
    <w:rsid w:val="00957AFD"/>
    <w:rsid w:val="00957CC7"/>
    <w:rsid w:val="00960091"/>
    <w:rsid w:val="009600E1"/>
    <w:rsid w:val="00960402"/>
    <w:rsid w:val="0096069F"/>
    <w:rsid w:val="0096089F"/>
    <w:rsid w:val="00960D15"/>
    <w:rsid w:val="0096124D"/>
    <w:rsid w:val="009616A2"/>
    <w:rsid w:val="00961E60"/>
    <w:rsid w:val="00961E9A"/>
    <w:rsid w:val="00962469"/>
    <w:rsid w:val="00962C5E"/>
    <w:rsid w:val="00963195"/>
    <w:rsid w:val="00963485"/>
    <w:rsid w:val="00963554"/>
    <w:rsid w:val="00963DF9"/>
    <w:rsid w:val="009640D4"/>
    <w:rsid w:val="0096447E"/>
    <w:rsid w:val="009644D2"/>
    <w:rsid w:val="0096455B"/>
    <w:rsid w:val="00964B29"/>
    <w:rsid w:val="00964BAB"/>
    <w:rsid w:val="00964CC4"/>
    <w:rsid w:val="009650D5"/>
    <w:rsid w:val="00965222"/>
    <w:rsid w:val="0096548A"/>
    <w:rsid w:val="009656B3"/>
    <w:rsid w:val="00965BAE"/>
    <w:rsid w:val="00965F1F"/>
    <w:rsid w:val="009661BE"/>
    <w:rsid w:val="0096673E"/>
    <w:rsid w:val="0096684F"/>
    <w:rsid w:val="00966EBB"/>
    <w:rsid w:val="00966FF9"/>
    <w:rsid w:val="00967525"/>
    <w:rsid w:val="009677B8"/>
    <w:rsid w:val="00967844"/>
    <w:rsid w:val="00967D0B"/>
    <w:rsid w:val="00967F45"/>
    <w:rsid w:val="0097030F"/>
    <w:rsid w:val="009705B8"/>
    <w:rsid w:val="009705E7"/>
    <w:rsid w:val="0097092A"/>
    <w:rsid w:val="00970B5B"/>
    <w:rsid w:val="009714B5"/>
    <w:rsid w:val="009719F6"/>
    <w:rsid w:val="00971B34"/>
    <w:rsid w:val="009728B5"/>
    <w:rsid w:val="00972AE1"/>
    <w:rsid w:val="00972BE0"/>
    <w:rsid w:val="00972EE8"/>
    <w:rsid w:val="0097310B"/>
    <w:rsid w:val="0097356E"/>
    <w:rsid w:val="00973748"/>
    <w:rsid w:val="00973815"/>
    <w:rsid w:val="00973E91"/>
    <w:rsid w:val="009749C2"/>
    <w:rsid w:val="009749DE"/>
    <w:rsid w:val="00974B11"/>
    <w:rsid w:val="00974DC3"/>
    <w:rsid w:val="00974F67"/>
    <w:rsid w:val="009757D5"/>
    <w:rsid w:val="00975E53"/>
    <w:rsid w:val="009761C0"/>
    <w:rsid w:val="009765F8"/>
    <w:rsid w:val="00976F7E"/>
    <w:rsid w:val="00976F85"/>
    <w:rsid w:val="009770BE"/>
    <w:rsid w:val="0097780B"/>
    <w:rsid w:val="0097796B"/>
    <w:rsid w:val="00977A34"/>
    <w:rsid w:val="00977CE9"/>
    <w:rsid w:val="009807B8"/>
    <w:rsid w:val="00980855"/>
    <w:rsid w:val="00980C46"/>
    <w:rsid w:val="00980E8D"/>
    <w:rsid w:val="0098149A"/>
    <w:rsid w:val="009814EF"/>
    <w:rsid w:val="00981632"/>
    <w:rsid w:val="00981790"/>
    <w:rsid w:val="009818B0"/>
    <w:rsid w:val="009819A0"/>
    <w:rsid w:val="009819CA"/>
    <w:rsid w:val="00981AF2"/>
    <w:rsid w:val="00981B25"/>
    <w:rsid w:val="00981D04"/>
    <w:rsid w:val="00981F51"/>
    <w:rsid w:val="009822C2"/>
    <w:rsid w:val="009822EB"/>
    <w:rsid w:val="00982504"/>
    <w:rsid w:val="0098288D"/>
    <w:rsid w:val="009829A3"/>
    <w:rsid w:val="00982E21"/>
    <w:rsid w:val="00983724"/>
    <w:rsid w:val="00983BFB"/>
    <w:rsid w:val="00983ED8"/>
    <w:rsid w:val="00983EE6"/>
    <w:rsid w:val="009840AA"/>
    <w:rsid w:val="009842D3"/>
    <w:rsid w:val="00984A9D"/>
    <w:rsid w:val="00984D49"/>
    <w:rsid w:val="00984E74"/>
    <w:rsid w:val="00984F60"/>
    <w:rsid w:val="00985054"/>
    <w:rsid w:val="009851C0"/>
    <w:rsid w:val="009852E7"/>
    <w:rsid w:val="00985790"/>
    <w:rsid w:val="00985A31"/>
    <w:rsid w:val="00985C49"/>
    <w:rsid w:val="0098630B"/>
    <w:rsid w:val="00986353"/>
    <w:rsid w:val="009868F7"/>
    <w:rsid w:val="00986EAB"/>
    <w:rsid w:val="00986F3E"/>
    <w:rsid w:val="00986FD5"/>
    <w:rsid w:val="009872DC"/>
    <w:rsid w:val="00987611"/>
    <w:rsid w:val="0098768D"/>
    <w:rsid w:val="00987CE4"/>
    <w:rsid w:val="00987EE8"/>
    <w:rsid w:val="00990256"/>
    <w:rsid w:val="00990391"/>
    <w:rsid w:val="00990846"/>
    <w:rsid w:val="009912A1"/>
    <w:rsid w:val="00991394"/>
    <w:rsid w:val="00991957"/>
    <w:rsid w:val="00991CBB"/>
    <w:rsid w:val="009920B0"/>
    <w:rsid w:val="00992259"/>
    <w:rsid w:val="00992698"/>
    <w:rsid w:val="00992841"/>
    <w:rsid w:val="009929BE"/>
    <w:rsid w:val="009929C3"/>
    <w:rsid w:val="00992B67"/>
    <w:rsid w:val="00992BC1"/>
    <w:rsid w:val="00992EAA"/>
    <w:rsid w:val="00993139"/>
    <w:rsid w:val="009933AC"/>
    <w:rsid w:val="009935A0"/>
    <w:rsid w:val="00993718"/>
    <w:rsid w:val="00993AC4"/>
    <w:rsid w:val="00993CAB"/>
    <w:rsid w:val="00993CDC"/>
    <w:rsid w:val="00993D3E"/>
    <w:rsid w:val="00994157"/>
    <w:rsid w:val="00994256"/>
    <w:rsid w:val="00994294"/>
    <w:rsid w:val="00994415"/>
    <w:rsid w:val="009947BA"/>
    <w:rsid w:val="00994CCE"/>
    <w:rsid w:val="00994EEF"/>
    <w:rsid w:val="009951F0"/>
    <w:rsid w:val="00995B0C"/>
    <w:rsid w:val="00995C27"/>
    <w:rsid w:val="00995D70"/>
    <w:rsid w:val="00996037"/>
    <w:rsid w:val="0099616D"/>
    <w:rsid w:val="0099633C"/>
    <w:rsid w:val="0099635D"/>
    <w:rsid w:val="009965B2"/>
    <w:rsid w:val="0099669E"/>
    <w:rsid w:val="009968D2"/>
    <w:rsid w:val="00996A24"/>
    <w:rsid w:val="00996DA2"/>
    <w:rsid w:val="00996DBC"/>
    <w:rsid w:val="009970B4"/>
    <w:rsid w:val="009970EA"/>
    <w:rsid w:val="00997783"/>
    <w:rsid w:val="00997791"/>
    <w:rsid w:val="00997946"/>
    <w:rsid w:val="00997A1B"/>
    <w:rsid w:val="00997BF6"/>
    <w:rsid w:val="009A035F"/>
    <w:rsid w:val="009A0A3F"/>
    <w:rsid w:val="009A0BF3"/>
    <w:rsid w:val="009A0EFC"/>
    <w:rsid w:val="009A15A6"/>
    <w:rsid w:val="009A1967"/>
    <w:rsid w:val="009A1D06"/>
    <w:rsid w:val="009A1DDC"/>
    <w:rsid w:val="009A26F9"/>
    <w:rsid w:val="009A2876"/>
    <w:rsid w:val="009A2EF1"/>
    <w:rsid w:val="009A2FBC"/>
    <w:rsid w:val="009A31D2"/>
    <w:rsid w:val="009A324A"/>
    <w:rsid w:val="009A35A1"/>
    <w:rsid w:val="009A3A14"/>
    <w:rsid w:val="009A3C05"/>
    <w:rsid w:val="009A3EEF"/>
    <w:rsid w:val="009A3F27"/>
    <w:rsid w:val="009A40F0"/>
    <w:rsid w:val="009A4675"/>
    <w:rsid w:val="009A47FB"/>
    <w:rsid w:val="009A4861"/>
    <w:rsid w:val="009A48C1"/>
    <w:rsid w:val="009A4AB7"/>
    <w:rsid w:val="009A4CA7"/>
    <w:rsid w:val="009A4D2C"/>
    <w:rsid w:val="009A4D98"/>
    <w:rsid w:val="009A59F2"/>
    <w:rsid w:val="009A621B"/>
    <w:rsid w:val="009A643D"/>
    <w:rsid w:val="009A6720"/>
    <w:rsid w:val="009A6787"/>
    <w:rsid w:val="009A6825"/>
    <w:rsid w:val="009A6B2D"/>
    <w:rsid w:val="009A6B62"/>
    <w:rsid w:val="009A6BC1"/>
    <w:rsid w:val="009A6EBD"/>
    <w:rsid w:val="009A72E4"/>
    <w:rsid w:val="009A763D"/>
    <w:rsid w:val="009A77DB"/>
    <w:rsid w:val="009B0883"/>
    <w:rsid w:val="009B09ED"/>
    <w:rsid w:val="009B1296"/>
    <w:rsid w:val="009B148B"/>
    <w:rsid w:val="009B1BC8"/>
    <w:rsid w:val="009B215B"/>
    <w:rsid w:val="009B2C5E"/>
    <w:rsid w:val="009B3867"/>
    <w:rsid w:val="009B3901"/>
    <w:rsid w:val="009B3BC0"/>
    <w:rsid w:val="009B3C2D"/>
    <w:rsid w:val="009B3F7E"/>
    <w:rsid w:val="009B4560"/>
    <w:rsid w:val="009B4E5B"/>
    <w:rsid w:val="009B4F77"/>
    <w:rsid w:val="009B5145"/>
    <w:rsid w:val="009B5544"/>
    <w:rsid w:val="009B570E"/>
    <w:rsid w:val="009B5D78"/>
    <w:rsid w:val="009B5E73"/>
    <w:rsid w:val="009B6215"/>
    <w:rsid w:val="009B6321"/>
    <w:rsid w:val="009B65E0"/>
    <w:rsid w:val="009B67FB"/>
    <w:rsid w:val="009B7645"/>
    <w:rsid w:val="009B7E86"/>
    <w:rsid w:val="009C0331"/>
    <w:rsid w:val="009C0585"/>
    <w:rsid w:val="009C0A7E"/>
    <w:rsid w:val="009C116D"/>
    <w:rsid w:val="009C1191"/>
    <w:rsid w:val="009C1571"/>
    <w:rsid w:val="009C23D2"/>
    <w:rsid w:val="009C2429"/>
    <w:rsid w:val="009C2454"/>
    <w:rsid w:val="009C24A8"/>
    <w:rsid w:val="009C2B47"/>
    <w:rsid w:val="009C2B71"/>
    <w:rsid w:val="009C2EB4"/>
    <w:rsid w:val="009C2F52"/>
    <w:rsid w:val="009C30E7"/>
    <w:rsid w:val="009C3308"/>
    <w:rsid w:val="009C3B03"/>
    <w:rsid w:val="009C3D86"/>
    <w:rsid w:val="009C3DEB"/>
    <w:rsid w:val="009C40BA"/>
    <w:rsid w:val="009C4925"/>
    <w:rsid w:val="009C4B31"/>
    <w:rsid w:val="009C4D52"/>
    <w:rsid w:val="009C54AE"/>
    <w:rsid w:val="009C56DB"/>
    <w:rsid w:val="009C5715"/>
    <w:rsid w:val="009C5C7F"/>
    <w:rsid w:val="009C5CD5"/>
    <w:rsid w:val="009C5FFC"/>
    <w:rsid w:val="009C61F9"/>
    <w:rsid w:val="009C62A7"/>
    <w:rsid w:val="009C66CE"/>
    <w:rsid w:val="009C6BBE"/>
    <w:rsid w:val="009C6BF7"/>
    <w:rsid w:val="009C6E2C"/>
    <w:rsid w:val="009C70D9"/>
    <w:rsid w:val="009C7175"/>
    <w:rsid w:val="009C752C"/>
    <w:rsid w:val="009C776F"/>
    <w:rsid w:val="009C7E5D"/>
    <w:rsid w:val="009C7E80"/>
    <w:rsid w:val="009D0581"/>
    <w:rsid w:val="009D08AC"/>
    <w:rsid w:val="009D0C4B"/>
    <w:rsid w:val="009D177D"/>
    <w:rsid w:val="009D19DA"/>
    <w:rsid w:val="009D1A20"/>
    <w:rsid w:val="009D1D6B"/>
    <w:rsid w:val="009D1D7B"/>
    <w:rsid w:val="009D24E6"/>
    <w:rsid w:val="009D25BB"/>
    <w:rsid w:val="009D25DA"/>
    <w:rsid w:val="009D264D"/>
    <w:rsid w:val="009D2704"/>
    <w:rsid w:val="009D287A"/>
    <w:rsid w:val="009D2BE0"/>
    <w:rsid w:val="009D2C3B"/>
    <w:rsid w:val="009D2EBC"/>
    <w:rsid w:val="009D2F60"/>
    <w:rsid w:val="009D39EF"/>
    <w:rsid w:val="009D3C56"/>
    <w:rsid w:val="009D3D93"/>
    <w:rsid w:val="009D43FA"/>
    <w:rsid w:val="009D4481"/>
    <w:rsid w:val="009D55D7"/>
    <w:rsid w:val="009D5B11"/>
    <w:rsid w:val="009D5FBB"/>
    <w:rsid w:val="009D600B"/>
    <w:rsid w:val="009D63C3"/>
    <w:rsid w:val="009D6693"/>
    <w:rsid w:val="009D670E"/>
    <w:rsid w:val="009D6786"/>
    <w:rsid w:val="009D6BA6"/>
    <w:rsid w:val="009D6C76"/>
    <w:rsid w:val="009D6D06"/>
    <w:rsid w:val="009D6E55"/>
    <w:rsid w:val="009D7204"/>
    <w:rsid w:val="009D797D"/>
    <w:rsid w:val="009D7AFD"/>
    <w:rsid w:val="009E0501"/>
    <w:rsid w:val="009E0BC9"/>
    <w:rsid w:val="009E0F03"/>
    <w:rsid w:val="009E1326"/>
    <w:rsid w:val="009E14FA"/>
    <w:rsid w:val="009E1515"/>
    <w:rsid w:val="009E172F"/>
    <w:rsid w:val="009E1732"/>
    <w:rsid w:val="009E1974"/>
    <w:rsid w:val="009E2042"/>
    <w:rsid w:val="009E2279"/>
    <w:rsid w:val="009E2454"/>
    <w:rsid w:val="009E2699"/>
    <w:rsid w:val="009E2748"/>
    <w:rsid w:val="009E2A42"/>
    <w:rsid w:val="009E2B00"/>
    <w:rsid w:val="009E2BCA"/>
    <w:rsid w:val="009E2EF1"/>
    <w:rsid w:val="009E2F48"/>
    <w:rsid w:val="009E2F77"/>
    <w:rsid w:val="009E357E"/>
    <w:rsid w:val="009E3735"/>
    <w:rsid w:val="009E37C9"/>
    <w:rsid w:val="009E3875"/>
    <w:rsid w:val="009E38CB"/>
    <w:rsid w:val="009E3945"/>
    <w:rsid w:val="009E39D6"/>
    <w:rsid w:val="009E3A44"/>
    <w:rsid w:val="009E3ABC"/>
    <w:rsid w:val="009E3CAE"/>
    <w:rsid w:val="009E4240"/>
    <w:rsid w:val="009E424A"/>
    <w:rsid w:val="009E42B6"/>
    <w:rsid w:val="009E4B66"/>
    <w:rsid w:val="009E4C93"/>
    <w:rsid w:val="009E4CB1"/>
    <w:rsid w:val="009E4E32"/>
    <w:rsid w:val="009E4FE5"/>
    <w:rsid w:val="009E538D"/>
    <w:rsid w:val="009E556F"/>
    <w:rsid w:val="009E5902"/>
    <w:rsid w:val="009E6885"/>
    <w:rsid w:val="009E6955"/>
    <w:rsid w:val="009E7106"/>
    <w:rsid w:val="009E7A03"/>
    <w:rsid w:val="009E7BEE"/>
    <w:rsid w:val="009E7CAD"/>
    <w:rsid w:val="009F0420"/>
    <w:rsid w:val="009F0581"/>
    <w:rsid w:val="009F0707"/>
    <w:rsid w:val="009F08F3"/>
    <w:rsid w:val="009F0F6D"/>
    <w:rsid w:val="009F1005"/>
    <w:rsid w:val="009F105B"/>
    <w:rsid w:val="009F10DE"/>
    <w:rsid w:val="009F11C7"/>
    <w:rsid w:val="009F1DC9"/>
    <w:rsid w:val="009F1FA7"/>
    <w:rsid w:val="009F20C8"/>
    <w:rsid w:val="009F20E9"/>
    <w:rsid w:val="009F23F5"/>
    <w:rsid w:val="009F2713"/>
    <w:rsid w:val="009F2F0A"/>
    <w:rsid w:val="009F2F63"/>
    <w:rsid w:val="009F33E1"/>
    <w:rsid w:val="009F36B0"/>
    <w:rsid w:val="009F36C9"/>
    <w:rsid w:val="009F45CC"/>
    <w:rsid w:val="009F4644"/>
    <w:rsid w:val="009F4972"/>
    <w:rsid w:val="009F4AE6"/>
    <w:rsid w:val="009F4C60"/>
    <w:rsid w:val="009F4E0B"/>
    <w:rsid w:val="009F4FA5"/>
    <w:rsid w:val="009F5048"/>
    <w:rsid w:val="009F5B29"/>
    <w:rsid w:val="009F5D66"/>
    <w:rsid w:val="009F6225"/>
    <w:rsid w:val="009F6236"/>
    <w:rsid w:val="009F66AA"/>
    <w:rsid w:val="009F66BB"/>
    <w:rsid w:val="009F6841"/>
    <w:rsid w:val="009F6BBD"/>
    <w:rsid w:val="009F6D64"/>
    <w:rsid w:val="009F6E24"/>
    <w:rsid w:val="009F6E80"/>
    <w:rsid w:val="009F70FD"/>
    <w:rsid w:val="009F727A"/>
    <w:rsid w:val="009F7374"/>
    <w:rsid w:val="009F79B8"/>
    <w:rsid w:val="009F79F9"/>
    <w:rsid w:val="009F7E3D"/>
    <w:rsid w:val="00A006C4"/>
    <w:rsid w:val="00A009E3"/>
    <w:rsid w:val="00A01189"/>
    <w:rsid w:val="00A01310"/>
    <w:rsid w:val="00A019B8"/>
    <w:rsid w:val="00A01C14"/>
    <w:rsid w:val="00A01D64"/>
    <w:rsid w:val="00A01F64"/>
    <w:rsid w:val="00A01F93"/>
    <w:rsid w:val="00A024C0"/>
    <w:rsid w:val="00A026B7"/>
    <w:rsid w:val="00A031B0"/>
    <w:rsid w:val="00A03335"/>
    <w:rsid w:val="00A0347B"/>
    <w:rsid w:val="00A03872"/>
    <w:rsid w:val="00A03920"/>
    <w:rsid w:val="00A03A47"/>
    <w:rsid w:val="00A03D91"/>
    <w:rsid w:val="00A04A76"/>
    <w:rsid w:val="00A04B1D"/>
    <w:rsid w:val="00A04B50"/>
    <w:rsid w:val="00A05094"/>
    <w:rsid w:val="00A050FC"/>
    <w:rsid w:val="00A0537D"/>
    <w:rsid w:val="00A05BE5"/>
    <w:rsid w:val="00A0628E"/>
    <w:rsid w:val="00A068CA"/>
    <w:rsid w:val="00A06924"/>
    <w:rsid w:val="00A06A28"/>
    <w:rsid w:val="00A06D53"/>
    <w:rsid w:val="00A06ED6"/>
    <w:rsid w:val="00A06FA3"/>
    <w:rsid w:val="00A0729F"/>
    <w:rsid w:val="00A072EF"/>
    <w:rsid w:val="00A073A8"/>
    <w:rsid w:val="00A075A8"/>
    <w:rsid w:val="00A075C9"/>
    <w:rsid w:val="00A07D08"/>
    <w:rsid w:val="00A07D2A"/>
    <w:rsid w:val="00A1027A"/>
    <w:rsid w:val="00A10410"/>
    <w:rsid w:val="00A1053F"/>
    <w:rsid w:val="00A10602"/>
    <w:rsid w:val="00A10C7E"/>
    <w:rsid w:val="00A11889"/>
    <w:rsid w:val="00A119BF"/>
    <w:rsid w:val="00A11B8D"/>
    <w:rsid w:val="00A11C59"/>
    <w:rsid w:val="00A11CF2"/>
    <w:rsid w:val="00A123F4"/>
    <w:rsid w:val="00A125C8"/>
    <w:rsid w:val="00A1286E"/>
    <w:rsid w:val="00A12977"/>
    <w:rsid w:val="00A12C8D"/>
    <w:rsid w:val="00A1309B"/>
    <w:rsid w:val="00A1315F"/>
    <w:rsid w:val="00A13510"/>
    <w:rsid w:val="00A13672"/>
    <w:rsid w:val="00A13A97"/>
    <w:rsid w:val="00A13DDA"/>
    <w:rsid w:val="00A13EF2"/>
    <w:rsid w:val="00A13F20"/>
    <w:rsid w:val="00A13FB4"/>
    <w:rsid w:val="00A14578"/>
    <w:rsid w:val="00A15273"/>
    <w:rsid w:val="00A156E7"/>
    <w:rsid w:val="00A15ACF"/>
    <w:rsid w:val="00A15AF5"/>
    <w:rsid w:val="00A15C15"/>
    <w:rsid w:val="00A15D78"/>
    <w:rsid w:val="00A15F55"/>
    <w:rsid w:val="00A165C9"/>
    <w:rsid w:val="00A16B66"/>
    <w:rsid w:val="00A16F71"/>
    <w:rsid w:val="00A174B7"/>
    <w:rsid w:val="00A17654"/>
    <w:rsid w:val="00A17991"/>
    <w:rsid w:val="00A17DF9"/>
    <w:rsid w:val="00A17F92"/>
    <w:rsid w:val="00A17F97"/>
    <w:rsid w:val="00A2001B"/>
    <w:rsid w:val="00A20189"/>
    <w:rsid w:val="00A2018F"/>
    <w:rsid w:val="00A201D0"/>
    <w:rsid w:val="00A20793"/>
    <w:rsid w:val="00A20B30"/>
    <w:rsid w:val="00A2102E"/>
    <w:rsid w:val="00A2126E"/>
    <w:rsid w:val="00A2140A"/>
    <w:rsid w:val="00A21640"/>
    <w:rsid w:val="00A216E1"/>
    <w:rsid w:val="00A21840"/>
    <w:rsid w:val="00A218FC"/>
    <w:rsid w:val="00A21F54"/>
    <w:rsid w:val="00A22015"/>
    <w:rsid w:val="00A223AA"/>
    <w:rsid w:val="00A2241C"/>
    <w:rsid w:val="00A224C3"/>
    <w:rsid w:val="00A2259A"/>
    <w:rsid w:val="00A2276A"/>
    <w:rsid w:val="00A229BF"/>
    <w:rsid w:val="00A2380B"/>
    <w:rsid w:val="00A23B64"/>
    <w:rsid w:val="00A23F04"/>
    <w:rsid w:val="00A24026"/>
    <w:rsid w:val="00A24100"/>
    <w:rsid w:val="00A24273"/>
    <w:rsid w:val="00A2431C"/>
    <w:rsid w:val="00A2442A"/>
    <w:rsid w:val="00A2479C"/>
    <w:rsid w:val="00A24B5B"/>
    <w:rsid w:val="00A24BA4"/>
    <w:rsid w:val="00A24CEF"/>
    <w:rsid w:val="00A24E58"/>
    <w:rsid w:val="00A24F35"/>
    <w:rsid w:val="00A25142"/>
    <w:rsid w:val="00A25148"/>
    <w:rsid w:val="00A251D4"/>
    <w:rsid w:val="00A2539D"/>
    <w:rsid w:val="00A254EC"/>
    <w:rsid w:val="00A2571E"/>
    <w:rsid w:val="00A25790"/>
    <w:rsid w:val="00A25B7E"/>
    <w:rsid w:val="00A25C17"/>
    <w:rsid w:val="00A268FC"/>
    <w:rsid w:val="00A26B34"/>
    <w:rsid w:val="00A270F3"/>
    <w:rsid w:val="00A27673"/>
    <w:rsid w:val="00A27D06"/>
    <w:rsid w:val="00A27E38"/>
    <w:rsid w:val="00A300B1"/>
    <w:rsid w:val="00A3030E"/>
    <w:rsid w:val="00A305B4"/>
    <w:rsid w:val="00A3063D"/>
    <w:rsid w:val="00A30964"/>
    <w:rsid w:val="00A30BDE"/>
    <w:rsid w:val="00A30D85"/>
    <w:rsid w:val="00A30F0A"/>
    <w:rsid w:val="00A31295"/>
    <w:rsid w:val="00A3140A"/>
    <w:rsid w:val="00A3159B"/>
    <w:rsid w:val="00A316C8"/>
    <w:rsid w:val="00A3180C"/>
    <w:rsid w:val="00A31857"/>
    <w:rsid w:val="00A31904"/>
    <w:rsid w:val="00A31EE3"/>
    <w:rsid w:val="00A31F85"/>
    <w:rsid w:val="00A32104"/>
    <w:rsid w:val="00A32273"/>
    <w:rsid w:val="00A323FA"/>
    <w:rsid w:val="00A32608"/>
    <w:rsid w:val="00A329E2"/>
    <w:rsid w:val="00A3361C"/>
    <w:rsid w:val="00A3380F"/>
    <w:rsid w:val="00A338F0"/>
    <w:rsid w:val="00A33E12"/>
    <w:rsid w:val="00A33F5F"/>
    <w:rsid w:val="00A33FBA"/>
    <w:rsid w:val="00A3410D"/>
    <w:rsid w:val="00A3439B"/>
    <w:rsid w:val="00A343BA"/>
    <w:rsid w:val="00A34411"/>
    <w:rsid w:val="00A3490D"/>
    <w:rsid w:val="00A34BDE"/>
    <w:rsid w:val="00A34C20"/>
    <w:rsid w:val="00A34FED"/>
    <w:rsid w:val="00A353D5"/>
    <w:rsid w:val="00A353F0"/>
    <w:rsid w:val="00A3547F"/>
    <w:rsid w:val="00A35A35"/>
    <w:rsid w:val="00A35B5E"/>
    <w:rsid w:val="00A35C92"/>
    <w:rsid w:val="00A36105"/>
    <w:rsid w:val="00A36427"/>
    <w:rsid w:val="00A36585"/>
    <w:rsid w:val="00A36606"/>
    <w:rsid w:val="00A3689A"/>
    <w:rsid w:val="00A36E8C"/>
    <w:rsid w:val="00A371D2"/>
    <w:rsid w:val="00A37A25"/>
    <w:rsid w:val="00A37A99"/>
    <w:rsid w:val="00A37E6E"/>
    <w:rsid w:val="00A37F3B"/>
    <w:rsid w:val="00A37FB0"/>
    <w:rsid w:val="00A400EF"/>
    <w:rsid w:val="00A40683"/>
    <w:rsid w:val="00A40950"/>
    <w:rsid w:val="00A40D3B"/>
    <w:rsid w:val="00A40F13"/>
    <w:rsid w:val="00A40F8E"/>
    <w:rsid w:val="00A4142F"/>
    <w:rsid w:val="00A41C2B"/>
    <w:rsid w:val="00A42000"/>
    <w:rsid w:val="00A42054"/>
    <w:rsid w:val="00A4254B"/>
    <w:rsid w:val="00A42666"/>
    <w:rsid w:val="00A42DA1"/>
    <w:rsid w:val="00A43113"/>
    <w:rsid w:val="00A43263"/>
    <w:rsid w:val="00A442AA"/>
    <w:rsid w:val="00A44473"/>
    <w:rsid w:val="00A44BE0"/>
    <w:rsid w:val="00A44C2D"/>
    <w:rsid w:val="00A44F60"/>
    <w:rsid w:val="00A45091"/>
    <w:rsid w:val="00A451BB"/>
    <w:rsid w:val="00A45593"/>
    <w:rsid w:val="00A4587C"/>
    <w:rsid w:val="00A45CFE"/>
    <w:rsid w:val="00A45E6A"/>
    <w:rsid w:val="00A45EE5"/>
    <w:rsid w:val="00A463DF"/>
    <w:rsid w:val="00A46874"/>
    <w:rsid w:val="00A46AEB"/>
    <w:rsid w:val="00A46BF8"/>
    <w:rsid w:val="00A46EA5"/>
    <w:rsid w:val="00A46ECB"/>
    <w:rsid w:val="00A47458"/>
    <w:rsid w:val="00A47B6F"/>
    <w:rsid w:val="00A501CF"/>
    <w:rsid w:val="00A501F2"/>
    <w:rsid w:val="00A50505"/>
    <w:rsid w:val="00A50581"/>
    <w:rsid w:val="00A50654"/>
    <w:rsid w:val="00A50856"/>
    <w:rsid w:val="00A508C4"/>
    <w:rsid w:val="00A50B09"/>
    <w:rsid w:val="00A50D79"/>
    <w:rsid w:val="00A51080"/>
    <w:rsid w:val="00A511E2"/>
    <w:rsid w:val="00A51277"/>
    <w:rsid w:val="00A518C6"/>
    <w:rsid w:val="00A5193A"/>
    <w:rsid w:val="00A519C2"/>
    <w:rsid w:val="00A51C10"/>
    <w:rsid w:val="00A51DD8"/>
    <w:rsid w:val="00A51EE8"/>
    <w:rsid w:val="00A5252F"/>
    <w:rsid w:val="00A529A6"/>
    <w:rsid w:val="00A52AD9"/>
    <w:rsid w:val="00A52FB0"/>
    <w:rsid w:val="00A5309C"/>
    <w:rsid w:val="00A5369E"/>
    <w:rsid w:val="00A53878"/>
    <w:rsid w:val="00A53963"/>
    <w:rsid w:val="00A53A4B"/>
    <w:rsid w:val="00A53B51"/>
    <w:rsid w:val="00A53DA6"/>
    <w:rsid w:val="00A53FFF"/>
    <w:rsid w:val="00A544C6"/>
    <w:rsid w:val="00A54800"/>
    <w:rsid w:val="00A54D8E"/>
    <w:rsid w:val="00A5547F"/>
    <w:rsid w:val="00A55622"/>
    <w:rsid w:val="00A5573C"/>
    <w:rsid w:val="00A55ACF"/>
    <w:rsid w:val="00A55D99"/>
    <w:rsid w:val="00A55F60"/>
    <w:rsid w:val="00A5613C"/>
    <w:rsid w:val="00A56151"/>
    <w:rsid w:val="00A5642C"/>
    <w:rsid w:val="00A5679E"/>
    <w:rsid w:val="00A57148"/>
    <w:rsid w:val="00A5728F"/>
    <w:rsid w:val="00A57433"/>
    <w:rsid w:val="00A575AC"/>
    <w:rsid w:val="00A577CF"/>
    <w:rsid w:val="00A578F4"/>
    <w:rsid w:val="00A57B35"/>
    <w:rsid w:val="00A57BBB"/>
    <w:rsid w:val="00A60020"/>
    <w:rsid w:val="00A602A6"/>
    <w:rsid w:val="00A60498"/>
    <w:rsid w:val="00A605F1"/>
    <w:rsid w:val="00A6120B"/>
    <w:rsid w:val="00A6122B"/>
    <w:rsid w:val="00A616DA"/>
    <w:rsid w:val="00A61FE5"/>
    <w:rsid w:val="00A62048"/>
    <w:rsid w:val="00A62154"/>
    <w:rsid w:val="00A622E8"/>
    <w:rsid w:val="00A62443"/>
    <w:rsid w:val="00A62557"/>
    <w:rsid w:val="00A628C5"/>
    <w:rsid w:val="00A63197"/>
    <w:rsid w:val="00A63342"/>
    <w:rsid w:val="00A6353D"/>
    <w:rsid w:val="00A636B2"/>
    <w:rsid w:val="00A63711"/>
    <w:rsid w:val="00A6393D"/>
    <w:rsid w:val="00A63A69"/>
    <w:rsid w:val="00A63A7D"/>
    <w:rsid w:val="00A63A90"/>
    <w:rsid w:val="00A63EFD"/>
    <w:rsid w:val="00A6425E"/>
    <w:rsid w:val="00A642E9"/>
    <w:rsid w:val="00A644F3"/>
    <w:rsid w:val="00A645A5"/>
    <w:rsid w:val="00A64604"/>
    <w:rsid w:val="00A647EA"/>
    <w:rsid w:val="00A64E55"/>
    <w:rsid w:val="00A64E70"/>
    <w:rsid w:val="00A65A32"/>
    <w:rsid w:val="00A65D0B"/>
    <w:rsid w:val="00A6605D"/>
    <w:rsid w:val="00A66308"/>
    <w:rsid w:val="00A665B7"/>
    <w:rsid w:val="00A66892"/>
    <w:rsid w:val="00A668EA"/>
    <w:rsid w:val="00A671AA"/>
    <w:rsid w:val="00A6779C"/>
    <w:rsid w:val="00A6790F"/>
    <w:rsid w:val="00A67ECE"/>
    <w:rsid w:val="00A70059"/>
    <w:rsid w:val="00A701AC"/>
    <w:rsid w:val="00A70B22"/>
    <w:rsid w:val="00A70D91"/>
    <w:rsid w:val="00A70E4E"/>
    <w:rsid w:val="00A71133"/>
    <w:rsid w:val="00A715AD"/>
    <w:rsid w:val="00A71748"/>
    <w:rsid w:val="00A71773"/>
    <w:rsid w:val="00A71875"/>
    <w:rsid w:val="00A71AB8"/>
    <w:rsid w:val="00A71D83"/>
    <w:rsid w:val="00A71E96"/>
    <w:rsid w:val="00A72086"/>
    <w:rsid w:val="00A72141"/>
    <w:rsid w:val="00A72C4D"/>
    <w:rsid w:val="00A72E13"/>
    <w:rsid w:val="00A732E6"/>
    <w:rsid w:val="00A73405"/>
    <w:rsid w:val="00A73887"/>
    <w:rsid w:val="00A738FC"/>
    <w:rsid w:val="00A73B98"/>
    <w:rsid w:val="00A73D21"/>
    <w:rsid w:val="00A73DDD"/>
    <w:rsid w:val="00A73FD4"/>
    <w:rsid w:val="00A74019"/>
    <w:rsid w:val="00A743E5"/>
    <w:rsid w:val="00A743E6"/>
    <w:rsid w:val="00A74ACE"/>
    <w:rsid w:val="00A74B1F"/>
    <w:rsid w:val="00A74B7A"/>
    <w:rsid w:val="00A74F32"/>
    <w:rsid w:val="00A75057"/>
    <w:rsid w:val="00A7505E"/>
    <w:rsid w:val="00A750B8"/>
    <w:rsid w:val="00A75223"/>
    <w:rsid w:val="00A753EF"/>
    <w:rsid w:val="00A758FA"/>
    <w:rsid w:val="00A75920"/>
    <w:rsid w:val="00A75DC7"/>
    <w:rsid w:val="00A75E65"/>
    <w:rsid w:val="00A763D8"/>
    <w:rsid w:val="00A76442"/>
    <w:rsid w:val="00A76745"/>
    <w:rsid w:val="00A77D13"/>
    <w:rsid w:val="00A77D17"/>
    <w:rsid w:val="00A77EF1"/>
    <w:rsid w:val="00A8098E"/>
    <w:rsid w:val="00A8123D"/>
    <w:rsid w:val="00A8154E"/>
    <w:rsid w:val="00A81C4B"/>
    <w:rsid w:val="00A820A9"/>
    <w:rsid w:val="00A82550"/>
    <w:rsid w:val="00A82558"/>
    <w:rsid w:val="00A82B79"/>
    <w:rsid w:val="00A82DC7"/>
    <w:rsid w:val="00A8327A"/>
    <w:rsid w:val="00A83399"/>
    <w:rsid w:val="00A8368C"/>
    <w:rsid w:val="00A837E9"/>
    <w:rsid w:val="00A83995"/>
    <w:rsid w:val="00A83ABA"/>
    <w:rsid w:val="00A84518"/>
    <w:rsid w:val="00A84520"/>
    <w:rsid w:val="00A845D1"/>
    <w:rsid w:val="00A84A53"/>
    <w:rsid w:val="00A84B8F"/>
    <w:rsid w:val="00A84C3B"/>
    <w:rsid w:val="00A84DDE"/>
    <w:rsid w:val="00A84F8E"/>
    <w:rsid w:val="00A852D2"/>
    <w:rsid w:val="00A854A8"/>
    <w:rsid w:val="00A85EE3"/>
    <w:rsid w:val="00A85FBF"/>
    <w:rsid w:val="00A86157"/>
    <w:rsid w:val="00A862C2"/>
    <w:rsid w:val="00A86D36"/>
    <w:rsid w:val="00A86FF5"/>
    <w:rsid w:val="00A874F6"/>
    <w:rsid w:val="00A87687"/>
    <w:rsid w:val="00A87A1D"/>
    <w:rsid w:val="00A87A46"/>
    <w:rsid w:val="00A87AB9"/>
    <w:rsid w:val="00A87B6E"/>
    <w:rsid w:val="00A87CB7"/>
    <w:rsid w:val="00A87EDE"/>
    <w:rsid w:val="00A90171"/>
    <w:rsid w:val="00A9022E"/>
    <w:rsid w:val="00A90745"/>
    <w:rsid w:val="00A90F0A"/>
    <w:rsid w:val="00A913EB"/>
    <w:rsid w:val="00A91530"/>
    <w:rsid w:val="00A91A64"/>
    <w:rsid w:val="00A91BC8"/>
    <w:rsid w:val="00A91C70"/>
    <w:rsid w:val="00A91D94"/>
    <w:rsid w:val="00A92903"/>
    <w:rsid w:val="00A929B1"/>
    <w:rsid w:val="00A92C62"/>
    <w:rsid w:val="00A92CC1"/>
    <w:rsid w:val="00A92E98"/>
    <w:rsid w:val="00A9341C"/>
    <w:rsid w:val="00A935B3"/>
    <w:rsid w:val="00A936A5"/>
    <w:rsid w:val="00A938D7"/>
    <w:rsid w:val="00A93A3B"/>
    <w:rsid w:val="00A93B89"/>
    <w:rsid w:val="00A93F4A"/>
    <w:rsid w:val="00A93FCF"/>
    <w:rsid w:val="00A94216"/>
    <w:rsid w:val="00A94BE1"/>
    <w:rsid w:val="00A95179"/>
    <w:rsid w:val="00A95275"/>
    <w:rsid w:val="00A95C03"/>
    <w:rsid w:val="00A95F44"/>
    <w:rsid w:val="00A962C3"/>
    <w:rsid w:val="00A96300"/>
    <w:rsid w:val="00A965C9"/>
    <w:rsid w:val="00A968B3"/>
    <w:rsid w:val="00A969EA"/>
    <w:rsid w:val="00A96BFA"/>
    <w:rsid w:val="00A96E6D"/>
    <w:rsid w:val="00A97449"/>
    <w:rsid w:val="00A97837"/>
    <w:rsid w:val="00AA0016"/>
    <w:rsid w:val="00AA0689"/>
    <w:rsid w:val="00AA090D"/>
    <w:rsid w:val="00AA0C55"/>
    <w:rsid w:val="00AA13E8"/>
    <w:rsid w:val="00AA1548"/>
    <w:rsid w:val="00AA1721"/>
    <w:rsid w:val="00AA1891"/>
    <w:rsid w:val="00AA19CF"/>
    <w:rsid w:val="00AA1A3C"/>
    <w:rsid w:val="00AA1B87"/>
    <w:rsid w:val="00AA1BB6"/>
    <w:rsid w:val="00AA1C02"/>
    <w:rsid w:val="00AA1CCF"/>
    <w:rsid w:val="00AA2085"/>
    <w:rsid w:val="00AA25FB"/>
    <w:rsid w:val="00AA2732"/>
    <w:rsid w:val="00AA27B3"/>
    <w:rsid w:val="00AA2B48"/>
    <w:rsid w:val="00AA2D6D"/>
    <w:rsid w:val="00AA2E6D"/>
    <w:rsid w:val="00AA2F51"/>
    <w:rsid w:val="00AA318B"/>
    <w:rsid w:val="00AA367D"/>
    <w:rsid w:val="00AA3848"/>
    <w:rsid w:val="00AA3B4F"/>
    <w:rsid w:val="00AA3B8A"/>
    <w:rsid w:val="00AA3EBD"/>
    <w:rsid w:val="00AA4236"/>
    <w:rsid w:val="00AA434B"/>
    <w:rsid w:val="00AA43E8"/>
    <w:rsid w:val="00AA4740"/>
    <w:rsid w:val="00AA4799"/>
    <w:rsid w:val="00AA4816"/>
    <w:rsid w:val="00AA48AF"/>
    <w:rsid w:val="00AA540C"/>
    <w:rsid w:val="00AA55F0"/>
    <w:rsid w:val="00AA56BB"/>
    <w:rsid w:val="00AA56ED"/>
    <w:rsid w:val="00AA5B64"/>
    <w:rsid w:val="00AA6209"/>
    <w:rsid w:val="00AA64D3"/>
    <w:rsid w:val="00AA665C"/>
    <w:rsid w:val="00AA6991"/>
    <w:rsid w:val="00AA6C75"/>
    <w:rsid w:val="00AA775E"/>
    <w:rsid w:val="00AA7875"/>
    <w:rsid w:val="00AA7A5E"/>
    <w:rsid w:val="00AA7FCE"/>
    <w:rsid w:val="00AB06C5"/>
    <w:rsid w:val="00AB0721"/>
    <w:rsid w:val="00AB08C5"/>
    <w:rsid w:val="00AB0A46"/>
    <w:rsid w:val="00AB0ACB"/>
    <w:rsid w:val="00AB0ADD"/>
    <w:rsid w:val="00AB0F80"/>
    <w:rsid w:val="00AB185B"/>
    <w:rsid w:val="00AB1CC5"/>
    <w:rsid w:val="00AB1E20"/>
    <w:rsid w:val="00AB1FB0"/>
    <w:rsid w:val="00AB1FD5"/>
    <w:rsid w:val="00AB20F7"/>
    <w:rsid w:val="00AB24C4"/>
    <w:rsid w:val="00AB25CA"/>
    <w:rsid w:val="00AB26BB"/>
    <w:rsid w:val="00AB2753"/>
    <w:rsid w:val="00AB2957"/>
    <w:rsid w:val="00AB2B35"/>
    <w:rsid w:val="00AB2EDA"/>
    <w:rsid w:val="00AB3196"/>
    <w:rsid w:val="00AB3684"/>
    <w:rsid w:val="00AB36B0"/>
    <w:rsid w:val="00AB378F"/>
    <w:rsid w:val="00AB4386"/>
    <w:rsid w:val="00AB4BE7"/>
    <w:rsid w:val="00AB4C26"/>
    <w:rsid w:val="00AB4DE4"/>
    <w:rsid w:val="00AB5010"/>
    <w:rsid w:val="00AB54D5"/>
    <w:rsid w:val="00AB5557"/>
    <w:rsid w:val="00AB5A8B"/>
    <w:rsid w:val="00AB5D35"/>
    <w:rsid w:val="00AB603F"/>
    <w:rsid w:val="00AB6235"/>
    <w:rsid w:val="00AB63B5"/>
    <w:rsid w:val="00AB65D2"/>
    <w:rsid w:val="00AB6844"/>
    <w:rsid w:val="00AB6AF9"/>
    <w:rsid w:val="00AB6B31"/>
    <w:rsid w:val="00AB6C26"/>
    <w:rsid w:val="00AB7170"/>
    <w:rsid w:val="00AB772E"/>
    <w:rsid w:val="00AB7E99"/>
    <w:rsid w:val="00AC0160"/>
    <w:rsid w:val="00AC0550"/>
    <w:rsid w:val="00AC0671"/>
    <w:rsid w:val="00AC0713"/>
    <w:rsid w:val="00AC0934"/>
    <w:rsid w:val="00AC0DF3"/>
    <w:rsid w:val="00AC0FDB"/>
    <w:rsid w:val="00AC1056"/>
    <w:rsid w:val="00AC106E"/>
    <w:rsid w:val="00AC11AE"/>
    <w:rsid w:val="00AC1BD6"/>
    <w:rsid w:val="00AC1C59"/>
    <w:rsid w:val="00AC1C96"/>
    <w:rsid w:val="00AC27DA"/>
    <w:rsid w:val="00AC2855"/>
    <w:rsid w:val="00AC2AA7"/>
    <w:rsid w:val="00AC2C9B"/>
    <w:rsid w:val="00AC3138"/>
    <w:rsid w:val="00AC3580"/>
    <w:rsid w:val="00AC37D9"/>
    <w:rsid w:val="00AC3AA2"/>
    <w:rsid w:val="00AC3AAA"/>
    <w:rsid w:val="00AC3F54"/>
    <w:rsid w:val="00AC4443"/>
    <w:rsid w:val="00AC4499"/>
    <w:rsid w:val="00AC472A"/>
    <w:rsid w:val="00AC4C2D"/>
    <w:rsid w:val="00AC4E9B"/>
    <w:rsid w:val="00AC577B"/>
    <w:rsid w:val="00AC597F"/>
    <w:rsid w:val="00AC5EE8"/>
    <w:rsid w:val="00AC66B7"/>
    <w:rsid w:val="00AC683D"/>
    <w:rsid w:val="00AC6B2F"/>
    <w:rsid w:val="00AC744D"/>
    <w:rsid w:val="00AC7652"/>
    <w:rsid w:val="00AC7782"/>
    <w:rsid w:val="00AC7E88"/>
    <w:rsid w:val="00AD015F"/>
    <w:rsid w:val="00AD0349"/>
    <w:rsid w:val="00AD0501"/>
    <w:rsid w:val="00AD099A"/>
    <w:rsid w:val="00AD0B0F"/>
    <w:rsid w:val="00AD0C5F"/>
    <w:rsid w:val="00AD0CED"/>
    <w:rsid w:val="00AD1365"/>
    <w:rsid w:val="00AD18F3"/>
    <w:rsid w:val="00AD1F25"/>
    <w:rsid w:val="00AD1F35"/>
    <w:rsid w:val="00AD202D"/>
    <w:rsid w:val="00AD2062"/>
    <w:rsid w:val="00AD2067"/>
    <w:rsid w:val="00AD21E8"/>
    <w:rsid w:val="00AD25CD"/>
    <w:rsid w:val="00AD26C2"/>
    <w:rsid w:val="00AD3363"/>
    <w:rsid w:val="00AD36E7"/>
    <w:rsid w:val="00AD3833"/>
    <w:rsid w:val="00AD3872"/>
    <w:rsid w:val="00AD39A8"/>
    <w:rsid w:val="00AD3A13"/>
    <w:rsid w:val="00AD4B06"/>
    <w:rsid w:val="00AD51DB"/>
    <w:rsid w:val="00AD547B"/>
    <w:rsid w:val="00AD5D37"/>
    <w:rsid w:val="00AD6285"/>
    <w:rsid w:val="00AD645D"/>
    <w:rsid w:val="00AD6CBF"/>
    <w:rsid w:val="00AD73EF"/>
    <w:rsid w:val="00AD7822"/>
    <w:rsid w:val="00AD7BDF"/>
    <w:rsid w:val="00AE00D2"/>
    <w:rsid w:val="00AE031D"/>
    <w:rsid w:val="00AE0390"/>
    <w:rsid w:val="00AE0C5B"/>
    <w:rsid w:val="00AE0D52"/>
    <w:rsid w:val="00AE0E36"/>
    <w:rsid w:val="00AE1211"/>
    <w:rsid w:val="00AE1701"/>
    <w:rsid w:val="00AE1716"/>
    <w:rsid w:val="00AE1C2A"/>
    <w:rsid w:val="00AE2058"/>
    <w:rsid w:val="00AE2146"/>
    <w:rsid w:val="00AE2812"/>
    <w:rsid w:val="00AE2CCA"/>
    <w:rsid w:val="00AE2F44"/>
    <w:rsid w:val="00AE36C9"/>
    <w:rsid w:val="00AE3C50"/>
    <w:rsid w:val="00AE3E41"/>
    <w:rsid w:val="00AE40E4"/>
    <w:rsid w:val="00AE4336"/>
    <w:rsid w:val="00AE4450"/>
    <w:rsid w:val="00AE4738"/>
    <w:rsid w:val="00AE4CDA"/>
    <w:rsid w:val="00AE504D"/>
    <w:rsid w:val="00AE5067"/>
    <w:rsid w:val="00AE54BF"/>
    <w:rsid w:val="00AE5552"/>
    <w:rsid w:val="00AE5671"/>
    <w:rsid w:val="00AE5910"/>
    <w:rsid w:val="00AE59A1"/>
    <w:rsid w:val="00AE5A41"/>
    <w:rsid w:val="00AE5B7C"/>
    <w:rsid w:val="00AE5CA2"/>
    <w:rsid w:val="00AE5D2D"/>
    <w:rsid w:val="00AE5DDD"/>
    <w:rsid w:val="00AE5F24"/>
    <w:rsid w:val="00AE6087"/>
    <w:rsid w:val="00AE63AF"/>
    <w:rsid w:val="00AE65E0"/>
    <w:rsid w:val="00AE6AB3"/>
    <w:rsid w:val="00AE6D2F"/>
    <w:rsid w:val="00AE7A1F"/>
    <w:rsid w:val="00AE7C21"/>
    <w:rsid w:val="00AE7DA1"/>
    <w:rsid w:val="00AF053D"/>
    <w:rsid w:val="00AF0621"/>
    <w:rsid w:val="00AF1267"/>
    <w:rsid w:val="00AF1519"/>
    <w:rsid w:val="00AF1A04"/>
    <w:rsid w:val="00AF1BB3"/>
    <w:rsid w:val="00AF1E44"/>
    <w:rsid w:val="00AF1EB0"/>
    <w:rsid w:val="00AF1F3B"/>
    <w:rsid w:val="00AF20BA"/>
    <w:rsid w:val="00AF222D"/>
    <w:rsid w:val="00AF25D9"/>
    <w:rsid w:val="00AF27AF"/>
    <w:rsid w:val="00AF27D1"/>
    <w:rsid w:val="00AF2E34"/>
    <w:rsid w:val="00AF316B"/>
    <w:rsid w:val="00AF346B"/>
    <w:rsid w:val="00AF3798"/>
    <w:rsid w:val="00AF3952"/>
    <w:rsid w:val="00AF39A6"/>
    <w:rsid w:val="00AF3A34"/>
    <w:rsid w:val="00AF4318"/>
    <w:rsid w:val="00AF45B0"/>
    <w:rsid w:val="00AF4A0D"/>
    <w:rsid w:val="00AF51A6"/>
    <w:rsid w:val="00AF5EE4"/>
    <w:rsid w:val="00AF6360"/>
    <w:rsid w:val="00AF6B16"/>
    <w:rsid w:val="00AF6D6A"/>
    <w:rsid w:val="00AF6EBF"/>
    <w:rsid w:val="00AF721A"/>
    <w:rsid w:val="00AF7EC4"/>
    <w:rsid w:val="00B00077"/>
    <w:rsid w:val="00B00091"/>
    <w:rsid w:val="00B000E2"/>
    <w:rsid w:val="00B00307"/>
    <w:rsid w:val="00B005B1"/>
    <w:rsid w:val="00B007BC"/>
    <w:rsid w:val="00B009D1"/>
    <w:rsid w:val="00B00B6A"/>
    <w:rsid w:val="00B00C26"/>
    <w:rsid w:val="00B013F2"/>
    <w:rsid w:val="00B01407"/>
    <w:rsid w:val="00B01415"/>
    <w:rsid w:val="00B018E0"/>
    <w:rsid w:val="00B01C7D"/>
    <w:rsid w:val="00B02156"/>
    <w:rsid w:val="00B02359"/>
    <w:rsid w:val="00B023DC"/>
    <w:rsid w:val="00B025BA"/>
    <w:rsid w:val="00B03131"/>
    <w:rsid w:val="00B03300"/>
    <w:rsid w:val="00B03581"/>
    <w:rsid w:val="00B035B8"/>
    <w:rsid w:val="00B039AC"/>
    <w:rsid w:val="00B03AED"/>
    <w:rsid w:val="00B03BF0"/>
    <w:rsid w:val="00B04551"/>
    <w:rsid w:val="00B048C5"/>
    <w:rsid w:val="00B059D4"/>
    <w:rsid w:val="00B05AF3"/>
    <w:rsid w:val="00B05F80"/>
    <w:rsid w:val="00B064AF"/>
    <w:rsid w:val="00B06529"/>
    <w:rsid w:val="00B06E53"/>
    <w:rsid w:val="00B071FD"/>
    <w:rsid w:val="00B073DD"/>
    <w:rsid w:val="00B073F7"/>
    <w:rsid w:val="00B077C8"/>
    <w:rsid w:val="00B07804"/>
    <w:rsid w:val="00B07B08"/>
    <w:rsid w:val="00B07CA1"/>
    <w:rsid w:val="00B1021A"/>
    <w:rsid w:val="00B10318"/>
    <w:rsid w:val="00B10460"/>
    <w:rsid w:val="00B1071E"/>
    <w:rsid w:val="00B1096A"/>
    <w:rsid w:val="00B109F8"/>
    <w:rsid w:val="00B10A02"/>
    <w:rsid w:val="00B10AF2"/>
    <w:rsid w:val="00B114E7"/>
    <w:rsid w:val="00B11937"/>
    <w:rsid w:val="00B12247"/>
    <w:rsid w:val="00B12578"/>
    <w:rsid w:val="00B126BC"/>
    <w:rsid w:val="00B12A3C"/>
    <w:rsid w:val="00B12A6B"/>
    <w:rsid w:val="00B12C2D"/>
    <w:rsid w:val="00B13260"/>
    <w:rsid w:val="00B1339A"/>
    <w:rsid w:val="00B13458"/>
    <w:rsid w:val="00B13468"/>
    <w:rsid w:val="00B1373F"/>
    <w:rsid w:val="00B13A9F"/>
    <w:rsid w:val="00B13F4D"/>
    <w:rsid w:val="00B14259"/>
    <w:rsid w:val="00B14713"/>
    <w:rsid w:val="00B14A69"/>
    <w:rsid w:val="00B150E5"/>
    <w:rsid w:val="00B1526D"/>
    <w:rsid w:val="00B15328"/>
    <w:rsid w:val="00B15616"/>
    <w:rsid w:val="00B15DCC"/>
    <w:rsid w:val="00B16112"/>
    <w:rsid w:val="00B16A40"/>
    <w:rsid w:val="00B170D8"/>
    <w:rsid w:val="00B172BD"/>
    <w:rsid w:val="00B17572"/>
    <w:rsid w:val="00B17AFF"/>
    <w:rsid w:val="00B17C21"/>
    <w:rsid w:val="00B17E98"/>
    <w:rsid w:val="00B20A80"/>
    <w:rsid w:val="00B20AD8"/>
    <w:rsid w:val="00B20D90"/>
    <w:rsid w:val="00B211EA"/>
    <w:rsid w:val="00B2248D"/>
    <w:rsid w:val="00B22617"/>
    <w:rsid w:val="00B22E79"/>
    <w:rsid w:val="00B238A5"/>
    <w:rsid w:val="00B23A9B"/>
    <w:rsid w:val="00B2400B"/>
    <w:rsid w:val="00B24320"/>
    <w:rsid w:val="00B2456B"/>
    <w:rsid w:val="00B249FA"/>
    <w:rsid w:val="00B24A03"/>
    <w:rsid w:val="00B256A5"/>
    <w:rsid w:val="00B25906"/>
    <w:rsid w:val="00B25A77"/>
    <w:rsid w:val="00B25C09"/>
    <w:rsid w:val="00B25E0D"/>
    <w:rsid w:val="00B2611F"/>
    <w:rsid w:val="00B264B1"/>
    <w:rsid w:val="00B266D2"/>
    <w:rsid w:val="00B26BC8"/>
    <w:rsid w:val="00B26C91"/>
    <w:rsid w:val="00B26DB9"/>
    <w:rsid w:val="00B26E07"/>
    <w:rsid w:val="00B27276"/>
    <w:rsid w:val="00B27491"/>
    <w:rsid w:val="00B274D1"/>
    <w:rsid w:val="00B277E9"/>
    <w:rsid w:val="00B27E67"/>
    <w:rsid w:val="00B30000"/>
    <w:rsid w:val="00B300EB"/>
    <w:rsid w:val="00B30306"/>
    <w:rsid w:val="00B303FD"/>
    <w:rsid w:val="00B30E93"/>
    <w:rsid w:val="00B31122"/>
    <w:rsid w:val="00B311AE"/>
    <w:rsid w:val="00B31337"/>
    <w:rsid w:val="00B3185C"/>
    <w:rsid w:val="00B31C01"/>
    <w:rsid w:val="00B323B0"/>
    <w:rsid w:val="00B328C6"/>
    <w:rsid w:val="00B329DF"/>
    <w:rsid w:val="00B32BB4"/>
    <w:rsid w:val="00B3306D"/>
    <w:rsid w:val="00B33DF0"/>
    <w:rsid w:val="00B33FCC"/>
    <w:rsid w:val="00B34473"/>
    <w:rsid w:val="00B3488E"/>
    <w:rsid w:val="00B349B0"/>
    <w:rsid w:val="00B34AD4"/>
    <w:rsid w:val="00B34CE3"/>
    <w:rsid w:val="00B34EF9"/>
    <w:rsid w:val="00B34F19"/>
    <w:rsid w:val="00B354E5"/>
    <w:rsid w:val="00B35670"/>
    <w:rsid w:val="00B3568F"/>
    <w:rsid w:val="00B357F6"/>
    <w:rsid w:val="00B35B48"/>
    <w:rsid w:val="00B35FBE"/>
    <w:rsid w:val="00B36237"/>
    <w:rsid w:val="00B36327"/>
    <w:rsid w:val="00B36366"/>
    <w:rsid w:val="00B3636D"/>
    <w:rsid w:val="00B36495"/>
    <w:rsid w:val="00B36AC1"/>
    <w:rsid w:val="00B36C67"/>
    <w:rsid w:val="00B36DE3"/>
    <w:rsid w:val="00B36E50"/>
    <w:rsid w:val="00B372D3"/>
    <w:rsid w:val="00B3730C"/>
    <w:rsid w:val="00B373C1"/>
    <w:rsid w:val="00B3768A"/>
    <w:rsid w:val="00B40410"/>
    <w:rsid w:val="00B40850"/>
    <w:rsid w:val="00B40B5F"/>
    <w:rsid w:val="00B40B86"/>
    <w:rsid w:val="00B40BCC"/>
    <w:rsid w:val="00B40C54"/>
    <w:rsid w:val="00B41009"/>
    <w:rsid w:val="00B4147F"/>
    <w:rsid w:val="00B416AA"/>
    <w:rsid w:val="00B417E6"/>
    <w:rsid w:val="00B4188E"/>
    <w:rsid w:val="00B41911"/>
    <w:rsid w:val="00B419E5"/>
    <w:rsid w:val="00B41EC0"/>
    <w:rsid w:val="00B421A2"/>
    <w:rsid w:val="00B4281B"/>
    <w:rsid w:val="00B42B8D"/>
    <w:rsid w:val="00B4333A"/>
    <w:rsid w:val="00B43887"/>
    <w:rsid w:val="00B43903"/>
    <w:rsid w:val="00B4390A"/>
    <w:rsid w:val="00B4477B"/>
    <w:rsid w:val="00B44A07"/>
    <w:rsid w:val="00B44D42"/>
    <w:rsid w:val="00B454F9"/>
    <w:rsid w:val="00B455D8"/>
    <w:rsid w:val="00B4592C"/>
    <w:rsid w:val="00B460D9"/>
    <w:rsid w:val="00B46107"/>
    <w:rsid w:val="00B461B1"/>
    <w:rsid w:val="00B461D4"/>
    <w:rsid w:val="00B464E8"/>
    <w:rsid w:val="00B467AD"/>
    <w:rsid w:val="00B469AC"/>
    <w:rsid w:val="00B46A0D"/>
    <w:rsid w:val="00B46C0F"/>
    <w:rsid w:val="00B46DE7"/>
    <w:rsid w:val="00B47291"/>
    <w:rsid w:val="00B4736A"/>
    <w:rsid w:val="00B47A84"/>
    <w:rsid w:val="00B47C00"/>
    <w:rsid w:val="00B47C3A"/>
    <w:rsid w:val="00B47EEA"/>
    <w:rsid w:val="00B50001"/>
    <w:rsid w:val="00B50296"/>
    <w:rsid w:val="00B5036A"/>
    <w:rsid w:val="00B5051C"/>
    <w:rsid w:val="00B50849"/>
    <w:rsid w:val="00B50857"/>
    <w:rsid w:val="00B511E9"/>
    <w:rsid w:val="00B514F9"/>
    <w:rsid w:val="00B51672"/>
    <w:rsid w:val="00B51C51"/>
    <w:rsid w:val="00B522A8"/>
    <w:rsid w:val="00B52415"/>
    <w:rsid w:val="00B52BFD"/>
    <w:rsid w:val="00B52D9A"/>
    <w:rsid w:val="00B52DC3"/>
    <w:rsid w:val="00B531AD"/>
    <w:rsid w:val="00B534F1"/>
    <w:rsid w:val="00B534F7"/>
    <w:rsid w:val="00B53501"/>
    <w:rsid w:val="00B53BB5"/>
    <w:rsid w:val="00B54231"/>
    <w:rsid w:val="00B5426E"/>
    <w:rsid w:val="00B544EF"/>
    <w:rsid w:val="00B54866"/>
    <w:rsid w:val="00B54B58"/>
    <w:rsid w:val="00B54B5C"/>
    <w:rsid w:val="00B555EC"/>
    <w:rsid w:val="00B55745"/>
    <w:rsid w:val="00B55758"/>
    <w:rsid w:val="00B559F7"/>
    <w:rsid w:val="00B55C8B"/>
    <w:rsid w:val="00B55CC2"/>
    <w:rsid w:val="00B55ECA"/>
    <w:rsid w:val="00B56324"/>
    <w:rsid w:val="00B565D5"/>
    <w:rsid w:val="00B56940"/>
    <w:rsid w:val="00B5699E"/>
    <w:rsid w:val="00B56C21"/>
    <w:rsid w:val="00B56D42"/>
    <w:rsid w:val="00B56E9F"/>
    <w:rsid w:val="00B5733A"/>
    <w:rsid w:val="00B57931"/>
    <w:rsid w:val="00B57A2B"/>
    <w:rsid w:val="00B57B42"/>
    <w:rsid w:val="00B57D1B"/>
    <w:rsid w:val="00B57E6F"/>
    <w:rsid w:val="00B60234"/>
    <w:rsid w:val="00B6059A"/>
    <w:rsid w:val="00B605F5"/>
    <w:rsid w:val="00B6084E"/>
    <w:rsid w:val="00B609E4"/>
    <w:rsid w:val="00B60B0A"/>
    <w:rsid w:val="00B60E15"/>
    <w:rsid w:val="00B61184"/>
    <w:rsid w:val="00B61248"/>
    <w:rsid w:val="00B6132F"/>
    <w:rsid w:val="00B61A7B"/>
    <w:rsid w:val="00B61A95"/>
    <w:rsid w:val="00B61B74"/>
    <w:rsid w:val="00B61CD7"/>
    <w:rsid w:val="00B626C4"/>
    <w:rsid w:val="00B62D8B"/>
    <w:rsid w:val="00B631EB"/>
    <w:rsid w:val="00B6344C"/>
    <w:rsid w:val="00B635B5"/>
    <w:rsid w:val="00B6360A"/>
    <w:rsid w:val="00B63991"/>
    <w:rsid w:val="00B63E6E"/>
    <w:rsid w:val="00B63FE4"/>
    <w:rsid w:val="00B6402C"/>
    <w:rsid w:val="00B640D7"/>
    <w:rsid w:val="00B642CC"/>
    <w:rsid w:val="00B64491"/>
    <w:rsid w:val="00B64995"/>
    <w:rsid w:val="00B649C0"/>
    <w:rsid w:val="00B64BB6"/>
    <w:rsid w:val="00B65A7D"/>
    <w:rsid w:val="00B65EFD"/>
    <w:rsid w:val="00B662FB"/>
    <w:rsid w:val="00B666A7"/>
    <w:rsid w:val="00B66AF9"/>
    <w:rsid w:val="00B66C8F"/>
    <w:rsid w:val="00B673B2"/>
    <w:rsid w:val="00B67433"/>
    <w:rsid w:val="00B6747E"/>
    <w:rsid w:val="00B67629"/>
    <w:rsid w:val="00B7036B"/>
    <w:rsid w:val="00B7080C"/>
    <w:rsid w:val="00B7097B"/>
    <w:rsid w:val="00B70A60"/>
    <w:rsid w:val="00B71693"/>
    <w:rsid w:val="00B718B3"/>
    <w:rsid w:val="00B71B85"/>
    <w:rsid w:val="00B71C0D"/>
    <w:rsid w:val="00B71C46"/>
    <w:rsid w:val="00B71F92"/>
    <w:rsid w:val="00B72081"/>
    <w:rsid w:val="00B726BC"/>
    <w:rsid w:val="00B73049"/>
    <w:rsid w:val="00B73FE3"/>
    <w:rsid w:val="00B74111"/>
    <w:rsid w:val="00B74128"/>
    <w:rsid w:val="00B74357"/>
    <w:rsid w:val="00B745B2"/>
    <w:rsid w:val="00B74E3B"/>
    <w:rsid w:val="00B74F72"/>
    <w:rsid w:val="00B75B5F"/>
    <w:rsid w:val="00B76401"/>
    <w:rsid w:val="00B76616"/>
    <w:rsid w:val="00B7675F"/>
    <w:rsid w:val="00B768EC"/>
    <w:rsid w:val="00B76A99"/>
    <w:rsid w:val="00B77080"/>
    <w:rsid w:val="00B770F5"/>
    <w:rsid w:val="00B77427"/>
    <w:rsid w:val="00B77599"/>
    <w:rsid w:val="00B77679"/>
    <w:rsid w:val="00B8013B"/>
    <w:rsid w:val="00B806E3"/>
    <w:rsid w:val="00B813CC"/>
    <w:rsid w:val="00B81632"/>
    <w:rsid w:val="00B816BB"/>
    <w:rsid w:val="00B81B53"/>
    <w:rsid w:val="00B81F5D"/>
    <w:rsid w:val="00B82042"/>
    <w:rsid w:val="00B82364"/>
    <w:rsid w:val="00B827B0"/>
    <w:rsid w:val="00B82B51"/>
    <w:rsid w:val="00B82F10"/>
    <w:rsid w:val="00B832B0"/>
    <w:rsid w:val="00B83516"/>
    <w:rsid w:val="00B83763"/>
    <w:rsid w:val="00B83C9B"/>
    <w:rsid w:val="00B83F2F"/>
    <w:rsid w:val="00B84743"/>
    <w:rsid w:val="00B84829"/>
    <w:rsid w:val="00B84BB5"/>
    <w:rsid w:val="00B84FC9"/>
    <w:rsid w:val="00B85F31"/>
    <w:rsid w:val="00B865EE"/>
    <w:rsid w:val="00B866A9"/>
    <w:rsid w:val="00B86AD1"/>
    <w:rsid w:val="00B86C0F"/>
    <w:rsid w:val="00B8740C"/>
    <w:rsid w:val="00B874AE"/>
    <w:rsid w:val="00B875F8"/>
    <w:rsid w:val="00B87856"/>
    <w:rsid w:val="00B90012"/>
    <w:rsid w:val="00B9080A"/>
    <w:rsid w:val="00B9135F"/>
    <w:rsid w:val="00B913C2"/>
    <w:rsid w:val="00B91407"/>
    <w:rsid w:val="00B91511"/>
    <w:rsid w:val="00B91645"/>
    <w:rsid w:val="00B9198B"/>
    <w:rsid w:val="00B91A0A"/>
    <w:rsid w:val="00B91C59"/>
    <w:rsid w:val="00B91DE0"/>
    <w:rsid w:val="00B91F3C"/>
    <w:rsid w:val="00B92057"/>
    <w:rsid w:val="00B921F3"/>
    <w:rsid w:val="00B92711"/>
    <w:rsid w:val="00B92EEA"/>
    <w:rsid w:val="00B92F2F"/>
    <w:rsid w:val="00B9325C"/>
    <w:rsid w:val="00B938FF"/>
    <w:rsid w:val="00B94575"/>
    <w:rsid w:val="00B94CFA"/>
    <w:rsid w:val="00B94E54"/>
    <w:rsid w:val="00B95729"/>
    <w:rsid w:val="00B95741"/>
    <w:rsid w:val="00B95C6C"/>
    <w:rsid w:val="00B96229"/>
    <w:rsid w:val="00B9652B"/>
    <w:rsid w:val="00B9669D"/>
    <w:rsid w:val="00B96747"/>
    <w:rsid w:val="00B96922"/>
    <w:rsid w:val="00B96B60"/>
    <w:rsid w:val="00B96EF8"/>
    <w:rsid w:val="00B971E5"/>
    <w:rsid w:val="00B97437"/>
    <w:rsid w:val="00B9744A"/>
    <w:rsid w:val="00B97D45"/>
    <w:rsid w:val="00B97D93"/>
    <w:rsid w:val="00B97DC2"/>
    <w:rsid w:val="00B97E47"/>
    <w:rsid w:val="00BA0121"/>
    <w:rsid w:val="00BA0A10"/>
    <w:rsid w:val="00BA0CF7"/>
    <w:rsid w:val="00BA0EA6"/>
    <w:rsid w:val="00BA1236"/>
    <w:rsid w:val="00BA18C4"/>
    <w:rsid w:val="00BA19BB"/>
    <w:rsid w:val="00BA1CB0"/>
    <w:rsid w:val="00BA234E"/>
    <w:rsid w:val="00BA2644"/>
    <w:rsid w:val="00BA2DA1"/>
    <w:rsid w:val="00BA2E7D"/>
    <w:rsid w:val="00BA31E2"/>
    <w:rsid w:val="00BA3280"/>
    <w:rsid w:val="00BA3430"/>
    <w:rsid w:val="00BA3442"/>
    <w:rsid w:val="00BA35C2"/>
    <w:rsid w:val="00BA36AE"/>
    <w:rsid w:val="00BA3774"/>
    <w:rsid w:val="00BA4030"/>
    <w:rsid w:val="00BA44CD"/>
    <w:rsid w:val="00BA45F1"/>
    <w:rsid w:val="00BA48CC"/>
    <w:rsid w:val="00BA49C6"/>
    <w:rsid w:val="00BA4EC7"/>
    <w:rsid w:val="00BA4F72"/>
    <w:rsid w:val="00BA505B"/>
    <w:rsid w:val="00BA539F"/>
    <w:rsid w:val="00BA53D0"/>
    <w:rsid w:val="00BA5607"/>
    <w:rsid w:val="00BA5A14"/>
    <w:rsid w:val="00BA5AFF"/>
    <w:rsid w:val="00BA60AE"/>
    <w:rsid w:val="00BA60F3"/>
    <w:rsid w:val="00BA646F"/>
    <w:rsid w:val="00BA64C7"/>
    <w:rsid w:val="00BA65E9"/>
    <w:rsid w:val="00BA6A44"/>
    <w:rsid w:val="00BA6E7B"/>
    <w:rsid w:val="00BA6F9A"/>
    <w:rsid w:val="00BA71FD"/>
    <w:rsid w:val="00BA759D"/>
    <w:rsid w:val="00BA78AD"/>
    <w:rsid w:val="00BB003D"/>
    <w:rsid w:val="00BB0062"/>
    <w:rsid w:val="00BB05A0"/>
    <w:rsid w:val="00BB07D7"/>
    <w:rsid w:val="00BB1782"/>
    <w:rsid w:val="00BB1E1B"/>
    <w:rsid w:val="00BB273E"/>
    <w:rsid w:val="00BB27C0"/>
    <w:rsid w:val="00BB28BE"/>
    <w:rsid w:val="00BB2947"/>
    <w:rsid w:val="00BB2F8B"/>
    <w:rsid w:val="00BB316E"/>
    <w:rsid w:val="00BB3475"/>
    <w:rsid w:val="00BB3682"/>
    <w:rsid w:val="00BB392E"/>
    <w:rsid w:val="00BB3B90"/>
    <w:rsid w:val="00BB3BD5"/>
    <w:rsid w:val="00BB3E7C"/>
    <w:rsid w:val="00BB3EA2"/>
    <w:rsid w:val="00BB4341"/>
    <w:rsid w:val="00BB43D8"/>
    <w:rsid w:val="00BB48A1"/>
    <w:rsid w:val="00BB48BA"/>
    <w:rsid w:val="00BB4A45"/>
    <w:rsid w:val="00BB4E07"/>
    <w:rsid w:val="00BB52C0"/>
    <w:rsid w:val="00BB5301"/>
    <w:rsid w:val="00BB543D"/>
    <w:rsid w:val="00BB551C"/>
    <w:rsid w:val="00BB56C3"/>
    <w:rsid w:val="00BB5AFA"/>
    <w:rsid w:val="00BB5B31"/>
    <w:rsid w:val="00BB5B75"/>
    <w:rsid w:val="00BB5EBB"/>
    <w:rsid w:val="00BB63F2"/>
    <w:rsid w:val="00BB64FF"/>
    <w:rsid w:val="00BB6894"/>
    <w:rsid w:val="00BB6BEB"/>
    <w:rsid w:val="00BB6D9E"/>
    <w:rsid w:val="00BB6EE0"/>
    <w:rsid w:val="00BB6F78"/>
    <w:rsid w:val="00BB7494"/>
    <w:rsid w:val="00BB7AE5"/>
    <w:rsid w:val="00BB7CA0"/>
    <w:rsid w:val="00BB7E2D"/>
    <w:rsid w:val="00BC0A16"/>
    <w:rsid w:val="00BC0A82"/>
    <w:rsid w:val="00BC0C0A"/>
    <w:rsid w:val="00BC0E42"/>
    <w:rsid w:val="00BC1660"/>
    <w:rsid w:val="00BC16F3"/>
    <w:rsid w:val="00BC1AE2"/>
    <w:rsid w:val="00BC1AFF"/>
    <w:rsid w:val="00BC20B8"/>
    <w:rsid w:val="00BC2389"/>
    <w:rsid w:val="00BC25C7"/>
    <w:rsid w:val="00BC290F"/>
    <w:rsid w:val="00BC2BA6"/>
    <w:rsid w:val="00BC3188"/>
    <w:rsid w:val="00BC3475"/>
    <w:rsid w:val="00BC36CC"/>
    <w:rsid w:val="00BC3700"/>
    <w:rsid w:val="00BC3A4C"/>
    <w:rsid w:val="00BC3A6A"/>
    <w:rsid w:val="00BC3D6C"/>
    <w:rsid w:val="00BC3D6E"/>
    <w:rsid w:val="00BC3D8B"/>
    <w:rsid w:val="00BC3E09"/>
    <w:rsid w:val="00BC43E8"/>
    <w:rsid w:val="00BC4754"/>
    <w:rsid w:val="00BC4961"/>
    <w:rsid w:val="00BC4F4A"/>
    <w:rsid w:val="00BC5006"/>
    <w:rsid w:val="00BC50A6"/>
    <w:rsid w:val="00BC5161"/>
    <w:rsid w:val="00BC522D"/>
    <w:rsid w:val="00BC57D1"/>
    <w:rsid w:val="00BC584F"/>
    <w:rsid w:val="00BC58AA"/>
    <w:rsid w:val="00BC623F"/>
    <w:rsid w:val="00BC63B0"/>
    <w:rsid w:val="00BC6768"/>
    <w:rsid w:val="00BC68E4"/>
    <w:rsid w:val="00BC69F8"/>
    <w:rsid w:val="00BC6E36"/>
    <w:rsid w:val="00BC6E5B"/>
    <w:rsid w:val="00BC7586"/>
    <w:rsid w:val="00BC7976"/>
    <w:rsid w:val="00BC7A12"/>
    <w:rsid w:val="00BC7C2B"/>
    <w:rsid w:val="00BD05BA"/>
    <w:rsid w:val="00BD05C0"/>
    <w:rsid w:val="00BD0B6F"/>
    <w:rsid w:val="00BD0DD7"/>
    <w:rsid w:val="00BD0E5C"/>
    <w:rsid w:val="00BD10CE"/>
    <w:rsid w:val="00BD1112"/>
    <w:rsid w:val="00BD2186"/>
    <w:rsid w:val="00BD247C"/>
    <w:rsid w:val="00BD24E8"/>
    <w:rsid w:val="00BD25F1"/>
    <w:rsid w:val="00BD2886"/>
    <w:rsid w:val="00BD29D3"/>
    <w:rsid w:val="00BD2B90"/>
    <w:rsid w:val="00BD2C3C"/>
    <w:rsid w:val="00BD2D47"/>
    <w:rsid w:val="00BD3193"/>
    <w:rsid w:val="00BD3386"/>
    <w:rsid w:val="00BD3803"/>
    <w:rsid w:val="00BD3B38"/>
    <w:rsid w:val="00BD3B42"/>
    <w:rsid w:val="00BD3FEC"/>
    <w:rsid w:val="00BD44C9"/>
    <w:rsid w:val="00BD4581"/>
    <w:rsid w:val="00BD477A"/>
    <w:rsid w:val="00BD4ADF"/>
    <w:rsid w:val="00BD4F5A"/>
    <w:rsid w:val="00BD5255"/>
    <w:rsid w:val="00BD566D"/>
    <w:rsid w:val="00BD56BF"/>
    <w:rsid w:val="00BD59E3"/>
    <w:rsid w:val="00BD61AF"/>
    <w:rsid w:val="00BD6779"/>
    <w:rsid w:val="00BD6BC3"/>
    <w:rsid w:val="00BD6E7F"/>
    <w:rsid w:val="00BD7952"/>
    <w:rsid w:val="00BD7A0E"/>
    <w:rsid w:val="00BD7BC1"/>
    <w:rsid w:val="00BD7D4B"/>
    <w:rsid w:val="00BD7E58"/>
    <w:rsid w:val="00BE021D"/>
    <w:rsid w:val="00BE0712"/>
    <w:rsid w:val="00BE0766"/>
    <w:rsid w:val="00BE087C"/>
    <w:rsid w:val="00BE0A61"/>
    <w:rsid w:val="00BE0EC9"/>
    <w:rsid w:val="00BE1BBD"/>
    <w:rsid w:val="00BE1BC4"/>
    <w:rsid w:val="00BE1E74"/>
    <w:rsid w:val="00BE2410"/>
    <w:rsid w:val="00BE2BDB"/>
    <w:rsid w:val="00BE2D04"/>
    <w:rsid w:val="00BE33CD"/>
    <w:rsid w:val="00BE38DB"/>
    <w:rsid w:val="00BE3AD2"/>
    <w:rsid w:val="00BE3B94"/>
    <w:rsid w:val="00BE401E"/>
    <w:rsid w:val="00BE4035"/>
    <w:rsid w:val="00BE41E9"/>
    <w:rsid w:val="00BE4A05"/>
    <w:rsid w:val="00BE4E00"/>
    <w:rsid w:val="00BE4FE7"/>
    <w:rsid w:val="00BE5281"/>
    <w:rsid w:val="00BE544C"/>
    <w:rsid w:val="00BE56A9"/>
    <w:rsid w:val="00BE5926"/>
    <w:rsid w:val="00BE5EB7"/>
    <w:rsid w:val="00BE619B"/>
    <w:rsid w:val="00BE6561"/>
    <w:rsid w:val="00BE6D4F"/>
    <w:rsid w:val="00BE734B"/>
    <w:rsid w:val="00BE77AF"/>
    <w:rsid w:val="00BE7860"/>
    <w:rsid w:val="00BE7A68"/>
    <w:rsid w:val="00BF0092"/>
    <w:rsid w:val="00BF0135"/>
    <w:rsid w:val="00BF15EB"/>
    <w:rsid w:val="00BF19FC"/>
    <w:rsid w:val="00BF1D20"/>
    <w:rsid w:val="00BF1E04"/>
    <w:rsid w:val="00BF1E8E"/>
    <w:rsid w:val="00BF2D5F"/>
    <w:rsid w:val="00BF2ECF"/>
    <w:rsid w:val="00BF3085"/>
    <w:rsid w:val="00BF3442"/>
    <w:rsid w:val="00BF3622"/>
    <w:rsid w:val="00BF371B"/>
    <w:rsid w:val="00BF3ECC"/>
    <w:rsid w:val="00BF480C"/>
    <w:rsid w:val="00BF4D19"/>
    <w:rsid w:val="00BF4E4C"/>
    <w:rsid w:val="00BF50E4"/>
    <w:rsid w:val="00BF54CF"/>
    <w:rsid w:val="00BF571A"/>
    <w:rsid w:val="00BF58E0"/>
    <w:rsid w:val="00BF59B1"/>
    <w:rsid w:val="00BF5A93"/>
    <w:rsid w:val="00BF5BF1"/>
    <w:rsid w:val="00BF664C"/>
    <w:rsid w:val="00BF6C34"/>
    <w:rsid w:val="00BF6D05"/>
    <w:rsid w:val="00BF6FBD"/>
    <w:rsid w:val="00BF7507"/>
    <w:rsid w:val="00BF7B2E"/>
    <w:rsid w:val="00BF7E9E"/>
    <w:rsid w:val="00BF7F04"/>
    <w:rsid w:val="00C00814"/>
    <w:rsid w:val="00C00D2F"/>
    <w:rsid w:val="00C00DEC"/>
    <w:rsid w:val="00C00FDF"/>
    <w:rsid w:val="00C0133D"/>
    <w:rsid w:val="00C0168A"/>
    <w:rsid w:val="00C0173A"/>
    <w:rsid w:val="00C01852"/>
    <w:rsid w:val="00C01B32"/>
    <w:rsid w:val="00C01C15"/>
    <w:rsid w:val="00C02468"/>
    <w:rsid w:val="00C02473"/>
    <w:rsid w:val="00C0247C"/>
    <w:rsid w:val="00C024CB"/>
    <w:rsid w:val="00C02635"/>
    <w:rsid w:val="00C02A8F"/>
    <w:rsid w:val="00C02BB9"/>
    <w:rsid w:val="00C0315D"/>
    <w:rsid w:val="00C0340A"/>
    <w:rsid w:val="00C036E2"/>
    <w:rsid w:val="00C03BB4"/>
    <w:rsid w:val="00C03C6E"/>
    <w:rsid w:val="00C03DAD"/>
    <w:rsid w:val="00C0466F"/>
    <w:rsid w:val="00C04955"/>
    <w:rsid w:val="00C04AA5"/>
    <w:rsid w:val="00C04BBF"/>
    <w:rsid w:val="00C05001"/>
    <w:rsid w:val="00C0513E"/>
    <w:rsid w:val="00C05653"/>
    <w:rsid w:val="00C05971"/>
    <w:rsid w:val="00C05E14"/>
    <w:rsid w:val="00C05EEC"/>
    <w:rsid w:val="00C06413"/>
    <w:rsid w:val="00C06760"/>
    <w:rsid w:val="00C067A7"/>
    <w:rsid w:val="00C06B74"/>
    <w:rsid w:val="00C06B7E"/>
    <w:rsid w:val="00C0730F"/>
    <w:rsid w:val="00C073D7"/>
    <w:rsid w:val="00C07624"/>
    <w:rsid w:val="00C07689"/>
    <w:rsid w:val="00C0768C"/>
    <w:rsid w:val="00C077D0"/>
    <w:rsid w:val="00C079D4"/>
    <w:rsid w:val="00C07CE9"/>
    <w:rsid w:val="00C07F69"/>
    <w:rsid w:val="00C101A0"/>
    <w:rsid w:val="00C10CB5"/>
    <w:rsid w:val="00C10D1D"/>
    <w:rsid w:val="00C10E44"/>
    <w:rsid w:val="00C10F5C"/>
    <w:rsid w:val="00C11446"/>
    <w:rsid w:val="00C114A6"/>
    <w:rsid w:val="00C1181C"/>
    <w:rsid w:val="00C11C1C"/>
    <w:rsid w:val="00C11C94"/>
    <w:rsid w:val="00C11FDD"/>
    <w:rsid w:val="00C1276B"/>
    <w:rsid w:val="00C129C7"/>
    <w:rsid w:val="00C12AD3"/>
    <w:rsid w:val="00C12D78"/>
    <w:rsid w:val="00C12F94"/>
    <w:rsid w:val="00C13516"/>
    <w:rsid w:val="00C136A7"/>
    <w:rsid w:val="00C138CA"/>
    <w:rsid w:val="00C1392B"/>
    <w:rsid w:val="00C139E9"/>
    <w:rsid w:val="00C13B75"/>
    <w:rsid w:val="00C14015"/>
    <w:rsid w:val="00C14295"/>
    <w:rsid w:val="00C149B3"/>
    <w:rsid w:val="00C14AEF"/>
    <w:rsid w:val="00C15237"/>
    <w:rsid w:val="00C153BB"/>
    <w:rsid w:val="00C1581E"/>
    <w:rsid w:val="00C15D5E"/>
    <w:rsid w:val="00C161A7"/>
    <w:rsid w:val="00C1629A"/>
    <w:rsid w:val="00C164B4"/>
    <w:rsid w:val="00C1661C"/>
    <w:rsid w:val="00C168C1"/>
    <w:rsid w:val="00C16DD2"/>
    <w:rsid w:val="00C16ED2"/>
    <w:rsid w:val="00C16F30"/>
    <w:rsid w:val="00C17144"/>
    <w:rsid w:val="00C17202"/>
    <w:rsid w:val="00C172FF"/>
    <w:rsid w:val="00C1741C"/>
    <w:rsid w:val="00C17447"/>
    <w:rsid w:val="00C1765D"/>
    <w:rsid w:val="00C176FF"/>
    <w:rsid w:val="00C20219"/>
    <w:rsid w:val="00C2093B"/>
    <w:rsid w:val="00C20CCE"/>
    <w:rsid w:val="00C22029"/>
    <w:rsid w:val="00C22559"/>
    <w:rsid w:val="00C2285E"/>
    <w:rsid w:val="00C2289A"/>
    <w:rsid w:val="00C22B97"/>
    <w:rsid w:val="00C22E53"/>
    <w:rsid w:val="00C23573"/>
    <w:rsid w:val="00C23765"/>
    <w:rsid w:val="00C23F53"/>
    <w:rsid w:val="00C240CD"/>
    <w:rsid w:val="00C2418A"/>
    <w:rsid w:val="00C243E3"/>
    <w:rsid w:val="00C244C4"/>
    <w:rsid w:val="00C24934"/>
    <w:rsid w:val="00C249C2"/>
    <w:rsid w:val="00C24EFC"/>
    <w:rsid w:val="00C2645B"/>
    <w:rsid w:val="00C2653F"/>
    <w:rsid w:val="00C2656F"/>
    <w:rsid w:val="00C26806"/>
    <w:rsid w:val="00C26CB3"/>
    <w:rsid w:val="00C26D3A"/>
    <w:rsid w:val="00C2705D"/>
    <w:rsid w:val="00C270F3"/>
    <w:rsid w:val="00C271A7"/>
    <w:rsid w:val="00C27374"/>
    <w:rsid w:val="00C2799A"/>
    <w:rsid w:val="00C27A01"/>
    <w:rsid w:val="00C27F1A"/>
    <w:rsid w:val="00C30266"/>
    <w:rsid w:val="00C30632"/>
    <w:rsid w:val="00C30A07"/>
    <w:rsid w:val="00C3165E"/>
    <w:rsid w:val="00C317A1"/>
    <w:rsid w:val="00C31A91"/>
    <w:rsid w:val="00C31D9F"/>
    <w:rsid w:val="00C321E1"/>
    <w:rsid w:val="00C32236"/>
    <w:rsid w:val="00C32374"/>
    <w:rsid w:val="00C32400"/>
    <w:rsid w:val="00C325FA"/>
    <w:rsid w:val="00C3286A"/>
    <w:rsid w:val="00C33032"/>
    <w:rsid w:val="00C33374"/>
    <w:rsid w:val="00C33CA6"/>
    <w:rsid w:val="00C345D7"/>
    <w:rsid w:val="00C34BF5"/>
    <w:rsid w:val="00C34CC3"/>
    <w:rsid w:val="00C35383"/>
    <w:rsid w:val="00C3566A"/>
    <w:rsid w:val="00C35720"/>
    <w:rsid w:val="00C3580E"/>
    <w:rsid w:val="00C358ED"/>
    <w:rsid w:val="00C35A03"/>
    <w:rsid w:val="00C36043"/>
    <w:rsid w:val="00C3717C"/>
    <w:rsid w:val="00C37181"/>
    <w:rsid w:val="00C37380"/>
    <w:rsid w:val="00C373F8"/>
    <w:rsid w:val="00C37536"/>
    <w:rsid w:val="00C375B9"/>
    <w:rsid w:val="00C37971"/>
    <w:rsid w:val="00C37E42"/>
    <w:rsid w:val="00C4014F"/>
    <w:rsid w:val="00C403BE"/>
    <w:rsid w:val="00C40406"/>
    <w:rsid w:val="00C40673"/>
    <w:rsid w:val="00C4098B"/>
    <w:rsid w:val="00C40AC9"/>
    <w:rsid w:val="00C40EA1"/>
    <w:rsid w:val="00C416EF"/>
    <w:rsid w:val="00C4188B"/>
    <w:rsid w:val="00C41B9B"/>
    <w:rsid w:val="00C42065"/>
    <w:rsid w:val="00C42311"/>
    <w:rsid w:val="00C42888"/>
    <w:rsid w:val="00C42E0E"/>
    <w:rsid w:val="00C4300E"/>
    <w:rsid w:val="00C43095"/>
    <w:rsid w:val="00C434C2"/>
    <w:rsid w:val="00C43F18"/>
    <w:rsid w:val="00C43F2D"/>
    <w:rsid w:val="00C445CF"/>
    <w:rsid w:val="00C4461B"/>
    <w:rsid w:val="00C448B8"/>
    <w:rsid w:val="00C44A32"/>
    <w:rsid w:val="00C44CB3"/>
    <w:rsid w:val="00C44DA1"/>
    <w:rsid w:val="00C44F10"/>
    <w:rsid w:val="00C451EC"/>
    <w:rsid w:val="00C4578B"/>
    <w:rsid w:val="00C45D70"/>
    <w:rsid w:val="00C46436"/>
    <w:rsid w:val="00C46835"/>
    <w:rsid w:val="00C46954"/>
    <w:rsid w:val="00C469A5"/>
    <w:rsid w:val="00C46C2A"/>
    <w:rsid w:val="00C46CE6"/>
    <w:rsid w:val="00C47090"/>
    <w:rsid w:val="00C47918"/>
    <w:rsid w:val="00C47CC1"/>
    <w:rsid w:val="00C47F0C"/>
    <w:rsid w:val="00C50C36"/>
    <w:rsid w:val="00C5139E"/>
    <w:rsid w:val="00C51C0A"/>
    <w:rsid w:val="00C51F99"/>
    <w:rsid w:val="00C5227A"/>
    <w:rsid w:val="00C523DD"/>
    <w:rsid w:val="00C524F2"/>
    <w:rsid w:val="00C52564"/>
    <w:rsid w:val="00C52902"/>
    <w:rsid w:val="00C52A83"/>
    <w:rsid w:val="00C52D19"/>
    <w:rsid w:val="00C52D7A"/>
    <w:rsid w:val="00C53447"/>
    <w:rsid w:val="00C53732"/>
    <w:rsid w:val="00C53932"/>
    <w:rsid w:val="00C53AB5"/>
    <w:rsid w:val="00C53CC5"/>
    <w:rsid w:val="00C53D6F"/>
    <w:rsid w:val="00C53D79"/>
    <w:rsid w:val="00C53DAF"/>
    <w:rsid w:val="00C540C9"/>
    <w:rsid w:val="00C541CC"/>
    <w:rsid w:val="00C543D7"/>
    <w:rsid w:val="00C547F1"/>
    <w:rsid w:val="00C54826"/>
    <w:rsid w:val="00C548E1"/>
    <w:rsid w:val="00C54CF0"/>
    <w:rsid w:val="00C552A8"/>
    <w:rsid w:val="00C55499"/>
    <w:rsid w:val="00C5582D"/>
    <w:rsid w:val="00C558B7"/>
    <w:rsid w:val="00C55D03"/>
    <w:rsid w:val="00C55FBE"/>
    <w:rsid w:val="00C560A1"/>
    <w:rsid w:val="00C5611D"/>
    <w:rsid w:val="00C56549"/>
    <w:rsid w:val="00C566B6"/>
    <w:rsid w:val="00C5680B"/>
    <w:rsid w:val="00C56950"/>
    <w:rsid w:val="00C569A9"/>
    <w:rsid w:val="00C56FAF"/>
    <w:rsid w:val="00C574A1"/>
    <w:rsid w:val="00C576CB"/>
    <w:rsid w:val="00C578F4"/>
    <w:rsid w:val="00C57B40"/>
    <w:rsid w:val="00C603A2"/>
    <w:rsid w:val="00C6043D"/>
    <w:rsid w:val="00C60668"/>
    <w:rsid w:val="00C60962"/>
    <w:rsid w:val="00C60C0A"/>
    <w:rsid w:val="00C60EEF"/>
    <w:rsid w:val="00C610D8"/>
    <w:rsid w:val="00C614D2"/>
    <w:rsid w:val="00C6183B"/>
    <w:rsid w:val="00C61F37"/>
    <w:rsid w:val="00C621BA"/>
    <w:rsid w:val="00C621CF"/>
    <w:rsid w:val="00C63BA8"/>
    <w:rsid w:val="00C63C75"/>
    <w:rsid w:val="00C63FA5"/>
    <w:rsid w:val="00C64032"/>
    <w:rsid w:val="00C64086"/>
    <w:rsid w:val="00C642D1"/>
    <w:rsid w:val="00C64308"/>
    <w:rsid w:val="00C6440E"/>
    <w:rsid w:val="00C64D96"/>
    <w:rsid w:val="00C65289"/>
    <w:rsid w:val="00C656CE"/>
    <w:rsid w:val="00C65AC3"/>
    <w:rsid w:val="00C65B04"/>
    <w:rsid w:val="00C65D6C"/>
    <w:rsid w:val="00C65EF7"/>
    <w:rsid w:val="00C6614A"/>
    <w:rsid w:val="00C66304"/>
    <w:rsid w:val="00C66644"/>
    <w:rsid w:val="00C66647"/>
    <w:rsid w:val="00C66C1C"/>
    <w:rsid w:val="00C66DCA"/>
    <w:rsid w:val="00C66DFC"/>
    <w:rsid w:val="00C67046"/>
    <w:rsid w:val="00C67306"/>
    <w:rsid w:val="00C673A0"/>
    <w:rsid w:val="00C673C5"/>
    <w:rsid w:val="00C6745A"/>
    <w:rsid w:val="00C67712"/>
    <w:rsid w:val="00C679F6"/>
    <w:rsid w:val="00C67A11"/>
    <w:rsid w:val="00C67DC4"/>
    <w:rsid w:val="00C67E40"/>
    <w:rsid w:val="00C702B6"/>
    <w:rsid w:val="00C704AF"/>
    <w:rsid w:val="00C707B6"/>
    <w:rsid w:val="00C70805"/>
    <w:rsid w:val="00C7080A"/>
    <w:rsid w:val="00C708DC"/>
    <w:rsid w:val="00C70A6F"/>
    <w:rsid w:val="00C7116C"/>
    <w:rsid w:val="00C714D6"/>
    <w:rsid w:val="00C715E3"/>
    <w:rsid w:val="00C71981"/>
    <w:rsid w:val="00C71A82"/>
    <w:rsid w:val="00C71C6B"/>
    <w:rsid w:val="00C71DCD"/>
    <w:rsid w:val="00C72381"/>
    <w:rsid w:val="00C7249C"/>
    <w:rsid w:val="00C72607"/>
    <w:rsid w:val="00C72A34"/>
    <w:rsid w:val="00C72A5F"/>
    <w:rsid w:val="00C72BCC"/>
    <w:rsid w:val="00C72C2B"/>
    <w:rsid w:val="00C72F5C"/>
    <w:rsid w:val="00C73183"/>
    <w:rsid w:val="00C731DE"/>
    <w:rsid w:val="00C73D2E"/>
    <w:rsid w:val="00C73E29"/>
    <w:rsid w:val="00C73F9D"/>
    <w:rsid w:val="00C740A5"/>
    <w:rsid w:val="00C7414F"/>
    <w:rsid w:val="00C741EC"/>
    <w:rsid w:val="00C74262"/>
    <w:rsid w:val="00C74551"/>
    <w:rsid w:val="00C74707"/>
    <w:rsid w:val="00C74867"/>
    <w:rsid w:val="00C748DD"/>
    <w:rsid w:val="00C74ABF"/>
    <w:rsid w:val="00C74D41"/>
    <w:rsid w:val="00C74EA9"/>
    <w:rsid w:val="00C753F6"/>
    <w:rsid w:val="00C754B2"/>
    <w:rsid w:val="00C75A38"/>
    <w:rsid w:val="00C76572"/>
    <w:rsid w:val="00C76748"/>
    <w:rsid w:val="00C77257"/>
    <w:rsid w:val="00C774B6"/>
    <w:rsid w:val="00C778E6"/>
    <w:rsid w:val="00C77944"/>
    <w:rsid w:val="00C77949"/>
    <w:rsid w:val="00C80247"/>
    <w:rsid w:val="00C804F4"/>
    <w:rsid w:val="00C80BB9"/>
    <w:rsid w:val="00C80FC0"/>
    <w:rsid w:val="00C819E1"/>
    <w:rsid w:val="00C81C85"/>
    <w:rsid w:val="00C81EC6"/>
    <w:rsid w:val="00C81FAF"/>
    <w:rsid w:val="00C824AE"/>
    <w:rsid w:val="00C8273B"/>
    <w:rsid w:val="00C82775"/>
    <w:rsid w:val="00C82A36"/>
    <w:rsid w:val="00C82C16"/>
    <w:rsid w:val="00C8324C"/>
    <w:rsid w:val="00C8349D"/>
    <w:rsid w:val="00C8361A"/>
    <w:rsid w:val="00C83762"/>
    <w:rsid w:val="00C83FEB"/>
    <w:rsid w:val="00C8403C"/>
    <w:rsid w:val="00C8457A"/>
    <w:rsid w:val="00C84BFA"/>
    <w:rsid w:val="00C85131"/>
    <w:rsid w:val="00C854C1"/>
    <w:rsid w:val="00C8569F"/>
    <w:rsid w:val="00C8570E"/>
    <w:rsid w:val="00C85902"/>
    <w:rsid w:val="00C859FD"/>
    <w:rsid w:val="00C85FEE"/>
    <w:rsid w:val="00C8628C"/>
    <w:rsid w:val="00C8632D"/>
    <w:rsid w:val="00C86395"/>
    <w:rsid w:val="00C86D1A"/>
    <w:rsid w:val="00C86D1C"/>
    <w:rsid w:val="00C86FC9"/>
    <w:rsid w:val="00C871BA"/>
    <w:rsid w:val="00C87271"/>
    <w:rsid w:val="00C875D1"/>
    <w:rsid w:val="00C877F9"/>
    <w:rsid w:val="00C878CE"/>
    <w:rsid w:val="00C87B9F"/>
    <w:rsid w:val="00C900E7"/>
    <w:rsid w:val="00C9042D"/>
    <w:rsid w:val="00C90AC7"/>
    <w:rsid w:val="00C90CE5"/>
    <w:rsid w:val="00C915A7"/>
    <w:rsid w:val="00C916B6"/>
    <w:rsid w:val="00C9189A"/>
    <w:rsid w:val="00C91D83"/>
    <w:rsid w:val="00C91DC1"/>
    <w:rsid w:val="00C92375"/>
    <w:rsid w:val="00C931FE"/>
    <w:rsid w:val="00C9345A"/>
    <w:rsid w:val="00C934EB"/>
    <w:rsid w:val="00C9376C"/>
    <w:rsid w:val="00C9379D"/>
    <w:rsid w:val="00C9385E"/>
    <w:rsid w:val="00C93978"/>
    <w:rsid w:val="00C93C4D"/>
    <w:rsid w:val="00C93D7B"/>
    <w:rsid w:val="00C94161"/>
    <w:rsid w:val="00C943AF"/>
    <w:rsid w:val="00C94545"/>
    <w:rsid w:val="00C94804"/>
    <w:rsid w:val="00C94E4F"/>
    <w:rsid w:val="00C95410"/>
    <w:rsid w:val="00C95848"/>
    <w:rsid w:val="00C95AE0"/>
    <w:rsid w:val="00C965A6"/>
    <w:rsid w:val="00C965F4"/>
    <w:rsid w:val="00C96866"/>
    <w:rsid w:val="00C96FD0"/>
    <w:rsid w:val="00C97208"/>
    <w:rsid w:val="00C97256"/>
    <w:rsid w:val="00C97365"/>
    <w:rsid w:val="00C97686"/>
    <w:rsid w:val="00C979DD"/>
    <w:rsid w:val="00C97A63"/>
    <w:rsid w:val="00C97B95"/>
    <w:rsid w:val="00C97F89"/>
    <w:rsid w:val="00CA0056"/>
    <w:rsid w:val="00CA0450"/>
    <w:rsid w:val="00CA0867"/>
    <w:rsid w:val="00CA0A13"/>
    <w:rsid w:val="00CA0D5D"/>
    <w:rsid w:val="00CA0E51"/>
    <w:rsid w:val="00CA116A"/>
    <w:rsid w:val="00CA1BD4"/>
    <w:rsid w:val="00CA21AA"/>
    <w:rsid w:val="00CA2A57"/>
    <w:rsid w:val="00CA2C18"/>
    <w:rsid w:val="00CA32A1"/>
    <w:rsid w:val="00CA3931"/>
    <w:rsid w:val="00CA398F"/>
    <w:rsid w:val="00CA3DB4"/>
    <w:rsid w:val="00CA4180"/>
    <w:rsid w:val="00CA44ED"/>
    <w:rsid w:val="00CA480A"/>
    <w:rsid w:val="00CA4AB5"/>
    <w:rsid w:val="00CA4D49"/>
    <w:rsid w:val="00CA5154"/>
    <w:rsid w:val="00CA555F"/>
    <w:rsid w:val="00CA55D2"/>
    <w:rsid w:val="00CA64A6"/>
    <w:rsid w:val="00CA6556"/>
    <w:rsid w:val="00CA68A7"/>
    <w:rsid w:val="00CA6AA2"/>
    <w:rsid w:val="00CA7006"/>
    <w:rsid w:val="00CA73EE"/>
    <w:rsid w:val="00CA7428"/>
    <w:rsid w:val="00CA7452"/>
    <w:rsid w:val="00CA752F"/>
    <w:rsid w:val="00CA7A9C"/>
    <w:rsid w:val="00CA7B03"/>
    <w:rsid w:val="00CA7B5F"/>
    <w:rsid w:val="00CA7F68"/>
    <w:rsid w:val="00CB0191"/>
    <w:rsid w:val="00CB033E"/>
    <w:rsid w:val="00CB0A25"/>
    <w:rsid w:val="00CB0CD3"/>
    <w:rsid w:val="00CB0FD6"/>
    <w:rsid w:val="00CB119E"/>
    <w:rsid w:val="00CB189A"/>
    <w:rsid w:val="00CB189F"/>
    <w:rsid w:val="00CB1D4B"/>
    <w:rsid w:val="00CB2013"/>
    <w:rsid w:val="00CB20D1"/>
    <w:rsid w:val="00CB24D2"/>
    <w:rsid w:val="00CB27AB"/>
    <w:rsid w:val="00CB29D5"/>
    <w:rsid w:val="00CB29F6"/>
    <w:rsid w:val="00CB2AB2"/>
    <w:rsid w:val="00CB2D93"/>
    <w:rsid w:val="00CB2F5B"/>
    <w:rsid w:val="00CB398F"/>
    <w:rsid w:val="00CB4730"/>
    <w:rsid w:val="00CB4C10"/>
    <w:rsid w:val="00CB4DA7"/>
    <w:rsid w:val="00CB4FE3"/>
    <w:rsid w:val="00CB5143"/>
    <w:rsid w:val="00CB5438"/>
    <w:rsid w:val="00CB54DA"/>
    <w:rsid w:val="00CB54E2"/>
    <w:rsid w:val="00CB5635"/>
    <w:rsid w:val="00CB592C"/>
    <w:rsid w:val="00CB5AF2"/>
    <w:rsid w:val="00CB5E22"/>
    <w:rsid w:val="00CB63D6"/>
    <w:rsid w:val="00CB6588"/>
    <w:rsid w:val="00CB6B41"/>
    <w:rsid w:val="00CB6DC3"/>
    <w:rsid w:val="00CB7258"/>
    <w:rsid w:val="00CB72A2"/>
    <w:rsid w:val="00CB7374"/>
    <w:rsid w:val="00CB77D0"/>
    <w:rsid w:val="00CC0831"/>
    <w:rsid w:val="00CC1416"/>
    <w:rsid w:val="00CC1909"/>
    <w:rsid w:val="00CC1F16"/>
    <w:rsid w:val="00CC23BA"/>
    <w:rsid w:val="00CC23E5"/>
    <w:rsid w:val="00CC246A"/>
    <w:rsid w:val="00CC27FC"/>
    <w:rsid w:val="00CC2BBE"/>
    <w:rsid w:val="00CC2D5E"/>
    <w:rsid w:val="00CC2FD1"/>
    <w:rsid w:val="00CC3093"/>
    <w:rsid w:val="00CC3177"/>
    <w:rsid w:val="00CC3810"/>
    <w:rsid w:val="00CC4B5F"/>
    <w:rsid w:val="00CC4C49"/>
    <w:rsid w:val="00CC4CA5"/>
    <w:rsid w:val="00CC4CBD"/>
    <w:rsid w:val="00CC4D5B"/>
    <w:rsid w:val="00CC4E15"/>
    <w:rsid w:val="00CC4EB2"/>
    <w:rsid w:val="00CC5173"/>
    <w:rsid w:val="00CC51C9"/>
    <w:rsid w:val="00CC5207"/>
    <w:rsid w:val="00CC5343"/>
    <w:rsid w:val="00CC54C1"/>
    <w:rsid w:val="00CC58AB"/>
    <w:rsid w:val="00CC5C66"/>
    <w:rsid w:val="00CC6006"/>
    <w:rsid w:val="00CC68D8"/>
    <w:rsid w:val="00CC6B24"/>
    <w:rsid w:val="00CC6BF8"/>
    <w:rsid w:val="00CC6CDF"/>
    <w:rsid w:val="00CC6F5C"/>
    <w:rsid w:val="00CC76B2"/>
    <w:rsid w:val="00CC77CF"/>
    <w:rsid w:val="00CD01C4"/>
    <w:rsid w:val="00CD02C1"/>
    <w:rsid w:val="00CD049B"/>
    <w:rsid w:val="00CD0B71"/>
    <w:rsid w:val="00CD0C8B"/>
    <w:rsid w:val="00CD0FF6"/>
    <w:rsid w:val="00CD1493"/>
    <w:rsid w:val="00CD1A4D"/>
    <w:rsid w:val="00CD1B39"/>
    <w:rsid w:val="00CD1DD9"/>
    <w:rsid w:val="00CD200A"/>
    <w:rsid w:val="00CD2FF7"/>
    <w:rsid w:val="00CD35F3"/>
    <w:rsid w:val="00CD3684"/>
    <w:rsid w:val="00CD3CCC"/>
    <w:rsid w:val="00CD436B"/>
    <w:rsid w:val="00CD4DF2"/>
    <w:rsid w:val="00CD4E6A"/>
    <w:rsid w:val="00CD50B1"/>
    <w:rsid w:val="00CD5B58"/>
    <w:rsid w:val="00CD69BF"/>
    <w:rsid w:val="00CD6A83"/>
    <w:rsid w:val="00CD6EC2"/>
    <w:rsid w:val="00CD6F2D"/>
    <w:rsid w:val="00CD6FE7"/>
    <w:rsid w:val="00CD7035"/>
    <w:rsid w:val="00CD7201"/>
    <w:rsid w:val="00CD7670"/>
    <w:rsid w:val="00CD774E"/>
    <w:rsid w:val="00CD7AC3"/>
    <w:rsid w:val="00CD7E9F"/>
    <w:rsid w:val="00CD7ED2"/>
    <w:rsid w:val="00CE0192"/>
    <w:rsid w:val="00CE052C"/>
    <w:rsid w:val="00CE05B2"/>
    <w:rsid w:val="00CE0E0B"/>
    <w:rsid w:val="00CE0ED3"/>
    <w:rsid w:val="00CE10CF"/>
    <w:rsid w:val="00CE15C4"/>
    <w:rsid w:val="00CE17FA"/>
    <w:rsid w:val="00CE193C"/>
    <w:rsid w:val="00CE1C39"/>
    <w:rsid w:val="00CE2271"/>
    <w:rsid w:val="00CE2EC5"/>
    <w:rsid w:val="00CE332F"/>
    <w:rsid w:val="00CE33AD"/>
    <w:rsid w:val="00CE340A"/>
    <w:rsid w:val="00CE34C4"/>
    <w:rsid w:val="00CE3852"/>
    <w:rsid w:val="00CE3B2B"/>
    <w:rsid w:val="00CE3B4D"/>
    <w:rsid w:val="00CE3C58"/>
    <w:rsid w:val="00CE3CDA"/>
    <w:rsid w:val="00CE3EC2"/>
    <w:rsid w:val="00CE3EE0"/>
    <w:rsid w:val="00CE3F7E"/>
    <w:rsid w:val="00CE4CD5"/>
    <w:rsid w:val="00CE5559"/>
    <w:rsid w:val="00CE5941"/>
    <w:rsid w:val="00CE5EBF"/>
    <w:rsid w:val="00CE62D8"/>
    <w:rsid w:val="00CE6371"/>
    <w:rsid w:val="00CE65C5"/>
    <w:rsid w:val="00CE69EC"/>
    <w:rsid w:val="00CE6E98"/>
    <w:rsid w:val="00CE7117"/>
    <w:rsid w:val="00CE749C"/>
    <w:rsid w:val="00CE78D7"/>
    <w:rsid w:val="00CE7937"/>
    <w:rsid w:val="00CE7A36"/>
    <w:rsid w:val="00CE7BF8"/>
    <w:rsid w:val="00CE7E50"/>
    <w:rsid w:val="00CF05B3"/>
    <w:rsid w:val="00CF06AA"/>
    <w:rsid w:val="00CF072D"/>
    <w:rsid w:val="00CF0730"/>
    <w:rsid w:val="00CF0955"/>
    <w:rsid w:val="00CF0E54"/>
    <w:rsid w:val="00CF0FD7"/>
    <w:rsid w:val="00CF1166"/>
    <w:rsid w:val="00CF179A"/>
    <w:rsid w:val="00CF1A74"/>
    <w:rsid w:val="00CF1B49"/>
    <w:rsid w:val="00CF1CB1"/>
    <w:rsid w:val="00CF2359"/>
    <w:rsid w:val="00CF23CC"/>
    <w:rsid w:val="00CF2976"/>
    <w:rsid w:val="00CF2F14"/>
    <w:rsid w:val="00CF2FA7"/>
    <w:rsid w:val="00CF379F"/>
    <w:rsid w:val="00CF3812"/>
    <w:rsid w:val="00CF38BB"/>
    <w:rsid w:val="00CF394E"/>
    <w:rsid w:val="00CF3CA8"/>
    <w:rsid w:val="00CF3FDA"/>
    <w:rsid w:val="00CF4130"/>
    <w:rsid w:val="00CF41C6"/>
    <w:rsid w:val="00CF4202"/>
    <w:rsid w:val="00CF44A8"/>
    <w:rsid w:val="00CF4932"/>
    <w:rsid w:val="00CF4F0E"/>
    <w:rsid w:val="00CF57E8"/>
    <w:rsid w:val="00CF639D"/>
    <w:rsid w:val="00CF6981"/>
    <w:rsid w:val="00CF6B83"/>
    <w:rsid w:val="00CF6CD6"/>
    <w:rsid w:val="00CF6E48"/>
    <w:rsid w:val="00CF7AB4"/>
    <w:rsid w:val="00CF7D15"/>
    <w:rsid w:val="00D008D7"/>
    <w:rsid w:val="00D00945"/>
    <w:rsid w:val="00D00B75"/>
    <w:rsid w:val="00D00E70"/>
    <w:rsid w:val="00D00F28"/>
    <w:rsid w:val="00D0104E"/>
    <w:rsid w:val="00D01255"/>
    <w:rsid w:val="00D01372"/>
    <w:rsid w:val="00D01861"/>
    <w:rsid w:val="00D018A1"/>
    <w:rsid w:val="00D01A77"/>
    <w:rsid w:val="00D01C1E"/>
    <w:rsid w:val="00D0234D"/>
    <w:rsid w:val="00D0266A"/>
    <w:rsid w:val="00D026DA"/>
    <w:rsid w:val="00D02B8A"/>
    <w:rsid w:val="00D02BC6"/>
    <w:rsid w:val="00D02D1C"/>
    <w:rsid w:val="00D02D42"/>
    <w:rsid w:val="00D03090"/>
    <w:rsid w:val="00D0354A"/>
    <w:rsid w:val="00D03557"/>
    <w:rsid w:val="00D036FD"/>
    <w:rsid w:val="00D038B9"/>
    <w:rsid w:val="00D04CEC"/>
    <w:rsid w:val="00D04E62"/>
    <w:rsid w:val="00D051E7"/>
    <w:rsid w:val="00D05637"/>
    <w:rsid w:val="00D0583E"/>
    <w:rsid w:val="00D05D62"/>
    <w:rsid w:val="00D05E21"/>
    <w:rsid w:val="00D05E3A"/>
    <w:rsid w:val="00D05FD8"/>
    <w:rsid w:val="00D06250"/>
    <w:rsid w:val="00D06409"/>
    <w:rsid w:val="00D06BF3"/>
    <w:rsid w:val="00D06E55"/>
    <w:rsid w:val="00D06E6B"/>
    <w:rsid w:val="00D0706E"/>
    <w:rsid w:val="00D0721B"/>
    <w:rsid w:val="00D07857"/>
    <w:rsid w:val="00D07861"/>
    <w:rsid w:val="00D07885"/>
    <w:rsid w:val="00D1042C"/>
    <w:rsid w:val="00D109E6"/>
    <w:rsid w:val="00D10A52"/>
    <w:rsid w:val="00D10EE5"/>
    <w:rsid w:val="00D11242"/>
    <w:rsid w:val="00D1190C"/>
    <w:rsid w:val="00D11994"/>
    <w:rsid w:val="00D1279C"/>
    <w:rsid w:val="00D1299B"/>
    <w:rsid w:val="00D12C1C"/>
    <w:rsid w:val="00D12D0A"/>
    <w:rsid w:val="00D12D1F"/>
    <w:rsid w:val="00D12F6E"/>
    <w:rsid w:val="00D13155"/>
    <w:rsid w:val="00D13281"/>
    <w:rsid w:val="00D14252"/>
    <w:rsid w:val="00D14465"/>
    <w:rsid w:val="00D1475F"/>
    <w:rsid w:val="00D1487F"/>
    <w:rsid w:val="00D14DD5"/>
    <w:rsid w:val="00D153D6"/>
    <w:rsid w:val="00D153D7"/>
    <w:rsid w:val="00D15F95"/>
    <w:rsid w:val="00D166D7"/>
    <w:rsid w:val="00D1680B"/>
    <w:rsid w:val="00D16A5D"/>
    <w:rsid w:val="00D170F4"/>
    <w:rsid w:val="00D171F3"/>
    <w:rsid w:val="00D174C9"/>
    <w:rsid w:val="00D178E1"/>
    <w:rsid w:val="00D17D54"/>
    <w:rsid w:val="00D209A4"/>
    <w:rsid w:val="00D20AD2"/>
    <w:rsid w:val="00D20AD5"/>
    <w:rsid w:val="00D2130B"/>
    <w:rsid w:val="00D21592"/>
    <w:rsid w:val="00D22292"/>
    <w:rsid w:val="00D222D9"/>
    <w:rsid w:val="00D22371"/>
    <w:rsid w:val="00D2268B"/>
    <w:rsid w:val="00D227F4"/>
    <w:rsid w:val="00D2295B"/>
    <w:rsid w:val="00D22AA1"/>
    <w:rsid w:val="00D22B0F"/>
    <w:rsid w:val="00D22E83"/>
    <w:rsid w:val="00D23256"/>
    <w:rsid w:val="00D232EC"/>
    <w:rsid w:val="00D23B35"/>
    <w:rsid w:val="00D23C43"/>
    <w:rsid w:val="00D23DE8"/>
    <w:rsid w:val="00D23EE2"/>
    <w:rsid w:val="00D23F20"/>
    <w:rsid w:val="00D24139"/>
    <w:rsid w:val="00D24289"/>
    <w:rsid w:val="00D2491D"/>
    <w:rsid w:val="00D24ADA"/>
    <w:rsid w:val="00D24D68"/>
    <w:rsid w:val="00D24EB8"/>
    <w:rsid w:val="00D252B5"/>
    <w:rsid w:val="00D25303"/>
    <w:rsid w:val="00D253A1"/>
    <w:rsid w:val="00D258C5"/>
    <w:rsid w:val="00D25C1F"/>
    <w:rsid w:val="00D25DAA"/>
    <w:rsid w:val="00D26135"/>
    <w:rsid w:val="00D26157"/>
    <w:rsid w:val="00D26C42"/>
    <w:rsid w:val="00D2751E"/>
    <w:rsid w:val="00D27845"/>
    <w:rsid w:val="00D2787B"/>
    <w:rsid w:val="00D27BFC"/>
    <w:rsid w:val="00D27C19"/>
    <w:rsid w:val="00D27C8C"/>
    <w:rsid w:val="00D27D73"/>
    <w:rsid w:val="00D30089"/>
    <w:rsid w:val="00D300A7"/>
    <w:rsid w:val="00D30723"/>
    <w:rsid w:val="00D308D8"/>
    <w:rsid w:val="00D3137F"/>
    <w:rsid w:val="00D31949"/>
    <w:rsid w:val="00D31C6F"/>
    <w:rsid w:val="00D3243E"/>
    <w:rsid w:val="00D32B3C"/>
    <w:rsid w:val="00D32BCC"/>
    <w:rsid w:val="00D331D0"/>
    <w:rsid w:val="00D3325E"/>
    <w:rsid w:val="00D33388"/>
    <w:rsid w:val="00D33542"/>
    <w:rsid w:val="00D33E59"/>
    <w:rsid w:val="00D33F58"/>
    <w:rsid w:val="00D3416A"/>
    <w:rsid w:val="00D34671"/>
    <w:rsid w:val="00D34E3E"/>
    <w:rsid w:val="00D353F7"/>
    <w:rsid w:val="00D35A8B"/>
    <w:rsid w:val="00D35ABD"/>
    <w:rsid w:val="00D35ACF"/>
    <w:rsid w:val="00D35BB5"/>
    <w:rsid w:val="00D35D4F"/>
    <w:rsid w:val="00D35DB1"/>
    <w:rsid w:val="00D36672"/>
    <w:rsid w:val="00D367B9"/>
    <w:rsid w:val="00D36CB6"/>
    <w:rsid w:val="00D37004"/>
    <w:rsid w:val="00D3766E"/>
    <w:rsid w:val="00D37E04"/>
    <w:rsid w:val="00D37E4C"/>
    <w:rsid w:val="00D37F17"/>
    <w:rsid w:val="00D4017F"/>
    <w:rsid w:val="00D4029C"/>
    <w:rsid w:val="00D40316"/>
    <w:rsid w:val="00D405CC"/>
    <w:rsid w:val="00D40F2D"/>
    <w:rsid w:val="00D40FD2"/>
    <w:rsid w:val="00D41395"/>
    <w:rsid w:val="00D41469"/>
    <w:rsid w:val="00D4185D"/>
    <w:rsid w:val="00D418EC"/>
    <w:rsid w:val="00D4219B"/>
    <w:rsid w:val="00D42343"/>
    <w:rsid w:val="00D42404"/>
    <w:rsid w:val="00D42432"/>
    <w:rsid w:val="00D425F4"/>
    <w:rsid w:val="00D42714"/>
    <w:rsid w:val="00D42CCE"/>
    <w:rsid w:val="00D43163"/>
    <w:rsid w:val="00D435A6"/>
    <w:rsid w:val="00D43F2F"/>
    <w:rsid w:val="00D441E7"/>
    <w:rsid w:val="00D44661"/>
    <w:rsid w:val="00D4491F"/>
    <w:rsid w:val="00D44AFC"/>
    <w:rsid w:val="00D4533A"/>
    <w:rsid w:val="00D4593E"/>
    <w:rsid w:val="00D4594D"/>
    <w:rsid w:val="00D45A2A"/>
    <w:rsid w:val="00D45A3B"/>
    <w:rsid w:val="00D45B93"/>
    <w:rsid w:val="00D4615F"/>
    <w:rsid w:val="00D461BD"/>
    <w:rsid w:val="00D462A7"/>
    <w:rsid w:val="00D462D5"/>
    <w:rsid w:val="00D46413"/>
    <w:rsid w:val="00D4645B"/>
    <w:rsid w:val="00D465D6"/>
    <w:rsid w:val="00D467B8"/>
    <w:rsid w:val="00D46906"/>
    <w:rsid w:val="00D46948"/>
    <w:rsid w:val="00D46D12"/>
    <w:rsid w:val="00D46FEB"/>
    <w:rsid w:val="00D474A7"/>
    <w:rsid w:val="00D47597"/>
    <w:rsid w:val="00D47659"/>
    <w:rsid w:val="00D47D18"/>
    <w:rsid w:val="00D50539"/>
    <w:rsid w:val="00D50A5D"/>
    <w:rsid w:val="00D50C7D"/>
    <w:rsid w:val="00D50E65"/>
    <w:rsid w:val="00D513B4"/>
    <w:rsid w:val="00D51542"/>
    <w:rsid w:val="00D51CBD"/>
    <w:rsid w:val="00D51E61"/>
    <w:rsid w:val="00D52245"/>
    <w:rsid w:val="00D52643"/>
    <w:rsid w:val="00D52DFF"/>
    <w:rsid w:val="00D53899"/>
    <w:rsid w:val="00D540E8"/>
    <w:rsid w:val="00D54491"/>
    <w:rsid w:val="00D54A3D"/>
    <w:rsid w:val="00D54B1E"/>
    <w:rsid w:val="00D54D65"/>
    <w:rsid w:val="00D54F6B"/>
    <w:rsid w:val="00D550B7"/>
    <w:rsid w:val="00D55127"/>
    <w:rsid w:val="00D551F3"/>
    <w:rsid w:val="00D552FA"/>
    <w:rsid w:val="00D55BDD"/>
    <w:rsid w:val="00D5620D"/>
    <w:rsid w:val="00D56398"/>
    <w:rsid w:val="00D566C3"/>
    <w:rsid w:val="00D5679E"/>
    <w:rsid w:val="00D5691B"/>
    <w:rsid w:val="00D56FD5"/>
    <w:rsid w:val="00D577B9"/>
    <w:rsid w:val="00D60249"/>
    <w:rsid w:val="00D6040B"/>
    <w:rsid w:val="00D60642"/>
    <w:rsid w:val="00D60AC8"/>
    <w:rsid w:val="00D60B8A"/>
    <w:rsid w:val="00D6152A"/>
    <w:rsid w:val="00D616FB"/>
    <w:rsid w:val="00D6170C"/>
    <w:rsid w:val="00D61E30"/>
    <w:rsid w:val="00D62074"/>
    <w:rsid w:val="00D62105"/>
    <w:rsid w:val="00D6251B"/>
    <w:rsid w:val="00D62564"/>
    <w:rsid w:val="00D6288A"/>
    <w:rsid w:val="00D6295F"/>
    <w:rsid w:val="00D62C19"/>
    <w:rsid w:val="00D62E70"/>
    <w:rsid w:val="00D62F46"/>
    <w:rsid w:val="00D6300F"/>
    <w:rsid w:val="00D63045"/>
    <w:rsid w:val="00D630C4"/>
    <w:rsid w:val="00D637B5"/>
    <w:rsid w:val="00D639BB"/>
    <w:rsid w:val="00D63A93"/>
    <w:rsid w:val="00D63B7E"/>
    <w:rsid w:val="00D63DB4"/>
    <w:rsid w:val="00D64433"/>
    <w:rsid w:val="00D6486C"/>
    <w:rsid w:val="00D64AC9"/>
    <w:rsid w:val="00D64C79"/>
    <w:rsid w:val="00D65843"/>
    <w:rsid w:val="00D6642E"/>
    <w:rsid w:val="00D66474"/>
    <w:rsid w:val="00D6658C"/>
    <w:rsid w:val="00D66802"/>
    <w:rsid w:val="00D66E89"/>
    <w:rsid w:val="00D671A0"/>
    <w:rsid w:val="00D6775A"/>
    <w:rsid w:val="00D67765"/>
    <w:rsid w:val="00D677D6"/>
    <w:rsid w:val="00D67AD8"/>
    <w:rsid w:val="00D67F0D"/>
    <w:rsid w:val="00D704FD"/>
    <w:rsid w:val="00D70734"/>
    <w:rsid w:val="00D707E2"/>
    <w:rsid w:val="00D70B53"/>
    <w:rsid w:val="00D70D86"/>
    <w:rsid w:val="00D7173D"/>
    <w:rsid w:val="00D71ADB"/>
    <w:rsid w:val="00D71BDD"/>
    <w:rsid w:val="00D72848"/>
    <w:rsid w:val="00D7289B"/>
    <w:rsid w:val="00D728BB"/>
    <w:rsid w:val="00D72B74"/>
    <w:rsid w:val="00D72D8F"/>
    <w:rsid w:val="00D73364"/>
    <w:rsid w:val="00D7363A"/>
    <w:rsid w:val="00D737ED"/>
    <w:rsid w:val="00D737F7"/>
    <w:rsid w:val="00D7398B"/>
    <w:rsid w:val="00D73BE4"/>
    <w:rsid w:val="00D74F27"/>
    <w:rsid w:val="00D754B6"/>
    <w:rsid w:val="00D7555B"/>
    <w:rsid w:val="00D75573"/>
    <w:rsid w:val="00D75946"/>
    <w:rsid w:val="00D75BED"/>
    <w:rsid w:val="00D75CCD"/>
    <w:rsid w:val="00D75CD2"/>
    <w:rsid w:val="00D75EC2"/>
    <w:rsid w:val="00D76306"/>
    <w:rsid w:val="00D770D7"/>
    <w:rsid w:val="00D771E3"/>
    <w:rsid w:val="00D7720A"/>
    <w:rsid w:val="00D80AD0"/>
    <w:rsid w:val="00D80DB9"/>
    <w:rsid w:val="00D813F2"/>
    <w:rsid w:val="00D814A2"/>
    <w:rsid w:val="00D81752"/>
    <w:rsid w:val="00D817CB"/>
    <w:rsid w:val="00D81898"/>
    <w:rsid w:val="00D818A1"/>
    <w:rsid w:val="00D81929"/>
    <w:rsid w:val="00D8198E"/>
    <w:rsid w:val="00D81BEC"/>
    <w:rsid w:val="00D81CBC"/>
    <w:rsid w:val="00D820C4"/>
    <w:rsid w:val="00D82728"/>
    <w:rsid w:val="00D827F6"/>
    <w:rsid w:val="00D8280B"/>
    <w:rsid w:val="00D82C56"/>
    <w:rsid w:val="00D82FB1"/>
    <w:rsid w:val="00D8319F"/>
    <w:rsid w:val="00D83295"/>
    <w:rsid w:val="00D832C4"/>
    <w:rsid w:val="00D83309"/>
    <w:rsid w:val="00D83384"/>
    <w:rsid w:val="00D83440"/>
    <w:rsid w:val="00D8348A"/>
    <w:rsid w:val="00D834D1"/>
    <w:rsid w:val="00D834E9"/>
    <w:rsid w:val="00D835B5"/>
    <w:rsid w:val="00D8367D"/>
    <w:rsid w:val="00D83691"/>
    <w:rsid w:val="00D83B35"/>
    <w:rsid w:val="00D83C14"/>
    <w:rsid w:val="00D83F98"/>
    <w:rsid w:val="00D84450"/>
    <w:rsid w:val="00D846BC"/>
    <w:rsid w:val="00D847A8"/>
    <w:rsid w:val="00D8497F"/>
    <w:rsid w:val="00D84C92"/>
    <w:rsid w:val="00D84C9A"/>
    <w:rsid w:val="00D851CB"/>
    <w:rsid w:val="00D85217"/>
    <w:rsid w:val="00D853C5"/>
    <w:rsid w:val="00D855D4"/>
    <w:rsid w:val="00D85BD4"/>
    <w:rsid w:val="00D85D7A"/>
    <w:rsid w:val="00D85FBD"/>
    <w:rsid w:val="00D863FF"/>
    <w:rsid w:val="00D8642B"/>
    <w:rsid w:val="00D8653C"/>
    <w:rsid w:val="00D8693A"/>
    <w:rsid w:val="00D87249"/>
    <w:rsid w:val="00D87394"/>
    <w:rsid w:val="00D87832"/>
    <w:rsid w:val="00D878DE"/>
    <w:rsid w:val="00D87D85"/>
    <w:rsid w:val="00D90556"/>
    <w:rsid w:val="00D90FFE"/>
    <w:rsid w:val="00D910A4"/>
    <w:rsid w:val="00D91242"/>
    <w:rsid w:val="00D9176E"/>
    <w:rsid w:val="00D91892"/>
    <w:rsid w:val="00D91D85"/>
    <w:rsid w:val="00D91F31"/>
    <w:rsid w:val="00D91F70"/>
    <w:rsid w:val="00D92046"/>
    <w:rsid w:val="00D9230C"/>
    <w:rsid w:val="00D93227"/>
    <w:rsid w:val="00D937B3"/>
    <w:rsid w:val="00D938CA"/>
    <w:rsid w:val="00D93E93"/>
    <w:rsid w:val="00D93F48"/>
    <w:rsid w:val="00D94038"/>
    <w:rsid w:val="00D94245"/>
    <w:rsid w:val="00D94361"/>
    <w:rsid w:val="00D944AB"/>
    <w:rsid w:val="00D94590"/>
    <w:rsid w:val="00D951F9"/>
    <w:rsid w:val="00D956CB"/>
    <w:rsid w:val="00D95780"/>
    <w:rsid w:val="00D957E8"/>
    <w:rsid w:val="00D95B6A"/>
    <w:rsid w:val="00D95EE2"/>
    <w:rsid w:val="00D963DA"/>
    <w:rsid w:val="00D9670F"/>
    <w:rsid w:val="00D96782"/>
    <w:rsid w:val="00D969A3"/>
    <w:rsid w:val="00D97194"/>
    <w:rsid w:val="00D9757B"/>
    <w:rsid w:val="00D97745"/>
    <w:rsid w:val="00D977A2"/>
    <w:rsid w:val="00D978DB"/>
    <w:rsid w:val="00D97A90"/>
    <w:rsid w:val="00D97C71"/>
    <w:rsid w:val="00D97E8A"/>
    <w:rsid w:val="00DA0058"/>
    <w:rsid w:val="00DA011D"/>
    <w:rsid w:val="00DA02DD"/>
    <w:rsid w:val="00DA04D0"/>
    <w:rsid w:val="00DA0A74"/>
    <w:rsid w:val="00DA0AC8"/>
    <w:rsid w:val="00DA0CEA"/>
    <w:rsid w:val="00DA0F65"/>
    <w:rsid w:val="00DA0FAC"/>
    <w:rsid w:val="00DA138D"/>
    <w:rsid w:val="00DA148D"/>
    <w:rsid w:val="00DA1688"/>
    <w:rsid w:val="00DA1894"/>
    <w:rsid w:val="00DA1D46"/>
    <w:rsid w:val="00DA1E2C"/>
    <w:rsid w:val="00DA22E9"/>
    <w:rsid w:val="00DA2357"/>
    <w:rsid w:val="00DA27EC"/>
    <w:rsid w:val="00DA2A21"/>
    <w:rsid w:val="00DA2BF8"/>
    <w:rsid w:val="00DA2E75"/>
    <w:rsid w:val="00DA311B"/>
    <w:rsid w:val="00DA32A7"/>
    <w:rsid w:val="00DA35E8"/>
    <w:rsid w:val="00DA3EF5"/>
    <w:rsid w:val="00DA41D5"/>
    <w:rsid w:val="00DA43FA"/>
    <w:rsid w:val="00DA45A7"/>
    <w:rsid w:val="00DA4CD4"/>
    <w:rsid w:val="00DA4E73"/>
    <w:rsid w:val="00DA56D6"/>
    <w:rsid w:val="00DA5845"/>
    <w:rsid w:val="00DA58BB"/>
    <w:rsid w:val="00DA5ACC"/>
    <w:rsid w:val="00DA610A"/>
    <w:rsid w:val="00DA6195"/>
    <w:rsid w:val="00DA6B62"/>
    <w:rsid w:val="00DA6CDE"/>
    <w:rsid w:val="00DA6F3C"/>
    <w:rsid w:val="00DA73BA"/>
    <w:rsid w:val="00DA7EDE"/>
    <w:rsid w:val="00DB04FE"/>
    <w:rsid w:val="00DB0B9E"/>
    <w:rsid w:val="00DB157F"/>
    <w:rsid w:val="00DB1E80"/>
    <w:rsid w:val="00DB20AB"/>
    <w:rsid w:val="00DB2173"/>
    <w:rsid w:val="00DB2334"/>
    <w:rsid w:val="00DB2766"/>
    <w:rsid w:val="00DB2807"/>
    <w:rsid w:val="00DB28EC"/>
    <w:rsid w:val="00DB2A88"/>
    <w:rsid w:val="00DB2BB0"/>
    <w:rsid w:val="00DB31A5"/>
    <w:rsid w:val="00DB375D"/>
    <w:rsid w:val="00DB39E7"/>
    <w:rsid w:val="00DB3BAE"/>
    <w:rsid w:val="00DB3D69"/>
    <w:rsid w:val="00DB42AC"/>
    <w:rsid w:val="00DB4357"/>
    <w:rsid w:val="00DB4574"/>
    <w:rsid w:val="00DB4855"/>
    <w:rsid w:val="00DB48E4"/>
    <w:rsid w:val="00DB48F3"/>
    <w:rsid w:val="00DB4B45"/>
    <w:rsid w:val="00DB4D66"/>
    <w:rsid w:val="00DB4FD9"/>
    <w:rsid w:val="00DB5014"/>
    <w:rsid w:val="00DB58BA"/>
    <w:rsid w:val="00DB6026"/>
    <w:rsid w:val="00DB655F"/>
    <w:rsid w:val="00DB6731"/>
    <w:rsid w:val="00DB6838"/>
    <w:rsid w:val="00DB6D14"/>
    <w:rsid w:val="00DB6FE8"/>
    <w:rsid w:val="00DB7576"/>
    <w:rsid w:val="00DB77EA"/>
    <w:rsid w:val="00DB7921"/>
    <w:rsid w:val="00DB7972"/>
    <w:rsid w:val="00DB7AE2"/>
    <w:rsid w:val="00DB7C64"/>
    <w:rsid w:val="00DC010E"/>
    <w:rsid w:val="00DC065A"/>
    <w:rsid w:val="00DC07FB"/>
    <w:rsid w:val="00DC0854"/>
    <w:rsid w:val="00DC0884"/>
    <w:rsid w:val="00DC0D2E"/>
    <w:rsid w:val="00DC104A"/>
    <w:rsid w:val="00DC133C"/>
    <w:rsid w:val="00DC137E"/>
    <w:rsid w:val="00DC164F"/>
    <w:rsid w:val="00DC16D9"/>
    <w:rsid w:val="00DC19B8"/>
    <w:rsid w:val="00DC2067"/>
    <w:rsid w:val="00DC2295"/>
    <w:rsid w:val="00DC2778"/>
    <w:rsid w:val="00DC28D4"/>
    <w:rsid w:val="00DC3310"/>
    <w:rsid w:val="00DC3352"/>
    <w:rsid w:val="00DC3413"/>
    <w:rsid w:val="00DC34D0"/>
    <w:rsid w:val="00DC34FA"/>
    <w:rsid w:val="00DC378D"/>
    <w:rsid w:val="00DC37EC"/>
    <w:rsid w:val="00DC37F0"/>
    <w:rsid w:val="00DC388B"/>
    <w:rsid w:val="00DC3EC5"/>
    <w:rsid w:val="00DC48DE"/>
    <w:rsid w:val="00DC4C5C"/>
    <w:rsid w:val="00DC4E13"/>
    <w:rsid w:val="00DC54D5"/>
    <w:rsid w:val="00DC5612"/>
    <w:rsid w:val="00DC5BEA"/>
    <w:rsid w:val="00DC6587"/>
    <w:rsid w:val="00DC6A6F"/>
    <w:rsid w:val="00DC6C05"/>
    <w:rsid w:val="00DC6DE1"/>
    <w:rsid w:val="00DC705C"/>
    <w:rsid w:val="00DC7120"/>
    <w:rsid w:val="00DC715B"/>
    <w:rsid w:val="00DC7254"/>
    <w:rsid w:val="00DC74D5"/>
    <w:rsid w:val="00DC7654"/>
    <w:rsid w:val="00DC7679"/>
    <w:rsid w:val="00DC7926"/>
    <w:rsid w:val="00DC7ADD"/>
    <w:rsid w:val="00DC7CD4"/>
    <w:rsid w:val="00DD0102"/>
    <w:rsid w:val="00DD0125"/>
    <w:rsid w:val="00DD03C4"/>
    <w:rsid w:val="00DD08B7"/>
    <w:rsid w:val="00DD0B05"/>
    <w:rsid w:val="00DD0B18"/>
    <w:rsid w:val="00DD10D0"/>
    <w:rsid w:val="00DD11C5"/>
    <w:rsid w:val="00DD13FD"/>
    <w:rsid w:val="00DD1555"/>
    <w:rsid w:val="00DD15F8"/>
    <w:rsid w:val="00DD185A"/>
    <w:rsid w:val="00DD1F42"/>
    <w:rsid w:val="00DD21B7"/>
    <w:rsid w:val="00DD22E8"/>
    <w:rsid w:val="00DD28AD"/>
    <w:rsid w:val="00DD292C"/>
    <w:rsid w:val="00DD2EEF"/>
    <w:rsid w:val="00DD320D"/>
    <w:rsid w:val="00DD3422"/>
    <w:rsid w:val="00DD36E3"/>
    <w:rsid w:val="00DD36F5"/>
    <w:rsid w:val="00DD388F"/>
    <w:rsid w:val="00DD3DD6"/>
    <w:rsid w:val="00DD3E87"/>
    <w:rsid w:val="00DD4116"/>
    <w:rsid w:val="00DD4329"/>
    <w:rsid w:val="00DD43B9"/>
    <w:rsid w:val="00DD45DE"/>
    <w:rsid w:val="00DD4715"/>
    <w:rsid w:val="00DD4BF6"/>
    <w:rsid w:val="00DD4F9B"/>
    <w:rsid w:val="00DD504F"/>
    <w:rsid w:val="00DD50BE"/>
    <w:rsid w:val="00DD5120"/>
    <w:rsid w:val="00DD5747"/>
    <w:rsid w:val="00DD5D97"/>
    <w:rsid w:val="00DD5E17"/>
    <w:rsid w:val="00DD5F2C"/>
    <w:rsid w:val="00DD61B7"/>
    <w:rsid w:val="00DD61E1"/>
    <w:rsid w:val="00DD66A1"/>
    <w:rsid w:val="00DD75A9"/>
    <w:rsid w:val="00DD7724"/>
    <w:rsid w:val="00DD7A4F"/>
    <w:rsid w:val="00DD7B3E"/>
    <w:rsid w:val="00DD7CF2"/>
    <w:rsid w:val="00DD7CF5"/>
    <w:rsid w:val="00DE03D9"/>
    <w:rsid w:val="00DE03DD"/>
    <w:rsid w:val="00DE0780"/>
    <w:rsid w:val="00DE0E74"/>
    <w:rsid w:val="00DE124D"/>
    <w:rsid w:val="00DE139C"/>
    <w:rsid w:val="00DE1438"/>
    <w:rsid w:val="00DE1739"/>
    <w:rsid w:val="00DE179B"/>
    <w:rsid w:val="00DE1B1B"/>
    <w:rsid w:val="00DE1BFA"/>
    <w:rsid w:val="00DE2526"/>
    <w:rsid w:val="00DE2554"/>
    <w:rsid w:val="00DE26B5"/>
    <w:rsid w:val="00DE3498"/>
    <w:rsid w:val="00DE34ED"/>
    <w:rsid w:val="00DE3769"/>
    <w:rsid w:val="00DE37A9"/>
    <w:rsid w:val="00DE3C44"/>
    <w:rsid w:val="00DE3E1A"/>
    <w:rsid w:val="00DE3F18"/>
    <w:rsid w:val="00DE40DC"/>
    <w:rsid w:val="00DE4554"/>
    <w:rsid w:val="00DE4BE1"/>
    <w:rsid w:val="00DE5062"/>
    <w:rsid w:val="00DE5803"/>
    <w:rsid w:val="00DE59CF"/>
    <w:rsid w:val="00DE5DCE"/>
    <w:rsid w:val="00DE5E8B"/>
    <w:rsid w:val="00DE661F"/>
    <w:rsid w:val="00DE67AE"/>
    <w:rsid w:val="00DE6AC2"/>
    <w:rsid w:val="00DE7190"/>
    <w:rsid w:val="00DE74B8"/>
    <w:rsid w:val="00DE75A3"/>
    <w:rsid w:val="00DE76D9"/>
    <w:rsid w:val="00DE775A"/>
    <w:rsid w:val="00DE7C09"/>
    <w:rsid w:val="00DE7D00"/>
    <w:rsid w:val="00DE7FAC"/>
    <w:rsid w:val="00DF010C"/>
    <w:rsid w:val="00DF04F6"/>
    <w:rsid w:val="00DF09B9"/>
    <w:rsid w:val="00DF0FFC"/>
    <w:rsid w:val="00DF128B"/>
    <w:rsid w:val="00DF144F"/>
    <w:rsid w:val="00DF15CA"/>
    <w:rsid w:val="00DF1B04"/>
    <w:rsid w:val="00DF233D"/>
    <w:rsid w:val="00DF2C81"/>
    <w:rsid w:val="00DF3063"/>
    <w:rsid w:val="00DF355F"/>
    <w:rsid w:val="00DF37C9"/>
    <w:rsid w:val="00DF38D3"/>
    <w:rsid w:val="00DF39A6"/>
    <w:rsid w:val="00DF39D7"/>
    <w:rsid w:val="00DF3A6F"/>
    <w:rsid w:val="00DF3A78"/>
    <w:rsid w:val="00DF3CEF"/>
    <w:rsid w:val="00DF3D05"/>
    <w:rsid w:val="00DF3D28"/>
    <w:rsid w:val="00DF3DC0"/>
    <w:rsid w:val="00DF4084"/>
    <w:rsid w:val="00DF4420"/>
    <w:rsid w:val="00DF4AD8"/>
    <w:rsid w:val="00DF50EB"/>
    <w:rsid w:val="00DF51A1"/>
    <w:rsid w:val="00DF5F46"/>
    <w:rsid w:val="00DF63A2"/>
    <w:rsid w:val="00DF6884"/>
    <w:rsid w:val="00DF6EB8"/>
    <w:rsid w:val="00DF7204"/>
    <w:rsid w:val="00DF72AD"/>
    <w:rsid w:val="00DF74D8"/>
    <w:rsid w:val="00DF7589"/>
    <w:rsid w:val="00DF7B09"/>
    <w:rsid w:val="00E00028"/>
    <w:rsid w:val="00E00110"/>
    <w:rsid w:val="00E00162"/>
    <w:rsid w:val="00E009D0"/>
    <w:rsid w:val="00E00CF5"/>
    <w:rsid w:val="00E00EB2"/>
    <w:rsid w:val="00E00F9B"/>
    <w:rsid w:val="00E015A8"/>
    <w:rsid w:val="00E016FC"/>
    <w:rsid w:val="00E01A44"/>
    <w:rsid w:val="00E01DF9"/>
    <w:rsid w:val="00E022D0"/>
    <w:rsid w:val="00E02751"/>
    <w:rsid w:val="00E02A41"/>
    <w:rsid w:val="00E02A79"/>
    <w:rsid w:val="00E02C3A"/>
    <w:rsid w:val="00E03073"/>
    <w:rsid w:val="00E033C3"/>
    <w:rsid w:val="00E03630"/>
    <w:rsid w:val="00E0464A"/>
    <w:rsid w:val="00E04871"/>
    <w:rsid w:val="00E05112"/>
    <w:rsid w:val="00E05219"/>
    <w:rsid w:val="00E0527F"/>
    <w:rsid w:val="00E059A7"/>
    <w:rsid w:val="00E05A25"/>
    <w:rsid w:val="00E05D63"/>
    <w:rsid w:val="00E064CA"/>
    <w:rsid w:val="00E07773"/>
    <w:rsid w:val="00E07E27"/>
    <w:rsid w:val="00E1023C"/>
    <w:rsid w:val="00E10660"/>
    <w:rsid w:val="00E109A9"/>
    <w:rsid w:val="00E10E58"/>
    <w:rsid w:val="00E113F6"/>
    <w:rsid w:val="00E1178C"/>
    <w:rsid w:val="00E12014"/>
    <w:rsid w:val="00E12415"/>
    <w:rsid w:val="00E12BA8"/>
    <w:rsid w:val="00E12EBA"/>
    <w:rsid w:val="00E130C1"/>
    <w:rsid w:val="00E130D8"/>
    <w:rsid w:val="00E13429"/>
    <w:rsid w:val="00E13CDE"/>
    <w:rsid w:val="00E13FBD"/>
    <w:rsid w:val="00E14576"/>
    <w:rsid w:val="00E14BC8"/>
    <w:rsid w:val="00E14CFB"/>
    <w:rsid w:val="00E14DD2"/>
    <w:rsid w:val="00E14F54"/>
    <w:rsid w:val="00E14FC3"/>
    <w:rsid w:val="00E1503F"/>
    <w:rsid w:val="00E153F2"/>
    <w:rsid w:val="00E155E7"/>
    <w:rsid w:val="00E15718"/>
    <w:rsid w:val="00E1590A"/>
    <w:rsid w:val="00E15D9A"/>
    <w:rsid w:val="00E15E0A"/>
    <w:rsid w:val="00E16250"/>
    <w:rsid w:val="00E1666C"/>
    <w:rsid w:val="00E1684C"/>
    <w:rsid w:val="00E16E97"/>
    <w:rsid w:val="00E17911"/>
    <w:rsid w:val="00E17C60"/>
    <w:rsid w:val="00E17E0A"/>
    <w:rsid w:val="00E17F76"/>
    <w:rsid w:val="00E20334"/>
    <w:rsid w:val="00E204B1"/>
    <w:rsid w:val="00E2073C"/>
    <w:rsid w:val="00E2097F"/>
    <w:rsid w:val="00E20ABE"/>
    <w:rsid w:val="00E20C86"/>
    <w:rsid w:val="00E20EB5"/>
    <w:rsid w:val="00E21276"/>
    <w:rsid w:val="00E21711"/>
    <w:rsid w:val="00E21C8A"/>
    <w:rsid w:val="00E22298"/>
    <w:rsid w:val="00E22539"/>
    <w:rsid w:val="00E22D96"/>
    <w:rsid w:val="00E22E90"/>
    <w:rsid w:val="00E23591"/>
    <w:rsid w:val="00E23721"/>
    <w:rsid w:val="00E237CC"/>
    <w:rsid w:val="00E241DC"/>
    <w:rsid w:val="00E242CD"/>
    <w:rsid w:val="00E24315"/>
    <w:rsid w:val="00E243B9"/>
    <w:rsid w:val="00E246C6"/>
    <w:rsid w:val="00E2475B"/>
    <w:rsid w:val="00E24B3A"/>
    <w:rsid w:val="00E24C2E"/>
    <w:rsid w:val="00E24E25"/>
    <w:rsid w:val="00E24E27"/>
    <w:rsid w:val="00E25024"/>
    <w:rsid w:val="00E25286"/>
    <w:rsid w:val="00E253BD"/>
    <w:rsid w:val="00E2541A"/>
    <w:rsid w:val="00E25B15"/>
    <w:rsid w:val="00E26511"/>
    <w:rsid w:val="00E26B1B"/>
    <w:rsid w:val="00E26BB9"/>
    <w:rsid w:val="00E26C32"/>
    <w:rsid w:val="00E26C3C"/>
    <w:rsid w:val="00E26EFE"/>
    <w:rsid w:val="00E2710B"/>
    <w:rsid w:val="00E2722D"/>
    <w:rsid w:val="00E274F9"/>
    <w:rsid w:val="00E27504"/>
    <w:rsid w:val="00E27887"/>
    <w:rsid w:val="00E27A4A"/>
    <w:rsid w:val="00E300F8"/>
    <w:rsid w:val="00E3020D"/>
    <w:rsid w:val="00E30322"/>
    <w:rsid w:val="00E30486"/>
    <w:rsid w:val="00E30489"/>
    <w:rsid w:val="00E30777"/>
    <w:rsid w:val="00E30A1A"/>
    <w:rsid w:val="00E30F42"/>
    <w:rsid w:val="00E31156"/>
    <w:rsid w:val="00E317F2"/>
    <w:rsid w:val="00E31A85"/>
    <w:rsid w:val="00E3262B"/>
    <w:rsid w:val="00E32906"/>
    <w:rsid w:val="00E32F08"/>
    <w:rsid w:val="00E330EA"/>
    <w:rsid w:val="00E336A6"/>
    <w:rsid w:val="00E33889"/>
    <w:rsid w:val="00E3396B"/>
    <w:rsid w:val="00E33B3E"/>
    <w:rsid w:val="00E33CBC"/>
    <w:rsid w:val="00E33D15"/>
    <w:rsid w:val="00E33DF8"/>
    <w:rsid w:val="00E33E78"/>
    <w:rsid w:val="00E33FE5"/>
    <w:rsid w:val="00E3430B"/>
    <w:rsid w:val="00E344D1"/>
    <w:rsid w:val="00E34B1A"/>
    <w:rsid w:val="00E34DAB"/>
    <w:rsid w:val="00E35481"/>
    <w:rsid w:val="00E35482"/>
    <w:rsid w:val="00E354EC"/>
    <w:rsid w:val="00E35A34"/>
    <w:rsid w:val="00E36996"/>
    <w:rsid w:val="00E36C4F"/>
    <w:rsid w:val="00E36D83"/>
    <w:rsid w:val="00E372FE"/>
    <w:rsid w:val="00E373C1"/>
    <w:rsid w:val="00E376DD"/>
    <w:rsid w:val="00E376F0"/>
    <w:rsid w:val="00E378BC"/>
    <w:rsid w:val="00E37AF3"/>
    <w:rsid w:val="00E37D50"/>
    <w:rsid w:val="00E37DD8"/>
    <w:rsid w:val="00E40207"/>
    <w:rsid w:val="00E4119F"/>
    <w:rsid w:val="00E412F3"/>
    <w:rsid w:val="00E415B4"/>
    <w:rsid w:val="00E416AD"/>
    <w:rsid w:val="00E417E9"/>
    <w:rsid w:val="00E41A8B"/>
    <w:rsid w:val="00E41EB1"/>
    <w:rsid w:val="00E42407"/>
    <w:rsid w:val="00E42687"/>
    <w:rsid w:val="00E42AC8"/>
    <w:rsid w:val="00E42B78"/>
    <w:rsid w:val="00E4302D"/>
    <w:rsid w:val="00E443C4"/>
    <w:rsid w:val="00E44495"/>
    <w:rsid w:val="00E44B6A"/>
    <w:rsid w:val="00E44E8A"/>
    <w:rsid w:val="00E4533F"/>
    <w:rsid w:val="00E45577"/>
    <w:rsid w:val="00E45A71"/>
    <w:rsid w:val="00E45BC7"/>
    <w:rsid w:val="00E4604D"/>
    <w:rsid w:val="00E462F7"/>
    <w:rsid w:val="00E4633B"/>
    <w:rsid w:val="00E4652A"/>
    <w:rsid w:val="00E467CD"/>
    <w:rsid w:val="00E46814"/>
    <w:rsid w:val="00E468F1"/>
    <w:rsid w:val="00E46A4B"/>
    <w:rsid w:val="00E46F63"/>
    <w:rsid w:val="00E4714F"/>
    <w:rsid w:val="00E472D2"/>
    <w:rsid w:val="00E479C3"/>
    <w:rsid w:val="00E47CCE"/>
    <w:rsid w:val="00E47D7D"/>
    <w:rsid w:val="00E47FDB"/>
    <w:rsid w:val="00E506F3"/>
    <w:rsid w:val="00E50A74"/>
    <w:rsid w:val="00E50E5C"/>
    <w:rsid w:val="00E50ED5"/>
    <w:rsid w:val="00E50FC8"/>
    <w:rsid w:val="00E514B8"/>
    <w:rsid w:val="00E51589"/>
    <w:rsid w:val="00E515EC"/>
    <w:rsid w:val="00E5172A"/>
    <w:rsid w:val="00E51BBA"/>
    <w:rsid w:val="00E52670"/>
    <w:rsid w:val="00E528FC"/>
    <w:rsid w:val="00E52B93"/>
    <w:rsid w:val="00E52C41"/>
    <w:rsid w:val="00E53230"/>
    <w:rsid w:val="00E5337B"/>
    <w:rsid w:val="00E536DE"/>
    <w:rsid w:val="00E539A9"/>
    <w:rsid w:val="00E53C7D"/>
    <w:rsid w:val="00E541EC"/>
    <w:rsid w:val="00E54274"/>
    <w:rsid w:val="00E54756"/>
    <w:rsid w:val="00E54B17"/>
    <w:rsid w:val="00E54EAF"/>
    <w:rsid w:val="00E554F2"/>
    <w:rsid w:val="00E55902"/>
    <w:rsid w:val="00E55C53"/>
    <w:rsid w:val="00E55D37"/>
    <w:rsid w:val="00E56383"/>
    <w:rsid w:val="00E56705"/>
    <w:rsid w:val="00E56A50"/>
    <w:rsid w:val="00E56D78"/>
    <w:rsid w:val="00E57076"/>
    <w:rsid w:val="00E571F6"/>
    <w:rsid w:val="00E5739C"/>
    <w:rsid w:val="00E575A9"/>
    <w:rsid w:val="00E5792F"/>
    <w:rsid w:val="00E57A52"/>
    <w:rsid w:val="00E57F8D"/>
    <w:rsid w:val="00E60A1D"/>
    <w:rsid w:val="00E60C6E"/>
    <w:rsid w:val="00E60D71"/>
    <w:rsid w:val="00E60DDA"/>
    <w:rsid w:val="00E61538"/>
    <w:rsid w:val="00E619EC"/>
    <w:rsid w:val="00E61A0E"/>
    <w:rsid w:val="00E62411"/>
    <w:rsid w:val="00E62997"/>
    <w:rsid w:val="00E629FD"/>
    <w:rsid w:val="00E62CFB"/>
    <w:rsid w:val="00E63018"/>
    <w:rsid w:val="00E631FF"/>
    <w:rsid w:val="00E632E2"/>
    <w:rsid w:val="00E639E7"/>
    <w:rsid w:val="00E63A40"/>
    <w:rsid w:val="00E63E4E"/>
    <w:rsid w:val="00E63EE9"/>
    <w:rsid w:val="00E63F1F"/>
    <w:rsid w:val="00E64639"/>
    <w:rsid w:val="00E64B96"/>
    <w:rsid w:val="00E64ED6"/>
    <w:rsid w:val="00E64F6C"/>
    <w:rsid w:val="00E655D8"/>
    <w:rsid w:val="00E657D9"/>
    <w:rsid w:val="00E65B35"/>
    <w:rsid w:val="00E65BD9"/>
    <w:rsid w:val="00E66120"/>
    <w:rsid w:val="00E662E4"/>
    <w:rsid w:val="00E6631C"/>
    <w:rsid w:val="00E667FE"/>
    <w:rsid w:val="00E66A92"/>
    <w:rsid w:val="00E66AA0"/>
    <w:rsid w:val="00E66ABE"/>
    <w:rsid w:val="00E67057"/>
    <w:rsid w:val="00E671B4"/>
    <w:rsid w:val="00E674F0"/>
    <w:rsid w:val="00E676DA"/>
    <w:rsid w:val="00E6771E"/>
    <w:rsid w:val="00E67CFE"/>
    <w:rsid w:val="00E67DF4"/>
    <w:rsid w:val="00E67EE7"/>
    <w:rsid w:val="00E70184"/>
    <w:rsid w:val="00E702DA"/>
    <w:rsid w:val="00E706F9"/>
    <w:rsid w:val="00E7084E"/>
    <w:rsid w:val="00E70865"/>
    <w:rsid w:val="00E70994"/>
    <w:rsid w:val="00E70B94"/>
    <w:rsid w:val="00E70F73"/>
    <w:rsid w:val="00E71134"/>
    <w:rsid w:val="00E71143"/>
    <w:rsid w:val="00E71171"/>
    <w:rsid w:val="00E711DB"/>
    <w:rsid w:val="00E712F7"/>
    <w:rsid w:val="00E715C3"/>
    <w:rsid w:val="00E7176B"/>
    <w:rsid w:val="00E71A4C"/>
    <w:rsid w:val="00E71DE1"/>
    <w:rsid w:val="00E720EC"/>
    <w:rsid w:val="00E72114"/>
    <w:rsid w:val="00E723C6"/>
    <w:rsid w:val="00E726E4"/>
    <w:rsid w:val="00E72DE0"/>
    <w:rsid w:val="00E72E03"/>
    <w:rsid w:val="00E73D80"/>
    <w:rsid w:val="00E7407A"/>
    <w:rsid w:val="00E74A2B"/>
    <w:rsid w:val="00E74E20"/>
    <w:rsid w:val="00E74E2A"/>
    <w:rsid w:val="00E75248"/>
    <w:rsid w:val="00E75688"/>
    <w:rsid w:val="00E75A28"/>
    <w:rsid w:val="00E75E49"/>
    <w:rsid w:val="00E7613A"/>
    <w:rsid w:val="00E762CC"/>
    <w:rsid w:val="00E76DAB"/>
    <w:rsid w:val="00E76E03"/>
    <w:rsid w:val="00E77526"/>
    <w:rsid w:val="00E77A49"/>
    <w:rsid w:val="00E77BD7"/>
    <w:rsid w:val="00E8033C"/>
    <w:rsid w:val="00E804A6"/>
    <w:rsid w:val="00E80519"/>
    <w:rsid w:val="00E806A6"/>
    <w:rsid w:val="00E80818"/>
    <w:rsid w:val="00E8181D"/>
    <w:rsid w:val="00E81FFD"/>
    <w:rsid w:val="00E8239A"/>
    <w:rsid w:val="00E823AF"/>
    <w:rsid w:val="00E8285C"/>
    <w:rsid w:val="00E82AAE"/>
    <w:rsid w:val="00E830DD"/>
    <w:rsid w:val="00E8319B"/>
    <w:rsid w:val="00E838B7"/>
    <w:rsid w:val="00E83BF3"/>
    <w:rsid w:val="00E8440E"/>
    <w:rsid w:val="00E84D1D"/>
    <w:rsid w:val="00E8543C"/>
    <w:rsid w:val="00E854CB"/>
    <w:rsid w:val="00E85617"/>
    <w:rsid w:val="00E86199"/>
    <w:rsid w:val="00E865B3"/>
    <w:rsid w:val="00E8696D"/>
    <w:rsid w:val="00E86C4E"/>
    <w:rsid w:val="00E87100"/>
    <w:rsid w:val="00E87312"/>
    <w:rsid w:val="00E87344"/>
    <w:rsid w:val="00E87B9F"/>
    <w:rsid w:val="00E87C24"/>
    <w:rsid w:val="00E87C89"/>
    <w:rsid w:val="00E87C8F"/>
    <w:rsid w:val="00E87FAE"/>
    <w:rsid w:val="00E900B4"/>
    <w:rsid w:val="00E9015E"/>
    <w:rsid w:val="00E90163"/>
    <w:rsid w:val="00E90860"/>
    <w:rsid w:val="00E909CF"/>
    <w:rsid w:val="00E90F60"/>
    <w:rsid w:val="00E9107D"/>
    <w:rsid w:val="00E910A0"/>
    <w:rsid w:val="00E91135"/>
    <w:rsid w:val="00E912D3"/>
    <w:rsid w:val="00E91536"/>
    <w:rsid w:val="00E9165E"/>
    <w:rsid w:val="00E91897"/>
    <w:rsid w:val="00E918C0"/>
    <w:rsid w:val="00E918C5"/>
    <w:rsid w:val="00E91F52"/>
    <w:rsid w:val="00E921EF"/>
    <w:rsid w:val="00E9228D"/>
    <w:rsid w:val="00E922BE"/>
    <w:rsid w:val="00E923CC"/>
    <w:rsid w:val="00E92538"/>
    <w:rsid w:val="00E9262E"/>
    <w:rsid w:val="00E92861"/>
    <w:rsid w:val="00E9294A"/>
    <w:rsid w:val="00E92E79"/>
    <w:rsid w:val="00E92FC6"/>
    <w:rsid w:val="00E9300B"/>
    <w:rsid w:val="00E93396"/>
    <w:rsid w:val="00E937AD"/>
    <w:rsid w:val="00E93AE2"/>
    <w:rsid w:val="00E93CE2"/>
    <w:rsid w:val="00E93FC6"/>
    <w:rsid w:val="00E94256"/>
    <w:rsid w:val="00E94267"/>
    <w:rsid w:val="00E9469C"/>
    <w:rsid w:val="00E94BDA"/>
    <w:rsid w:val="00E94E90"/>
    <w:rsid w:val="00E94E93"/>
    <w:rsid w:val="00E94EA0"/>
    <w:rsid w:val="00E951BF"/>
    <w:rsid w:val="00E95268"/>
    <w:rsid w:val="00E9539D"/>
    <w:rsid w:val="00E95546"/>
    <w:rsid w:val="00E9585B"/>
    <w:rsid w:val="00E95E96"/>
    <w:rsid w:val="00E96507"/>
    <w:rsid w:val="00E967FD"/>
    <w:rsid w:val="00E96D7A"/>
    <w:rsid w:val="00E96FCE"/>
    <w:rsid w:val="00E972A5"/>
    <w:rsid w:val="00E9788B"/>
    <w:rsid w:val="00E97C0B"/>
    <w:rsid w:val="00EA0206"/>
    <w:rsid w:val="00EA02E0"/>
    <w:rsid w:val="00EA05DB"/>
    <w:rsid w:val="00EA084E"/>
    <w:rsid w:val="00EA0B75"/>
    <w:rsid w:val="00EA1204"/>
    <w:rsid w:val="00EA1514"/>
    <w:rsid w:val="00EA1657"/>
    <w:rsid w:val="00EA1819"/>
    <w:rsid w:val="00EA1A35"/>
    <w:rsid w:val="00EA1A53"/>
    <w:rsid w:val="00EA1E36"/>
    <w:rsid w:val="00EA1E54"/>
    <w:rsid w:val="00EA21AB"/>
    <w:rsid w:val="00EA2344"/>
    <w:rsid w:val="00EA24CB"/>
    <w:rsid w:val="00EA252C"/>
    <w:rsid w:val="00EA2B3B"/>
    <w:rsid w:val="00EA2C89"/>
    <w:rsid w:val="00EA3393"/>
    <w:rsid w:val="00EA34F2"/>
    <w:rsid w:val="00EA39BF"/>
    <w:rsid w:val="00EA3AB3"/>
    <w:rsid w:val="00EA40C0"/>
    <w:rsid w:val="00EA417B"/>
    <w:rsid w:val="00EA48A6"/>
    <w:rsid w:val="00EA4A64"/>
    <w:rsid w:val="00EA53A5"/>
    <w:rsid w:val="00EA5449"/>
    <w:rsid w:val="00EA5692"/>
    <w:rsid w:val="00EA59DB"/>
    <w:rsid w:val="00EA5BC2"/>
    <w:rsid w:val="00EA5E25"/>
    <w:rsid w:val="00EA6056"/>
    <w:rsid w:val="00EA609D"/>
    <w:rsid w:val="00EA6107"/>
    <w:rsid w:val="00EA67BC"/>
    <w:rsid w:val="00EA6983"/>
    <w:rsid w:val="00EA6E76"/>
    <w:rsid w:val="00EA7E88"/>
    <w:rsid w:val="00EB0531"/>
    <w:rsid w:val="00EB05E8"/>
    <w:rsid w:val="00EB0649"/>
    <w:rsid w:val="00EB06DE"/>
    <w:rsid w:val="00EB08AB"/>
    <w:rsid w:val="00EB0B68"/>
    <w:rsid w:val="00EB0C48"/>
    <w:rsid w:val="00EB0CA4"/>
    <w:rsid w:val="00EB0CDA"/>
    <w:rsid w:val="00EB0E90"/>
    <w:rsid w:val="00EB1416"/>
    <w:rsid w:val="00EB157E"/>
    <w:rsid w:val="00EB16C5"/>
    <w:rsid w:val="00EB1B70"/>
    <w:rsid w:val="00EB1C11"/>
    <w:rsid w:val="00EB2E69"/>
    <w:rsid w:val="00EB2FAC"/>
    <w:rsid w:val="00EB31CA"/>
    <w:rsid w:val="00EB3262"/>
    <w:rsid w:val="00EB3432"/>
    <w:rsid w:val="00EB355A"/>
    <w:rsid w:val="00EB3B0F"/>
    <w:rsid w:val="00EB3CB2"/>
    <w:rsid w:val="00EB42D5"/>
    <w:rsid w:val="00EB455D"/>
    <w:rsid w:val="00EB45F6"/>
    <w:rsid w:val="00EB4864"/>
    <w:rsid w:val="00EB4BDB"/>
    <w:rsid w:val="00EB4CB5"/>
    <w:rsid w:val="00EB4E1C"/>
    <w:rsid w:val="00EB50A4"/>
    <w:rsid w:val="00EB51C7"/>
    <w:rsid w:val="00EB528E"/>
    <w:rsid w:val="00EB537F"/>
    <w:rsid w:val="00EB5472"/>
    <w:rsid w:val="00EB58AB"/>
    <w:rsid w:val="00EB59C2"/>
    <w:rsid w:val="00EB5B85"/>
    <w:rsid w:val="00EB5CA2"/>
    <w:rsid w:val="00EB606E"/>
    <w:rsid w:val="00EB6531"/>
    <w:rsid w:val="00EB673D"/>
    <w:rsid w:val="00EB68D2"/>
    <w:rsid w:val="00EB6963"/>
    <w:rsid w:val="00EB78CB"/>
    <w:rsid w:val="00EB7B0D"/>
    <w:rsid w:val="00EB7B54"/>
    <w:rsid w:val="00EB7CFC"/>
    <w:rsid w:val="00EB7DD3"/>
    <w:rsid w:val="00EC018D"/>
    <w:rsid w:val="00EC0512"/>
    <w:rsid w:val="00EC0D58"/>
    <w:rsid w:val="00EC12F1"/>
    <w:rsid w:val="00EC1A29"/>
    <w:rsid w:val="00EC1D63"/>
    <w:rsid w:val="00EC1F65"/>
    <w:rsid w:val="00EC2031"/>
    <w:rsid w:val="00EC21B9"/>
    <w:rsid w:val="00EC21C6"/>
    <w:rsid w:val="00EC23F8"/>
    <w:rsid w:val="00EC27FA"/>
    <w:rsid w:val="00EC352F"/>
    <w:rsid w:val="00EC3577"/>
    <w:rsid w:val="00EC35E0"/>
    <w:rsid w:val="00EC380F"/>
    <w:rsid w:val="00EC3BDA"/>
    <w:rsid w:val="00EC4057"/>
    <w:rsid w:val="00EC4171"/>
    <w:rsid w:val="00EC43EA"/>
    <w:rsid w:val="00EC468C"/>
    <w:rsid w:val="00EC4B4A"/>
    <w:rsid w:val="00EC4DA3"/>
    <w:rsid w:val="00EC50B2"/>
    <w:rsid w:val="00EC514C"/>
    <w:rsid w:val="00EC528D"/>
    <w:rsid w:val="00EC55D3"/>
    <w:rsid w:val="00EC5B5B"/>
    <w:rsid w:val="00EC5C0D"/>
    <w:rsid w:val="00EC5FC9"/>
    <w:rsid w:val="00EC6621"/>
    <w:rsid w:val="00EC6AEA"/>
    <w:rsid w:val="00EC6CE7"/>
    <w:rsid w:val="00EC6FB2"/>
    <w:rsid w:val="00EC7B46"/>
    <w:rsid w:val="00EC7BCD"/>
    <w:rsid w:val="00ED0157"/>
    <w:rsid w:val="00ED0160"/>
    <w:rsid w:val="00ED0276"/>
    <w:rsid w:val="00ED02A5"/>
    <w:rsid w:val="00ED1286"/>
    <w:rsid w:val="00ED154B"/>
    <w:rsid w:val="00ED190F"/>
    <w:rsid w:val="00ED1B43"/>
    <w:rsid w:val="00ED21CD"/>
    <w:rsid w:val="00ED253D"/>
    <w:rsid w:val="00ED26A6"/>
    <w:rsid w:val="00ED2731"/>
    <w:rsid w:val="00ED2857"/>
    <w:rsid w:val="00ED2859"/>
    <w:rsid w:val="00ED30F2"/>
    <w:rsid w:val="00ED3218"/>
    <w:rsid w:val="00ED3519"/>
    <w:rsid w:val="00ED351C"/>
    <w:rsid w:val="00ED365C"/>
    <w:rsid w:val="00ED3744"/>
    <w:rsid w:val="00ED3961"/>
    <w:rsid w:val="00ED3B55"/>
    <w:rsid w:val="00ED3E21"/>
    <w:rsid w:val="00ED409A"/>
    <w:rsid w:val="00ED4230"/>
    <w:rsid w:val="00ED4304"/>
    <w:rsid w:val="00ED4503"/>
    <w:rsid w:val="00ED48FE"/>
    <w:rsid w:val="00ED4987"/>
    <w:rsid w:val="00ED49C6"/>
    <w:rsid w:val="00ED5050"/>
    <w:rsid w:val="00ED519A"/>
    <w:rsid w:val="00ED52DE"/>
    <w:rsid w:val="00ED5532"/>
    <w:rsid w:val="00ED56EB"/>
    <w:rsid w:val="00ED5947"/>
    <w:rsid w:val="00ED65D2"/>
    <w:rsid w:val="00ED6978"/>
    <w:rsid w:val="00ED6C71"/>
    <w:rsid w:val="00ED769D"/>
    <w:rsid w:val="00ED7A05"/>
    <w:rsid w:val="00ED7A3B"/>
    <w:rsid w:val="00ED7A61"/>
    <w:rsid w:val="00ED7B8A"/>
    <w:rsid w:val="00ED7C7F"/>
    <w:rsid w:val="00EE0820"/>
    <w:rsid w:val="00EE1049"/>
    <w:rsid w:val="00EE169C"/>
    <w:rsid w:val="00EE1CA9"/>
    <w:rsid w:val="00EE1D47"/>
    <w:rsid w:val="00EE1DE1"/>
    <w:rsid w:val="00EE1DF1"/>
    <w:rsid w:val="00EE1F2D"/>
    <w:rsid w:val="00EE2334"/>
    <w:rsid w:val="00EE23D6"/>
    <w:rsid w:val="00EE25E5"/>
    <w:rsid w:val="00EE261A"/>
    <w:rsid w:val="00EE2DF6"/>
    <w:rsid w:val="00EE2E1E"/>
    <w:rsid w:val="00EE2FF4"/>
    <w:rsid w:val="00EE3D9C"/>
    <w:rsid w:val="00EE40C7"/>
    <w:rsid w:val="00EE419E"/>
    <w:rsid w:val="00EE475E"/>
    <w:rsid w:val="00EE4816"/>
    <w:rsid w:val="00EE49BB"/>
    <w:rsid w:val="00EE5474"/>
    <w:rsid w:val="00EE577D"/>
    <w:rsid w:val="00EE5C5A"/>
    <w:rsid w:val="00EE6283"/>
    <w:rsid w:val="00EE6432"/>
    <w:rsid w:val="00EE6497"/>
    <w:rsid w:val="00EE650D"/>
    <w:rsid w:val="00EE6A6A"/>
    <w:rsid w:val="00EE6BC8"/>
    <w:rsid w:val="00EE6EF1"/>
    <w:rsid w:val="00EE715F"/>
    <w:rsid w:val="00EE7305"/>
    <w:rsid w:val="00EE73EF"/>
    <w:rsid w:val="00EE76BE"/>
    <w:rsid w:val="00EE76E7"/>
    <w:rsid w:val="00EE78CA"/>
    <w:rsid w:val="00EE7A91"/>
    <w:rsid w:val="00EE7C06"/>
    <w:rsid w:val="00EE7D87"/>
    <w:rsid w:val="00EE7F27"/>
    <w:rsid w:val="00EE7FEF"/>
    <w:rsid w:val="00EF0362"/>
    <w:rsid w:val="00EF0404"/>
    <w:rsid w:val="00EF065C"/>
    <w:rsid w:val="00EF069D"/>
    <w:rsid w:val="00EF069F"/>
    <w:rsid w:val="00EF0BBB"/>
    <w:rsid w:val="00EF0DAD"/>
    <w:rsid w:val="00EF0DEC"/>
    <w:rsid w:val="00EF0FBE"/>
    <w:rsid w:val="00EF2542"/>
    <w:rsid w:val="00EF2673"/>
    <w:rsid w:val="00EF2946"/>
    <w:rsid w:val="00EF2B3B"/>
    <w:rsid w:val="00EF310E"/>
    <w:rsid w:val="00EF3331"/>
    <w:rsid w:val="00EF3524"/>
    <w:rsid w:val="00EF355F"/>
    <w:rsid w:val="00EF364B"/>
    <w:rsid w:val="00EF3680"/>
    <w:rsid w:val="00EF3902"/>
    <w:rsid w:val="00EF3982"/>
    <w:rsid w:val="00EF3AA4"/>
    <w:rsid w:val="00EF3E0A"/>
    <w:rsid w:val="00EF4A2C"/>
    <w:rsid w:val="00EF4AF3"/>
    <w:rsid w:val="00EF4BF9"/>
    <w:rsid w:val="00EF4D78"/>
    <w:rsid w:val="00EF519A"/>
    <w:rsid w:val="00EF5263"/>
    <w:rsid w:val="00EF526B"/>
    <w:rsid w:val="00EF5429"/>
    <w:rsid w:val="00EF5598"/>
    <w:rsid w:val="00EF595A"/>
    <w:rsid w:val="00EF5D30"/>
    <w:rsid w:val="00EF6837"/>
    <w:rsid w:val="00EF6B53"/>
    <w:rsid w:val="00EF6BDC"/>
    <w:rsid w:val="00EF6C1D"/>
    <w:rsid w:val="00EF74DA"/>
    <w:rsid w:val="00EF77D9"/>
    <w:rsid w:val="00EF7B55"/>
    <w:rsid w:val="00EF7BD9"/>
    <w:rsid w:val="00F000B5"/>
    <w:rsid w:val="00F00156"/>
    <w:rsid w:val="00F0038A"/>
    <w:rsid w:val="00F007FF"/>
    <w:rsid w:val="00F00AE4"/>
    <w:rsid w:val="00F00F27"/>
    <w:rsid w:val="00F01565"/>
    <w:rsid w:val="00F01A05"/>
    <w:rsid w:val="00F01C6F"/>
    <w:rsid w:val="00F0213B"/>
    <w:rsid w:val="00F021D0"/>
    <w:rsid w:val="00F023AA"/>
    <w:rsid w:val="00F02716"/>
    <w:rsid w:val="00F02A46"/>
    <w:rsid w:val="00F034AF"/>
    <w:rsid w:val="00F036F1"/>
    <w:rsid w:val="00F03726"/>
    <w:rsid w:val="00F042A4"/>
    <w:rsid w:val="00F04309"/>
    <w:rsid w:val="00F0454C"/>
    <w:rsid w:val="00F0456A"/>
    <w:rsid w:val="00F04820"/>
    <w:rsid w:val="00F04AB5"/>
    <w:rsid w:val="00F04F36"/>
    <w:rsid w:val="00F052AB"/>
    <w:rsid w:val="00F0533B"/>
    <w:rsid w:val="00F055B9"/>
    <w:rsid w:val="00F0561B"/>
    <w:rsid w:val="00F057FA"/>
    <w:rsid w:val="00F05812"/>
    <w:rsid w:val="00F05A63"/>
    <w:rsid w:val="00F060AE"/>
    <w:rsid w:val="00F06253"/>
    <w:rsid w:val="00F06332"/>
    <w:rsid w:val="00F06B6A"/>
    <w:rsid w:val="00F06D2A"/>
    <w:rsid w:val="00F06D79"/>
    <w:rsid w:val="00F072AC"/>
    <w:rsid w:val="00F07AF4"/>
    <w:rsid w:val="00F07FF2"/>
    <w:rsid w:val="00F103EC"/>
    <w:rsid w:val="00F1044B"/>
    <w:rsid w:val="00F1087B"/>
    <w:rsid w:val="00F10C78"/>
    <w:rsid w:val="00F11062"/>
    <w:rsid w:val="00F1140A"/>
    <w:rsid w:val="00F1153F"/>
    <w:rsid w:val="00F11548"/>
    <w:rsid w:val="00F1197D"/>
    <w:rsid w:val="00F11CD6"/>
    <w:rsid w:val="00F11D7C"/>
    <w:rsid w:val="00F11D85"/>
    <w:rsid w:val="00F1202D"/>
    <w:rsid w:val="00F122F1"/>
    <w:rsid w:val="00F123BC"/>
    <w:rsid w:val="00F12EC9"/>
    <w:rsid w:val="00F136BC"/>
    <w:rsid w:val="00F13816"/>
    <w:rsid w:val="00F13CF8"/>
    <w:rsid w:val="00F13D31"/>
    <w:rsid w:val="00F13D3B"/>
    <w:rsid w:val="00F13E73"/>
    <w:rsid w:val="00F13EE1"/>
    <w:rsid w:val="00F14074"/>
    <w:rsid w:val="00F142E1"/>
    <w:rsid w:val="00F1437C"/>
    <w:rsid w:val="00F14BF4"/>
    <w:rsid w:val="00F14C99"/>
    <w:rsid w:val="00F14F81"/>
    <w:rsid w:val="00F150E3"/>
    <w:rsid w:val="00F15A02"/>
    <w:rsid w:val="00F15AF5"/>
    <w:rsid w:val="00F15BFE"/>
    <w:rsid w:val="00F15C23"/>
    <w:rsid w:val="00F162FC"/>
    <w:rsid w:val="00F163FC"/>
    <w:rsid w:val="00F1672B"/>
    <w:rsid w:val="00F16801"/>
    <w:rsid w:val="00F169A1"/>
    <w:rsid w:val="00F16A35"/>
    <w:rsid w:val="00F16D27"/>
    <w:rsid w:val="00F16F4C"/>
    <w:rsid w:val="00F1745E"/>
    <w:rsid w:val="00F1749F"/>
    <w:rsid w:val="00F17A9B"/>
    <w:rsid w:val="00F17B0E"/>
    <w:rsid w:val="00F17B48"/>
    <w:rsid w:val="00F17B60"/>
    <w:rsid w:val="00F17B8C"/>
    <w:rsid w:val="00F2015D"/>
    <w:rsid w:val="00F20160"/>
    <w:rsid w:val="00F201AA"/>
    <w:rsid w:val="00F2036C"/>
    <w:rsid w:val="00F20663"/>
    <w:rsid w:val="00F2076D"/>
    <w:rsid w:val="00F2084B"/>
    <w:rsid w:val="00F209C7"/>
    <w:rsid w:val="00F20A5E"/>
    <w:rsid w:val="00F20D95"/>
    <w:rsid w:val="00F21142"/>
    <w:rsid w:val="00F211DF"/>
    <w:rsid w:val="00F219AD"/>
    <w:rsid w:val="00F219C0"/>
    <w:rsid w:val="00F226D5"/>
    <w:rsid w:val="00F227B3"/>
    <w:rsid w:val="00F22AF6"/>
    <w:rsid w:val="00F22D72"/>
    <w:rsid w:val="00F23226"/>
    <w:rsid w:val="00F238FF"/>
    <w:rsid w:val="00F23A32"/>
    <w:rsid w:val="00F23B35"/>
    <w:rsid w:val="00F23EA3"/>
    <w:rsid w:val="00F2408F"/>
    <w:rsid w:val="00F2413B"/>
    <w:rsid w:val="00F24D12"/>
    <w:rsid w:val="00F24FBD"/>
    <w:rsid w:val="00F25186"/>
    <w:rsid w:val="00F25602"/>
    <w:rsid w:val="00F259DC"/>
    <w:rsid w:val="00F25D6F"/>
    <w:rsid w:val="00F25D77"/>
    <w:rsid w:val="00F26307"/>
    <w:rsid w:val="00F26352"/>
    <w:rsid w:val="00F26356"/>
    <w:rsid w:val="00F26750"/>
    <w:rsid w:val="00F267A2"/>
    <w:rsid w:val="00F26985"/>
    <w:rsid w:val="00F26C5D"/>
    <w:rsid w:val="00F26C7E"/>
    <w:rsid w:val="00F26D0D"/>
    <w:rsid w:val="00F26F0B"/>
    <w:rsid w:val="00F26F6C"/>
    <w:rsid w:val="00F2713E"/>
    <w:rsid w:val="00F2716B"/>
    <w:rsid w:val="00F271E2"/>
    <w:rsid w:val="00F271EA"/>
    <w:rsid w:val="00F27313"/>
    <w:rsid w:val="00F2755D"/>
    <w:rsid w:val="00F2770C"/>
    <w:rsid w:val="00F2781B"/>
    <w:rsid w:val="00F300B2"/>
    <w:rsid w:val="00F301C3"/>
    <w:rsid w:val="00F30559"/>
    <w:rsid w:val="00F3055D"/>
    <w:rsid w:val="00F30D40"/>
    <w:rsid w:val="00F30D5E"/>
    <w:rsid w:val="00F30FBA"/>
    <w:rsid w:val="00F311ED"/>
    <w:rsid w:val="00F317C5"/>
    <w:rsid w:val="00F318A5"/>
    <w:rsid w:val="00F318B6"/>
    <w:rsid w:val="00F318BC"/>
    <w:rsid w:val="00F31DF9"/>
    <w:rsid w:val="00F32352"/>
    <w:rsid w:val="00F32608"/>
    <w:rsid w:val="00F32730"/>
    <w:rsid w:val="00F32739"/>
    <w:rsid w:val="00F32952"/>
    <w:rsid w:val="00F32A6B"/>
    <w:rsid w:val="00F32BB1"/>
    <w:rsid w:val="00F3302C"/>
    <w:rsid w:val="00F33041"/>
    <w:rsid w:val="00F330D4"/>
    <w:rsid w:val="00F3375C"/>
    <w:rsid w:val="00F338AC"/>
    <w:rsid w:val="00F34442"/>
    <w:rsid w:val="00F34697"/>
    <w:rsid w:val="00F346DB"/>
    <w:rsid w:val="00F34718"/>
    <w:rsid w:val="00F34AB8"/>
    <w:rsid w:val="00F35064"/>
    <w:rsid w:val="00F350F2"/>
    <w:rsid w:val="00F3521C"/>
    <w:rsid w:val="00F3570D"/>
    <w:rsid w:val="00F35B3E"/>
    <w:rsid w:val="00F35F0D"/>
    <w:rsid w:val="00F35FB5"/>
    <w:rsid w:val="00F360FE"/>
    <w:rsid w:val="00F36243"/>
    <w:rsid w:val="00F36682"/>
    <w:rsid w:val="00F3676B"/>
    <w:rsid w:val="00F37298"/>
    <w:rsid w:val="00F37882"/>
    <w:rsid w:val="00F37B6F"/>
    <w:rsid w:val="00F37F7D"/>
    <w:rsid w:val="00F37FCA"/>
    <w:rsid w:val="00F40187"/>
    <w:rsid w:val="00F403D2"/>
    <w:rsid w:val="00F406D7"/>
    <w:rsid w:val="00F40A0F"/>
    <w:rsid w:val="00F40F42"/>
    <w:rsid w:val="00F40F4D"/>
    <w:rsid w:val="00F40FA8"/>
    <w:rsid w:val="00F41310"/>
    <w:rsid w:val="00F41686"/>
    <w:rsid w:val="00F41C27"/>
    <w:rsid w:val="00F41EA9"/>
    <w:rsid w:val="00F4226E"/>
    <w:rsid w:val="00F4240D"/>
    <w:rsid w:val="00F426C5"/>
    <w:rsid w:val="00F42700"/>
    <w:rsid w:val="00F42ECB"/>
    <w:rsid w:val="00F43737"/>
    <w:rsid w:val="00F43810"/>
    <w:rsid w:val="00F43B87"/>
    <w:rsid w:val="00F43E3D"/>
    <w:rsid w:val="00F444B6"/>
    <w:rsid w:val="00F445D3"/>
    <w:rsid w:val="00F4473F"/>
    <w:rsid w:val="00F449BC"/>
    <w:rsid w:val="00F44C82"/>
    <w:rsid w:val="00F44E8A"/>
    <w:rsid w:val="00F44EC5"/>
    <w:rsid w:val="00F45083"/>
    <w:rsid w:val="00F4526F"/>
    <w:rsid w:val="00F453CE"/>
    <w:rsid w:val="00F456CA"/>
    <w:rsid w:val="00F456DE"/>
    <w:rsid w:val="00F45798"/>
    <w:rsid w:val="00F45E58"/>
    <w:rsid w:val="00F45EA2"/>
    <w:rsid w:val="00F4692B"/>
    <w:rsid w:val="00F46E63"/>
    <w:rsid w:val="00F472B9"/>
    <w:rsid w:val="00F47471"/>
    <w:rsid w:val="00F47580"/>
    <w:rsid w:val="00F4764E"/>
    <w:rsid w:val="00F4795E"/>
    <w:rsid w:val="00F47970"/>
    <w:rsid w:val="00F47A41"/>
    <w:rsid w:val="00F502F5"/>
    <w:rsid w:val="00F503B0"/>
    <w:rsid w:val="00F5080E"/>
    <w:rsid w:val="00F5090B"/>
    <w:rsid w:val="00F51141"/>
    <w:rsid w:val="00F5131E"/>
    <w:rsid w:val="00F514AB"/>
    <w:rsid w:val="00F51602"/>
    <w:rsid w:val="00F516F1"/>
    <w:rsid w:val="00F518F8"/>
    <w:rsid w:val="00F51E81"/>
    <w:rsid w:val="00F524F2"/>
    <w:rsid w:val="00F525C0"/>
    <w:rsid w:val="00F527AC"/>
    <w:rsid w:val="00F527BD"/>
    <w:rsid w:val="00F52D5A"/>
    <w:rsid w:val="00F52F16"/>
    <w:rsid w:val="00F53669"/>
    <w:rsid w:val="00F536B8"/>
    <w:rsid w:val="00F538FC"/>
    <w:rsid w:val="00F53C1F"/>
    <w:rsid w:val="00F5421D"/>
    <w:rsid w:val="00F54357"/>
    <w:rsid w:val="00F54499"/>
    <w:rsid w:val="00F54761"/>
    <w:rsid w:val="00F55179"/>
    <w:rsid w:val="00F55369"/>
    <w:rsid w:val="00F5545C"/>
    <w:rsid w:val="00F554B4"/>
    <w:rsid w:val="00F55740"/>
    <w:rsid w:val="00F55795"/>
    <w:rsid w:val="00F558B8"/>
    <w:rsid w:val="00F55AE4"/>
    <w:rsid w:val="00F55B6A"/>
    <w:rsid w:val="00F56AA9"/>
    <w:rsid w:val="00F56C13"/>
    <w:rsid w:val="00F56D2F"/>
    <w:rsid w:val="00F56D48"/>
    <w:rsid w:val="00F56D6D"/>
    <w:rsid w:val="00F56D8F"/>
    <w:rsid w:val="00F56E28"/>
    <w:rsid w:val="00F57205"/>
    <w:rsid w:val="00F575E1"/>
    <w:rsid w:val="00F575E3"/>
    <w:rsid w:val="00F57874"/>
    <w:rsid w:val="00F57888"/>
    <w:rsid w:val="00F57E08"/>
    <w:rsid w:val="00F60076"/>
    <w:rsid w:val="00F6078C"/>
    <w:rsid w:val="00F60F28"/>
    <w:rsid w:val="00F6126E"/>
    <w:rsid w:val="00F61410"/>
    <w:rsid w:val="00F615AE"/>
    <w:rsid w:val="00F615F2"/>
    <w:rsid w:val="00F61627"/>
    <w:rsid w:val="00F61A71"/>
    <w:rsid w:val="00F61C9C"/>
    <w:rsid w:val="00F6241A"/>
    <w:rsid w:val="00F626D3"/>
    <w:rsid w:val="00F62771"/>
    <w:rsid w:val="00F62D8C"/>
    <w:rsid w:val="00F62F03"/>
    <w:rsid w:val="00F63830"/>
    <w:rsid w:val="00F639C5"/>
    <w:rsid w:val="00F63B03"/>
    <w:rsid w:val="00F63FF1"/>
    <w:rsid w:val="00F640CC"/>
    <w:rsid w:val="00F64433"/>
    <w:rsid w:val="00F645DD"/>
    <w:rsid w:val="00F648C6"/>
    <w:rsid w:val="00F64B8B"/>
    <w:rsid w:val="00F64DE7"/>
    <w:rsid w:val="00F651CC"/>
    <w:rsid w:val="00F65587"/>
    <w:rsid w:val="00F655F6"/>
    <w:rsid w:val="00F65A6A"/>
    <w:rsid w:val="00F65BB5"/>
    <w:rsid w:val="00F662CC"/>
    <w:rsid w:val="00F66671"/>
    <w:rsid w:val="00F66716"/>
    <w:rsid w:val="00F669CE"/>
    <w:rsid w:val="00F66CD5"/>
    <w:rsid w:val="00F672D4"/>
    <w:rsid w:val="00F6779E"/>
    <w:rsid w:val="00F678DC"/>
    <w:rsid w:val="00F679B2"/>
    <w:rsid w:val="00F708E7"/>
    <w:rsid w:val="00F709D8"/>
    <w:rsid w:val="00F70CCE"/>
    <w:rsid w:val="00F7132C"/>
    <w:rsid w:val="00F71616"/>
    <w:rsid w:val="00F71C88"/>
    <w:rsid w:val="00F71DF6"/>
    <w:rsid w:val="00F71E95"/>
    <w:rsid w:val="00F72472"/>
    <w:rsid w:val="00F724EF"/>
    <w:rsid w:val="00F729F2"/>
    <w:rsid w:val="00F72D37"/>
    <w:rsid w:val="00F72D9A"/>
    <w:rsid w:val="00F733B6"/>
    <w:rsid w:val="00F734B3"/>
    <w:rsid w:val="00F73BBA"/>
    <w:rsid w:val="00F7461D"/>
    <w:rsid w:val="00F749F6"/>
    <w:rsid w:val="00F74A1E"/>
    <w:rsid w:val="00F74B02"/>
    <w:rsid w:val="00F74B62"/>
    <w:rsid w:val="00F74C94"/>
    <w:rsid w:val="00F74CA7"/>
    <w:rsid w:val="00F74F91"/>
    <w:rsid w:val="00F75293"/>
    <w:rsid w:val="00F752DA"/>
    <w:rsid w:val="00F757AD"/>
    <w:rsid w:val="00F75874"/>
    <w:rsid w:val="00F75CF8"/>
    <w:rsid w:val="00F7603C"/>
    <w:rsid w:val="00F7613D"/>
    <w:rsid w:val="00F765D6"/>
    <w:rsid w:val="00F76FAA"/>
    <w:rsid w:val="00F76FFD"/>
    <w:rsid w:val="00F774D0"/>
    <w:rsid w:val="00F775CF"/>
    <w:rsid w:val="00F7766C"/>
    <w:rsid w:val="00F77B92"/>
    <w:rsid w:val="00F77E90"/>
    <w:rsid w:val="00F77EDF"/>
    <w:rsid w:val="00F80076"/>
    <w:rsid w:val="00F80568"/>
    <w:rsid w:val="00F80D81"/>
    <w:rsid w:val="00F81253"/>
    <w:rsid w:val="00F815CD"/>
    <w:rsid w:val="00F81B26"/>
    <w:rsid w:val="00F82380"/>
    <w:rsid w:val="00F82DAA"/>
    <w:rsid w:val="00F835FA"/>
    <w:rsid w:val="00F839E8"/>
    <w:rsid w:val="00F83BDB"/>
    <w:rsid w:val="00F83CAB"/>
    <w:rsid w:val="00F843AD"/>
    <w:rsid w:val="00F845B3"/>
    <w:rsid w:val="00F848CB"/>
    <w:rsid w:val="00F84A48"/>
    <w:rsid w:val="00F84B4C"/>
    <w:rsid w:val="00F855BF"/>
    <w:rsid w:val="00F857A8"/>
    <w:rsid w:val="00F858BD"/>
    <w:rsid w:val="00F85EC2"/>
    <w:rsid w:val="00F85F18"/>
    <w:rsid w:val="00F86299"/>
    <w:rsid w:val="00F86320"/>
    <w:rsid w:val="00F86971"/>
    <w:rsid w:val="00F86B48"/>
    <w:rsid w:val="00F86D98"/>
    <w:rsid w:val="00F86F54"/>
    <w:rsid w:val="00F8753A"/>
    <w:rsid w:val="00F878D8"/>
    <w:rsid w:val="00F8798A"/>
    <w:rsid w:val="00F87AD8"/>
    <w:rsid w:val="00F90182"/>
    <w:rsid w:val="00F905D0"/>
    <w:rsid w:val="00F9093F"/>
    <w:rsid w:val="00F90D88"/>
    <w:rsid w:val="00F90E5C"/>
    <w:rsid w:val="00F90F02"/>
    <w:rsid w:val="00F91166"/>
    <w:rsid w:val="00F913AE"/>
    <w:rsid w:val="00F913DD"/>
    <w:rsid w:val="00F916B6"/>
    <w:rsid w:val="00F916F1"/>
    <w:rsid w:val="00F9185A"/>
    <w:rsid w:val="00F91F15"/>
    <w:rsid w:val="00F92067"/>
    <w:rsid w:val="00F92366"/>
    <w:rsid w:val="00F928B6"/>
    <w:rsid w:val="00F932BB"/>
    <w:rsid w:val="00F93322"/>
    <w:rsid w:val="00F937AE"/>
    <w:rsid w:val="00F939FA"/>
    <w:rsid w:val="00F93A05"/>
    <w:rsid w:val="00F93BA0"/>
    <w:rsid w:val="00F93BF4"/>
    <w:rsid w:val="00F93DB5"/>
    <w:rsid w:val="00F944B0"/>
    <w:rsid w:val="00F94964"/>
    <w:rsid w:val="00F954BB"/>
    <w:rsid w:val="00F956B6"/>
    <w:rsid w:val="00F95740"/>
    <w:rsid w:val="00F95752"/>
    <w:rsid w:val="00F95917"/>
    <w:rsid w:val="00F95EC9"/>
    <w:rsid w:val="00F96076"/>
    <w:rsid w:val="00F961B5"/>
    <w:rsid w:val="00F96258"/>
    <w:rsid w:val="00F96650"/>
    <w:rsid w:val="00F966A2"/>
    <w:rsid w:val="00F966CE"/>
    <w:rsid w:val="00F967CD"/>
    <w:rsid w:val="00F96921"/>
    <w:rsid w:val="00F96C6A"/>
    <w:rsid w:val="00F970D4"/>
    <w:rsid w:val="00F9731F"/>
    <w:rsid w:val="00F97C01"/>
    <w:rsid w:val="00F97C3E"/>
    <w:rsid w:val="00F97D47"/>
    <w:rsid w:val="00FA0043"/>
    <w:rsid w:val="00FA00A3"/>
    <w:rsid w:val="00FA1140"/>
    <w:rsid w:val="00FA1157"/>
    <w:rsid w:val="00FA11BE"/>
    <w:rsid w:val="00FA13CE"/>
    <w:rsid w:val="00FA1EB4"/>
    <w:rsid w:val="00FA2024"/>
    <w:rsid w:val="00FA2249"/>
    <w:rsid w:val="00FA2512"/>
    <w:rsid w:val="00FA266D"/>
    <w:rsid w:val="00FA274C"/>
    <w:rsid w:val="00FA2EEE"/>
    <w:rsid w:val="00FA3053"/>
    <w:rsid w:val="00FA3468"/>
    <w:rsid w:val="00FA3955"/>
    <w:rsid w:val="00FA39BD"/>
    <w:rsid w:val="00FA3BDB"/>
    <w:rsid w:val="00FA3D43"/>
    <w:rsid w:val="00FA473F"/>
    <w:rsid w:val="00FA4DF2"/>
    <w:rsid w:val="00FA55EA"/>
    <w:rsid w:val="00FA5C40"/>
    <w:rsid w:val="00FA5E02"/>
    <w:rsid w:val="00FA5E19"/>
    <w:rsid w:val="00FA6142"/>
    <w:rsid w:val="00FA614D"/>
    <w:rsid w:val="00FA61DA"/>
    <w:rsid w:val="00FA65EC"/>
    <w:rsid w:val="00FA66C1"/>
    <w:rsid w:val="00FA6B1A"/>
    <w:rsid w:val="00FA6E4B"/>
    <w:rsid w:val="00FA6E55"/>
    <w:rsid w:val="00FA76C6"/>
    <w:rsid w:val="00FA7B15"/>
    <w:rsid w:val="00FA7B73"/>
    <w:rsid w:val="00FA7B88"/>
    <w:rsid w:val="00FB02A1"/>
    <w:rsid w:val="00FB02B0"/>
    <w:rsid w:val="00FB0B8E"/>
    <w:rsid w:val="00FB0F37"/>
    <w:rsid w:val="00FB10D3"/>
    <w:rsid w:val="00FB11A9"/>
    <w:rsid w:val="00FB1219"/>
    <w:rsid w:val="00FB1249"/>
    <w:rsid w:val="00FB1630"/>
    <w:rsid w:val="00FB1A47"/>
    <w:rsid w:val="00FB1AE5"/>
    <w:rsid w:val="00FB209B"/>
    <w:rsid w:val="00FB24D0"/>
    <w:rsid w:val="00FB24E4"/>
    <w:rsid w:val="00FB2A42"/>
    <w:rsid w:val="00FB2A5D"/>
    <w:rsid w:val="00FB2B0C"/>
    <w:rsid w:val="00FB2F8D"/>
    <w:rsid w:val="00FB3832"/>
    <w:rsid w:val="00FB39AF"/>
    <w:rsid w:val="00FB3A12"/>
    <w:rsid w:val="00FB3C1D"/>
    <w:rsid w:val="00FB3C68"/>
    <w:rsid w:val="00FB40A9"/>
    <w:rsid w:val="00FB4241"/>
    <w:rsid w:val="00FB478F"/>
    <w:rsid w:val="00FB4BA5"/>
    <w:rsid w:val="00FB52C1"/>
    <w:rsid w:val="00FB5629"/>
    <w:rsid w:val="00FB58ED"/>
    <w:rsid w:val="00FB61DB"/>
    <w:rsid w:val="00FB6365"/>
    <w:rsid w:val="00FB68E3"/>
    <w:rsid w:val="00FB6B74"/>
    <w:rsid w:val="00FB74CF"/>
    <w:rsid w:val="00FB77D0"/>
    <w:rsid w:val="00FB78CF"/>
    <w:rsid w:val="00FC004E"/>
    <w:rsid w:val="00FC0256"/>
    <w:rsid w:val="00FC0587"/>
    <w:rsid w:val="00FC06D0"/>
    <w:rsid w:val="00FC0B5D"/>
    <w:rsid w:val="00FC0FE1"/>
    <w:rsid w:val="00FC1425"/>
    <w:rsid w:val="00FC1673"/>
    <w:rsid w:val="00FC1CC6"/>
    <w:rsid w:val="00FC24CF"/>
    <w:rsid w:val="00FC256F"/>
    <w:rsid w:val="00FC2C6A"/>
    <w:rsid w:val="00FC3061"/>
    <w:rsid w:val="00FC3356"/>
    <w:rsid w:val="00FC354D"/>
    <w:rsid w:val="00FC35E7"/>
    <w:rsid w:val="00FC39F5"/>
    <w:rsid w:val="00FC3F28"/>
    <w:rsid w:val="00FC4130"/>
    <w:rsid w:val="00FC417B"/>
    <w:rsid w:val="00FC423E"/>
    <w:rsid w:val="00FC484F"/>
    <w:rsid w:val="00FC48C0"/>
    <w:rsid w:val="00FC514A"/>
    <w:rsid w:val="00FC53C1"/>
    <w:rsid w:val="00FC5CC9"/>
    <w:rsid w:val="00FC5D69"/>
    <w:rsid w:val="00FC6540"/>
    <w:rsid w:val="00FC657F"/>
    <w:rsid w:val="00FC67AC"/>
    <w:rsid w:val="00FC6857"/>
    <w:rsid w:val="00FC6C1A"/>
    <w:rsid w:val="00FC6D8A"/>
    <w:rsid w:val="00FC725F"/>
    <w:rsid w:val="00FC77F6"/>
    <w:rsid w:val="00FC786B"/>
    <w:rsid w:val="00FC7978"/>
    <w:rsid w:val="00FC7A54"/>
    <w:rsid w:val="00FD043A"/>
    <w:rsid w:val="00FD0443"/>
    <w:rsid w:val="00FD0655"/>
    <w:rsid w:val="00FD071D"/>
    <w:rsid w:val="00FD07A5"/>
    <w:rsid w:val="00FD0A81"/>
    <w:rsid w:val="00FD1BF7"/>
    <w:rsid w:val="00FD1CCF"/>
    <w:rsid w:val="00FD240E"/>
    <w:rsid w:val="00FD27E8"/>
    <w:rsid w:val="00FD2BE0"/>
    <w:rsid w:val="00FD2E04"/>
    <w:rsid w:val="00FD31B1"/>
    <w:rsid w:val="00FD37AD"/>
    <w:rsid w:val="00FD3CAE"/>
    <w:rsid w:val="00FD3DBD"/>
    <w:rsid w:val="00FD3E2A"/>
    <w:rsid w:val="00FD44F2"/>
    <w:rsid w:val="00FD48BA"/>
    <w:rsid w:val="00FD4B9C"/>
    <w:rsid w:val="00FD5914"/>
    <w:rsid w:val="00FD5C5C"/>
    <w:rsid w:val="00FD6179"/>
    <w:rsid w:val="00FD67D6"/>
    <w:rsid w:val="00FD6E73"/>
    <w:rsid w:val="00FD6F0B"/>
    <w:rsid w:val="00FD79FD"/>
    <w:rsid w:val="00FD7B9F"/>
    <w:rsid w:val="00FD7EA1"/>
    <w:rsid w:val="00FD7F9B"/>
    <w:rsid w:val="00FE00D6"/>
    <w:rsid w:val="00FE00F4"/>
    <w:rsid w:val="00FE03EF"/>
    <w:rsid w:val="00FE0D83"/>
    <w:rsid w:val="00FE1129"/>
    <w:rsid w:val="00FE126D"/>
    <w:rsid w:val="00FE1270"/>
    <w:rsid w:val="00FE18B2"/>
    <w:rsid w:val="00FE1E49"/>
    <w:rsid w:val="00FE1F63"/>
    <w:rsid w:val="00FE211D"/>
    <w:rsid w:val="00FE23F2"/>
    <w:rsid w:val="00FE2478"/>
    <w:rsid w:val="00FE278A"/>
    <w:rsid w:val="00FE27B8"/>
    <w:rsid w:val="00FE2816"/>
    <w:rsid w:val="00FE361D"/>
    <w:rsid w:val="00FE36F1"/>
    <w:rsid w:val="00FE38D6"/>
    <w:rsid w:val="00FE3A55"/>
    <w:rsid w:val="00FE3CF6"/>
    <w:rsid w:val="00FE3DFB"/>
    <w:rsid w:val="00FE42B8"/>
    <w:rsid w:val="00FE4909"/>
    <w:rsid w:val="00FE4BC1"/>
    <w:rsid w:val="00FE4C8E"/>
    <w:rsid w:val="00FE4FA9"/>
    <w:rsid w:val="00FE510B"/>
    <w:rsid w:val="00FE5548"/>
    <w:rsid w:val="00FE5570"/>
    <w:rsid w:val="00FE5848"/>
    <w:rsid w:val="00FE6040"/>
    <w:rsid w:val="00FE634F"/>
    <w:rsid w:val="00FE6B8D"/>
    <w:rsid w:val="00FE6D9F"/>
    <w:rsid w:val="00FE7072"/>
    <w:rsid w:val="00FE7365"/>
    <w:rsid w:val="00FE73C9"/>
    <w:rsid w:val="00FE7735"/>
    <w:rsid w:val="00FE775C"/>
    <w:rsid w:val="00FE786E"/>
    <w:rsid w:val="00FE78B3"/>
    <w:rsid w:val="00FE7970"/>
    <w:rsid w:val="00FE7EA7"/>
    <w:rsid w:val="00FF0119"/>
    <w:rsid w:val="00FF04B9"/>
    <w:rsid w:val="00FF062C"/>
    <w:rsid w:val="00FF0971"/>
    <w:rsid w:val="00FF0A1C"/>
    <w:rsid w:val="00FF0E74"/>
    <w:rsid w:val="00FF1250"/>
    <w:rsid w:val="00FF1465"/>
    <w:rsid w:val="00FF1860"/>
    <w:rsid w:val="00FF1A27"/>
    <w:rsid w:val="00FF2039"/>
    <w:rsid w:val="00FF2045"/>
    <w:rsid w:val="00FF2211"/>
    <w:rsid w:val="00FF23DF"/>
    <w:rsid w:val="00FF250B"/>
    <w:rsid w:val="00FF28B7"/>
    <w:rsid w:val="00FF2943"/>
    <w:rsid w:val="00FF2A32"/>
    <w:rsid w:val="00FF2C2D"/>
    <w:rsid w:val="00FF2C3E"/>
    <w:rsid w:val="00FF2E3D"/>
    <w:rsid w:val="00FF34D9"/>
    <w:rsid w:val="00FF353B"/>
    <w:rsid w:val="00FF3974"/>
    <w:rsid w:val="00FF3B45"/>
    <w:rsid w:val="00FF3C28"/>
    <w:rsid w:val="00FF3C6A"/>
    <w:rsid w:val="00FF4278"/>
    <w:rsid w:val="00FF43A8"/>
    <w:rsid w:val="00FF444B"/>
    <w:rsid w:val="00FF47F3"/>
    <w:rsid w:val="00FF49FE"/>
    <w:rsid w:val="00FF4C8C"/>
    <w:rsid w:val="00FF4F13"/>
    <w:rsid w:val="00FF5198"/>
    <w:rsid w:val="00FF56E1"/>
    <w:rsid w:val="00FF57DB"/>
    <w:rsid w:val="00FF5CCE"/>
    <w:rsid w:val="00FF5E6A"/>
    <w:rsid w:val="00FF613A"/>
    <w:rsid w:val="00FF627E"/>
    <w:rsid w:val="00FF672A"/>
    <w:rsid w:val="00FF6C80"/>
    <w:rsid w:val="00FF6D83"/>
    <w:rsid w:val="00FF6E33"/>
    <w:rsid w:val="00FF703C"/>
    <w:rsid w:val="00FF711B"/>
    <w:rsid w:val="00FF71FD"/>
    <w:rsid w:val="00FF75A4"/>
    <w:rsid w:val="00FF796D"/>
    <w:rsid w:val="00FF7C77"/>
    <w:rsid w:val="00FF7CF6"/>
    <w:rsid w:val="00FF7D31"/>
    <w:rsid w:val="02B3108D"/>
    <w:rsid w:val="07725122"/>
    <w:rsid w:val="07F16F41"/>
    <w:rsid w:val="09106B4E"/>
    <w:rsid w:val="092E1F90"/>
    <w:rsid w:val="0D16627F"/>
    <w:rsid w:val="156D4B6A"/>
    <w:rsid w:val="1CAA5529"/>
    <w:rsid w:val="1DDF1718"/>
    <w:rsid w:val="1EA714C3"/>
    <w:rsid w:val="20802E54"/>
    <w:rsid w:val="21094DD1"/>
    <w:rsid w:val="23356D54"/>
    <w:rsid w:val="272D1964"/>
    <w:rsid w:val="35951EB7"/>
    <w:rsid w:val="380F3720"/>
    <w:rsid w:val="3C7F5CD4"/>
    <w:rsid w:val="43903A89"/>
    <w:rsid w:val="473D1AA7"/>
    <w:rsid w:val="48B341DF"/>
    <w:rsid w:val="50702DC4"/>
    <w:rsid w:val="54FA6A2C"/>
    <w:rsid w:val="577D4838"/>
    <w:rsid w:val="5BF611A1"/>
    <w:rsid w:val="5C777B46"/>
    <w:rsid w:val="5DE24185"/>
    <w:rsid w:val="61D84D45"/>
    <w:rsid w:val="62004B52"/>
    <w:rsid w:val="649A39DC"/>
    <w:rsid w:val="67907AB3"/>
    <w:rsid w:val="68BD58B0"/>
    <w:rsid w:val="6A05306B"/>
    <w:rsid w:val="6A9535B5"/>
    <w:rsid w:val="74C27F68"/>
    <w:rsid w:val="7D064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endarrow="block"/>
    </o:shapedefaults>
    <o:shapelayout v:ext="edit">
      <o:idmap v:ext="edit" data="1,3,4,5"/>
      <o:rules v:ext="edit">
        <o:r id="V:Rule1" type="connector" idref="#_x0000_s5934"/>
        <o:r id="V:Rule2" type="connector" idref="#_x0000_s5935"/>
        <o:r id="V:Rule3" type="connector" idref="#_x0000_s5937"/>
        <o:r id="V:Rule4" type="connector" idref="#_x0000_s5939"/>
        <o:r id="V:Rule5" type="connector" idref="#_x0000_s5942"/>
        <o:r id="V:Rule6" type="connector" idref="#_x0000_s5944"/>
        <o:r id="V:Rule7" type="connector" idref="#_x0000_s5947"/>
        <o:r id="V:Rule8" type="connector" idref="#_x0000_s5948"/>
        <o:r id="V:Rule9" type="connector" idref="#_x0000_s5950"/>
        <o:r id="V:Rule10" type="connector" idref="#_x0000_s5952"/>
        <o:r id="V:Rule11" type="connector" idref="#_x0000_s5953"/>
        <o:r id="V:Rule12" type="connector" idref="#_x0000_s5956"/>
        <o:r id="V:Rule13" type="connector" idref="#_x0000_s5957"/>
        <o:r id="V:Rule14" type="connector" idref="#_x0000_s5959"/>
        <o:r id="V:Rule15" type="connector" idref="#_x0000_s5962"/>
        <o:r id="V:Rule16" type="connector" idref="#_x0000_s5963"/>
        <o:r id="V:Rule17" type="connector" idref="#_x0000_s5964"/>
        <o:r id="V:Rule18" type="connector" idref="#_x0000_s5974"/>
        <o:r id="V:Rule19" type="connector" idref="#_x0000_s5975"/>
        <o:r id="V:Rule20" type="connector" idref="#_x0000_s5985"/>
        <o:r id="V:Rule21" type="connector" idref="#_x0000_s5986"/>
        <o:r id="V:Rule22" type="connector" idref="#_x0000_s5987"/>
        <o:r id="V:Rule23" type="connector" idref="#_x0000_s5988"/>
        <o:r id="V:Rule24" type="connector" idref="#_x0000_s5989"/>
        <o:r id="V:Rule25" type="connector" idref="#_x0000_s5992"/>
        <o:r id="V:Rule26" type="connector" idref="#_x0000_s5993"/>
        <o:r id="V:Rule27" type="connector" idref="#_x0000_s6006"/>
        <o:r id="V:Rule28" type="connector" idref="#_x0000_s6007"/>
        <o:r id="V:Rule29" type="connector" idref="#_x0000_s6008"/>
        <o:r id="V:Rule30" type="connector" idref="#_x0000_s6009"/>
        <o:r id="V:Rule31" type="connector" idref="#_x0000_s6013"/>
        <o:r id="V:Rule32" type="connector" idref="#_x0000_s6014"/>
        <o:r id="V:Rule33" type="connector" idref="#_x0000_s6019"/>
        <o:r id="V:Rule34" type="connector" idref="#_x0000_s6021"/>
        <o:r id="V:Rule35" type="connector" idref="#_x0000_s6023"/>
        <o:r id="V:Rule36" type="connector" idref="#_x0000_s6026"/>
        <o:r id="V:Rule37" type="connector" idref="#_x0000_s6027"/>
        <o:r id="V:Rule38" type="connector" idref="#_x0000_s603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imes New Roman"/>
      <w:color w:val="000000"/>
      <w:kern w:val="2"/>
      <w:sz w:val="24"/>
      <w:szCs w:val="21"/>
      <w:lang w:val="en-US" w:eastAsia="zh-CN" w:bidi="ar-SA"/>
    </w:rPr>
  </w:style>
  <w:style w:type="paragraph" w:styleId="2">
    <w:name w:val="heading 1"/>
    <w:basedOn w:val="1"/>
    <w:next w:val="1"/>
    <w:link w:val="155"/>
    <w:qFormat/>
    <w:uiPriority w:val="0"/>
    <w:pPr>
      <w:keepNext/>
      <w:keepLines/>
      <w:tabs>
        <w:tab w:val="left" w:pos="432"/>
      </w:tabs>
      <w:ind w:left="432" w:hanging="432" w:firstLineChars="0"/>
      <w:jc w:val="left"/>
      <w:outlineLvl w:val="0"/>
    </w:pPr>
    <w:rPr>
      <w:b/>
      <w:bCs/>
      <w:sz w:val="32"/>
      <w:szCs w:val="44"/>
    </w:rPr>
  </w:style>
  <w:style w:type="paragraph" w:styleId="3">
    <w:name w:val="heading 2"/>
    <w:basedOn w:val="1"/>
    <w:next w:val="1"/>
    <w:link w:val="156"/>
    <w:qFormat/>
    <w:uiPriority w:val="0"/>
    <w:pPr>
      <w:keepNext/>
      <w:keepLines/>
      <w:tabs>
        <w:tab w:val="left" w:pos="576"/>
      </w:tabs>
      <w:spacing w:beforeLines="50"/>
      <w:ind w:left="576" w:hanging="576" w:firstLineChars="0"/>
      <w:jc w:val="left"/>
      <w:outlineLvl w:val="1"/>
    </w:pPr>
    <w:rPr>
      <w:rFonts w:hAnsi="Arial"/>
      <w:b/>
      <w:bCs/>
      <w:sz w:val="30"/>
      <w:szCs w:val="32"/>
    </w:rPr>
  </w:style>
  <w:style w:type="paragraph" w:styleId="4">
    <w:name w:val="heading 3"/>
    <w:basedOn w:val="1"/>
    <w:next w:val="1"/>
    <w:link w:val="157"/>
    <w:qFormat/>
    <w:uiPriority w:val="0"/>
    <w:pPr>
      <w:keepNext/>
      <w:keepLines/>
      <w:tabs>
        <w:tab w:val="left" w:pos="0"/>
      </w:tabs>
      <w:spacing w:beforeLines="50"/>
      <w:ind w:firstLine="0" w:firstLineChars="0"/>
      <w:jc w:val="left"/>
      <w:outlineLvl w:val="2"/>
    </w:pPr>
    <w:rPr>
      <w:b/>
      <w:bCs/>
      <w:sz w:val="28"/>
      <w:szCs w:val="32"/>
    </w:rPr>
  </w:style>
  <w:style w:type="paragraph" w:styleId="5">
    <w:name w:val="heading 4"/>
    <w:basedOn w:val="1"/>
    <w:next w:val="1"/>
    <w:link w:val="158"/>
    <w:qFormat/>
    <w:uiPriority w:val="0"/>
    <w:pPr>
      <w:keepNext/>
      <w:keepLines/>
      <w:ind w:firstLine="0" w:firstLineChars="0"/>
      <w:jc w:val="left"/>
      <w:outlineLvl w:val="3"/>
    </w:pPr>
    <w:rPr>
      <w:rFonts w:hAnsi="Arial"/>
      <w:bCs/>
      <w:szCs w:val="28"/>
    </w:rPr>
  </w:style>
  <w:style w:type="paragraph" w:styleId="6">
    <w:name w:val="heading 5"/>
    <w:basedOn w:val="1"/>
    <w:next w:val="1"/>
    <w:qFormat/>
    <w:uiPriority w:val="0"/>
    <w:pPr>
      <w:keepNext/>
      <w:keepLines/>
      <w:tabs>
        <w:tab w:val="left" w:pos="1008"/>
      </w:tabs>
      <w:ind w:left="1008" w:hanging="1008" w:firstLineChars="0"/>
      <w:outlineLvl w:val="4"/>
    </w:pPr>
    <w:rPr>
      <w:rFonts w:hAnsi="Times New Roman"/>
      <w:bCs/>
      <w:color w:val="auto"/>
      <w:szCs w:val="28"/>
    </w:rPr>
  </w:style>
  <w:style w:type="paragraph" w:styleId="7">
    <w:name w:val="heading 6"/>
    <w:basedOn w:val="1"/>
    <w:next w:val="1"/>
    <w:qFormat/>
    <w:uiPriority w:val="0"/>
    <w:pPr>
      <w:keepNext/>
      <w:keepLines/>
      <w:tabs>
        <w:tab w:val="left" w:pos="1152"/>
      </w:tabs>
      <w:spacing w:before="240" w:after="64" w:line="319" w:lineRule="auto"/>
      <w:ind w:left="1152" w:hanging="1152" w:firstLineChars="0"/>
      <w:outlineLvl w:val="5"/>
    </w:pPr>
    <w:rPr>
      <w:rFonts w:ascii="Arial" w:hAnsi="Arial" w:eastAsia="黑体"/>
      <w:b/>
      <w:bCs/>
      <w:color w:val="auto"/>
      <w:szCs w:val="24"/>
    </w:rPr>
  </w:style>
  <w:style w:type="paragraph" w:styleId="8">
    <w:name w:val="heading 7"/>
    <w:basedOn w:val="1"/>
    <w:next w:val="1"/>
    <w:link w:val="159"/>
    <w:qFormat/>
    <w:uiPriority w:val="0"/>
    <w:pPr>
      <w:keepNext/>
      <w:keepLines/>
      <w:tabs>
        <w:tab w:val="left" w:pos="1296"/>
      </w:tabs>
      <w:spacing w:before="240" w:after="64" w:line="319" w:lineRule="auto"/>
      <w:ind w:left="1296" w:hanging="1296" w:firstLineChars="0"/>
      <w:outlineLvl w:val="6"/>
    </w:pPr>
    <w:rPr>
      <w:rFonts w:ascii="Times New Roman" w:hAnsi="Times New Roman"/>
      <w:b/>
      <w:bCs/>
      <w:color w:val="auto"/>
      <w:szCs w:val="24"/>
    </w:rPr>
  </w:style>
  <w:style w:type="paragraph" w:styleId="9">
    <w:name w:val="heading 8"/>
    <w:basedOn w:val="1"/>
    <w:next w:val="1"/>
    <w:qFormat/>
    <w:uiPriority w:val="0"/>
    <w:pPr>
      <w:keepNext/>
      <w:keepLines/>
      <w:tabs>
        <w:tab w:val="left" w:pos="1440"/>
      </w:tabs>
      <w:spacing w:before="240" w:after="64" w:line="319" w:lineRule="auto"/>
      <w:ind w:left="1440" w:hanging="1440" w:firstLineChars="0"/>
      <w:outlineLvl w:val="7"/>
    </w:pPr>
    <w:rPr>
      <w:rFonts w:ascii="Arial" w:hAnsi="Arial" w:eastAsia="黑体"/>
      <w:color w:val="auto"/>
      <w:szCs w:val="24"/>
    </w:rPr>
  </w:style>
  <w:style w:type="paragraph" w:styleId="10">
    <w:name w:val="heading 9"/>
    <w:basedOn w:val="1"/>
    <w:next w:val="1"/>
    <w:qFormat/>
    <w:uiPriority w:val="0"/>
    <w:pPr>
      <w:keepNext/>
      <w:keepLines/>
      <w:tabs>
        <w:tab w:val="left" w:pos="1584"/>
      </w:tabs>
      <w:spacing w:before="240" w:after="64" w:line="319" w:lineRule="auto"/>
      <w:ind w:left="1584" w:hanging="1584" w:firstLineChars="0"/>
      <w:outlineLvl w:val="8"/>
    </w:pPr>
    <w:rPr>
      <w:rFonts w:ascii="Arial" w:hAnsi="Arial" w:eastAsia="黑体"/>
      <w:color w:val="auto"/>
      <w:sz w:val="21"/>
    </w:rPr>
  </w:style>
  <w:style w:type="character" w:default="1" w:styleId="87">
    <w:name w:val="Default Paragraph Font"/>
    <w:semiHidden/>
    <w:unhideWhenUsed/>
    <w:qFormat/>
    <w:uiPriority w:val="1"/>
  </w:style>
  <w:style w:type="table" w:default="1" w:styleId="83">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color w:val="auto"/>
      <w:szCs w:val="24"/>
    </w:rPr>
  </w:style>
  <w:style w:type="paragraph" w:styleId="12">
    <w:name w:val="toc 7"/>
    <w:basedOn w:val="1"/>
    <w:next w:val="1"/>
    <w:qFormat/>
    <w:uiPriority w:val="39"/>
    <w:pPr>
      <w:ind w:left="1440"/>
      <w:jc w:val="left"/>
    </w:pPr>
    <w:rPr>
      <w:rFonts w:ascii="Times New Roman" w:hAnsi="Times New Roman"/>
      <w:sz w:val="18"/>
      <w:szCs w:val="18"/>
    </w:rPr>
  </w:style>
  <w:style w:type="paragraph" w:styleId="13">
    <w:name w:val="List Number 2"/>
    <w:basedOn w:val="1"/>
    <w:qFormat/>
    <w:uiPriority w:val="0"/>
    <w:pPr>
      <w:tabs>
        <w:tab w:val="left" w:pos="780"/>
      </w:tabs>
      <w:ind w:left="780" w:hanging="360"/>
    </w:pPr>
    <w:rPr>
      <w:rFonts w:ascii="Times New Roman" w:hAnsi="Times New Roman"/>
      <w:color w:val="auto"/>
      <w:szCs w:val="24"/>
    </w:rPr>
  </w:style>
  <w:style w:type="paragraph" w:styleId="14">
    <w:name w:val="Note Heading"/>
    <w:basedOn w:val="1"/>
    <w:next w:val="1"/>
    <w:qFormat/>
    <w:uiPriority w:val="0"/>
    <w:pPr>
      <w:spacing w:line="240" w:lineRule="auto"/>
      <w:ind w:firstLine="0" w:firstLineChars="0"/>
      <w:jc w:val="center"/>
    </w:pPr>
    <w:rPr>
      <w:rFonts w:ascii="Times New Roman" w:hAnsi="Times New Roman"/>
      <w:color w:val="auto"/>
      <w:sz w:val="21"/>
      <w:szCs w:val="20"/>
    </w:rPr>
  </w:style>
  <w:style w:type="paragraph" w:styleId="15">
    <w:name w:val="List Bullet 4"/>
    <w:basedOn w:val="1"/>
    <w:qFormat/>
    <w:uiPriority w:val="0"/>
    <w:pPr>
      <w:tabs>
        <w:tab w:val="left" w:pos="1620"/>
      </w:tabs>
      <w:ind w:left="1620" w:hanging="360"/>
    </w:pPr>
    <w:rPr>
      <w:rFonts w:ascii="Times New Roman" w:hAnsi="Times New Roman"/>
      <w:color w:val="auto"/>
      <w:szCs w:val="24"/>
    </w:rPr>
  </w:style>
  <w:style w:type="paragraph" w:styleId="16">
    <w:name w:val="index 8"/>
    <w:basedOn w:val="1"/>
    <w:next w:val="1"/>
    <w:qFormat/>
    <w:uiPriority w:val="0"/>
    <w:pPr>
      <w:spacing w:line="240" w:lineRule="auto"/>
      <w:ind w:left="1400" w:leftChars="1400" w:firstLine="0" w:firstLineChars="0"/>
    </w:pPr>
    <w:rPr>
      <w:rFonts w:ascii="Times New Roman" w:hAnsi="Times New Roman"/>
      <w:color w:val="auto"/>
      <w:sz w:val="21"/>
      <w:szCs w:val="24"/>
    </w:rPr>
  </w:style>
  <w:style w:type="paragraph" w:styleId="17">
    <w:name w:val="E-mail Signature"/>
    <w:basedOn w:val="1"/>
    <w:qFormat/>
    <w:uiPriority w:val="0"/>
    <w:pPr>
      <w:ind w:firstLine="0" w:firstLineChars="0"/>
    </w:pPr>
    <w:rPr>
      <w:rFonts w:ascii="Times New Roman" w:hAnsi="Times New Roman"/>
      <w:color w:val="auto"/>
      <w:szCs w:val="24"/>
    </w:rPr>
  </w:style>
  <w:style w:type="paragraph" w:styleId="18">
    <w:name w:val="List Number"/>
    <w:basedOn w:val="1"/>
    <w:qFormat/>
    <w:uiPriority w:val="0"/>
    <w:pPr>
      <w:tabs>
        <w:tab w:val="left" w:pos="-1276"/>
      </w:tabs>
      <w:adjustRightInd w:val="0"/>
      <w:snapToGrid w:val="0"/>
      <w:spacing w:line="300" w:lineRule="auto"/>
      <w:ind w:left="-1276" w:firstLine="0" w:firstLineChars="0"/>
    </w:pPr>
    <w:rPr>
      <w:rFonts w:ascii="仿宋_GB2312" w:hAnsi="Times New Roman" w:eastAsia="仿宋_GB2312"/>
      <w:color w:val="auto"/>
      <w:sz w:val="28"/>
      <w:szCs w:val="24"/>
    </w:rPr>
  </w:style>
  <w:style w:type="paragraph" w:styleId="19">
    <w:name w:val="Normal Indent"/>
    <w:basedOn w:val="1"/>
    <w:link w:val="161"/>
    <w:qFormat/>
    <w:uiPriority w:val="0"/>
    <w:pPr>
      <w:adjustRightInd w:val="0"/>
      <w:snapToGrid w:val="0"/>
      <w:spacing w:line="300" w:lineRule="auto"/>
    </w:pPr>
    <w:rPr>
      <w:rFonts w:ascii="仿宋_GB2312" w:hAnsi="Times New Roman" w:eastAsia="仿宋_GB2312"/>
      <w:color w:val="auto"/>
      <w:sz w:val="28"/>
      <w:szCs w:val="24"/>
    </w:rPr>
  </w:style>
  <w:style w:type="paragraph" w:styleId="20">
    <w:name w:val="caption"/>
    <w:basedOn w:val="1"/>
    <w:next w:val="1"/>
    <w:qFormat/>
    <w:uiPriority w:val="0"/>
    <w:pPr>
      <w:spacing w:line="240" w:lineRule="auto"/>
      <w:ind w:firstLine="0" w:firstLineChars="0"/>
    </w:pPr>
    <w:rPr>
      <w:rFonts w:ascii="Arial" w:hAnsi="Arial" w:eastAsia="黑体" w:cs="Arial"/>
      <w:color w:val="auto"/>
      <w:sz w:val="20"/>
      <w:szCs w:val="20"/>
    </w:rPr>
  </w:style>
  <w:style w:type="paragraph" w:styleId="21">
    <w:name w:val="index 5"/>
    <w:basedOn w:val="1"/>
    <w:next w:val="1"/>
    <w:qFormat/>
    <w:uiPriority w:val="0"/>
    <w:pPr>
      <w:spacing w:line="240" w:lineRule="auto"/>
      <w:ind w:left="800" w:leftChars="800" w:firstLine="0" w:firstLineChars="0"/>
    </w:pPr>
    <w:rPr>
      <w:rFonts w:ascii="Times New Roman" w:hAnsi="Times New Roman"/>
      <w:color w:val="auto"/>
      <w:sz w:val="21"/>
      <w:szCs w:val="24"/>
    </w:rPr>
  </w:style>
  <w:style w:type="paragraph" w:styleId="22">
    <w:name w:val="List Bullet"/>
    <w:basedOn w:val="1"/>
    <w:qFormat/>
    <w:uiPriority w:val="0"/>
    <w:pPr>
      <w:tabs>
        <w:tab w:val="left" w:pos="361"/>
      </w:tabs>
      <w:spacing w:line="240" w:lineRule="auto"/>
      <w:ind w:left="361" w:leftChars="200" w:firstLine="288" w:firstLineChars="0"/>
      <w:jc w:val="left"/>
    </w:pPr>
    <w:rPr>
      <w:rFonts w:ascii="Times New Roman" w:hAnsi="Times New Roman" w:eastAsia="PMingLiU"/>
      <w:color w:val="auto"/>
      <w:szCs w:val="24"/>
      <w:lang w:eastAsia="zh-TW"/>
    </w:rPr>
  </w:style>
  <w:style w:type="paragraph" w:styleId="23">
    <w:name w:val="envelope address"/>
    <w:basedOn w:val="1"/>
    <w:qFormat/>
    <w:uiPriority w:val="0"/>
    <w:pPr>
      <w:snapToGrid w:val="0"/>
      <w:ind w:left="100" w:leftChars="1400" w:firstLine="0" w:firstLineChars="0"/>
    </w:pPr>
    <w:rPr>
      <w:rFonts w:ascii="Arial" w:hAnsi="Arial" w:cs="Arial"/>
      <w:color w:val="auto"/>
      <w:szCs w:val="24"/>
    </w:rPr>
  </w:style>
  <w:style w:type="paragraph" w:styleId="24">
    <w:name w:val="Document Map"/>
    <w:basedOn w:val="1"/>
    <w:qFormat/>
    <w:uiPriority w:val="0"/>
    <w:pPr>
      <w:shd w:val="clear" w:color="auto" w:fill="000080"/>
    </w:pPr>
  </w:style>
  <w:style w:type="paragraph" w:styleId="25">
    <w:name w:val="annotation text"/>
    <w:basedOn w:val="1"/>
    <w:link w:val="785"/>
    <w:qFormat/>
    <w:uiPriority w:val="0"/>
    <w:pPr>
      <w:spacing w:line="240" w:lineRule="auto"/>
      <w:ind w:firstLine="0" w:firstLineChars="0"/>
      <w:jc w:val="left"/>
    </w:pPr>
    <w:rPr>
      <w:rFonts w:ascii="Times New Roman" w:hAnsi="Times New Roman"/>
      <w:color w:val="auto"/>
      <w:sz w:val="21"/>
      <w:szCs w:val="24"/>
    </w:rPr>
  </w:style>
  <w:style w:type="paragraph" w:styleId="26">
    <w:name w:val="index 6"/>
    <w:basedOn w:val="1"/>
    <w:next w:val="1"/>
    <w:qFormat/>
    <w:uiPriority w:val="0"/>
    <w:pPr>
      <w:spacing w:line="240" w:lineRule="auto"/>
      <w:ind w:left="1000" w:leftChars="1000" w:firstLine="0" w:firstLineChars="0"/>
    </w:pPr>
    <w:rPr>
      <w:rFonts w:ascii="Times New Roman" w:hAnsi="Times New Roman"/>
      <w:color w:val="auto"/>
      <w:sz w:val="21"/>
      <w:szCs w:val="24"/>
    </w:rPr>
  </w:style>
  <w:style w:type="paragraph" w:styleId="27">
    <w:name w:val="Salutation"/>
    <w:basedOn w:val="1"/>
    <w:next w:val="1"/>
    <w:qFormat/>
    <w:uiPriority w:val="0"/>
    <w:pPr>
      <w:ind w:firstLine="0" w:firstLineChars="0"/>
    </w:pPr>
    <w:rPr>
      <w:rFonts w:ascii="Times New Roman" w:hAnsi="Times New Roman"/>
      <w:color w:val="auto"/>
      <w:szCs w:val="24"/>
    </w:rPr>
  </w:style>
  <w:style w:type="paragraph" w:styleId="28">
    <w:name w:val="Body Text 3"/>
    <w:basedOn w:val="1"/>
    <w:qFormat/>
    <w:uiPriority w:val="0"/>
    <w:pPr>
      <w:adjustRightInd w:val="0"/>
      <w:snapToGrid w:val="0"/>
      <w:spacing w:line="300" w:lineRule="auto"/>
      <w:ind w:firstLine="0" w:firstLineChars="0"/>
    </w:pPr>
    <w:rPr>
      <w:rFonts w:ascii="仿宋_GB2312" w:hAnsi="Times New Roman" w:eastAsia="仿宋_GB2312"/>
      <w:color w:val="auto"/>
      <w:szCs w:val="24"/>
    </w:rPr>
  </w:style>
  <w:style w:type="paragraph" w:styleId="29">
    <w:name w:val="Closing"/>
    <w:basedOn w:val="1"/>
    <w:qFormat/>
    <w:uiPriority w:val="0"/>
    <w:pPr>
      <w:ind w:left="100" w:leftChars="2100" w:firstLine="0" w:firstLineChars="0"/>
    </w:pPr>
    <w:rPr>
      <w:rFonts w:ascii="Times New Roman" w:hAnsi="Times New Roman"/>
      <w:color w:val="auto"/>
      <w:szCs w:val="24"/>
    </w:rPr>
  </w:style>
  <w:style w:type="paragraph" w:styleId="30">
    <w:name w:val="List Bullet 3"/>
    <w:basedOn w:val="1"/>
    <w:qFormat/>
    <w:uiPriority w:val="0"/>
    <w:pPr>
      <w:tabs>
        <w:tab w:val="left" w:pos="1200"/>
      </w:tabs>
      <w:ind w:left="1200" w:hanging="360"/>
    </w:pPr>
    <w:rPr>
      <w:rFonts w:ascii="Times New Roman" w:hAnsi="Times New Roman"/>
      <w:color w:val="auto"/>
      <w:szCs w:val="24"/>
    </w:rPr>
  </w:style>
  <w:style w:type="paragraph" w:styleId="31">
    <w:name w:val="Body Text"/>
    <w:basedOn w:val="1"/>
    <w:link w:val="160"/>
    <w:qFormat/>
    <w:uiPriority w:val="0"/>
    <w:pPr>
      <w:spacing w:after="120" w:line="240" w:lineRule="auto"/>
      <w:ind w:firstLine="0" w:firstLineChars="0"/>
    </w:pPr>
    <w:rPr>
      <w:rFonts w:ascii="Times New Roman" w:hAnsi="Times New Roman"/>
      <w:color w:val="auto"/>
      <w:sz w:val="21"/>
      <w:szCs w:val="24"/>
    </w:rPr>
  </w:style>
  <w:style w:type="paragraph" w:styleId="32">
    <w:name w:val="Body Text Indent"/>
    <w:basedOn w:val="1"/>
    <w:link w:val="162"/>
    <w:qFormat/>
    <w:uiPriority w:val="0"/>
    <w:pPr>
      <w:spacing w:after="120" w:line="240" w:lineRule="auto"/>
      <w:ind w:left="420" w:leftChars="200" w:firstLine="0" w:firstLineChars="0"/>
    </w:pPr>
    <w:rPr>
      <w:rFonts w:ascii="Times New Roman" w:hAnsi="Times New Roman"/>
      <w:color w:val="auto"/>
      <w:sz w:val="21"/>
      <w:szCs w:val="24"/>
    </w:rPr>
  </w:style>
  <w:style w:type="paragraph" w:styleId="33">
    <w:name w:val="List Number 3"/>
    <w:basedOn w:val="1"/>
    <w:qFormat/>
    <w:uiPriority w:val="0"/>
    <w:pPr>
      <w:tabs>
        <w:tab w:val="left" w:pos="1200"/>
      </w:tabs>
      <w:ind w:left="1200" w:hanging="360"/>
    </w:pPr>
    <w:rPr>
      <w:rFonts w:ascii="Times New Roman" w:hAnsi="Times New Roman"/>
      <w:color w:val="auto"/>
      <w:szCs w:val="24"/>
    </w:rPr>
  </w:style>
  <w:style w:type="paragraph" w:styleId="34">
    <w:name w:val="List 2"/>
    <w:basedOn w:val="1"/>
    <w:qFormat/>
    <w:uiPriority w:val="0"/>
    <w:pPr>
      <w:ind w:left="100" w:leftChars="200" w:hanging="200" w:hangingChars="200"/>
    </w:pPr>
    <w:rPr>
      <w:rFonts w:ascii="Times New Roman" w:hAnsi="Times New Roman"/>
      <w:color w:val="auto"/>
      <w:szCs w:val="24"/>
    </w:rPr>
  </w:style>
  <w:style w:type="paragraph" w:styleId="35">
    <w:name w:val="List Continue"/>
    <w:basedOn w:val="1"/>
    <w:qFormat/>
    <w:uiPriority w:val="0"/>
    <w:pPr>
      <w:spacing w:after="120" w:line="240" w:lineRule="auto"/>
      <w:ind w:left="420" w:firstLine="0" w:firstLineChars="0"/>
    </w:pPr>
    <w:rPr>
      <w:rFonts w:ascii="Times New Roman" w:hAnsi="Times New Roman"/>
      <w:color w:val="auto"/>
      <w:sz w:val="26"/>
      <w:szCs w:val="20"/>
    </w:rPr>
  </w:style>
  <w:style w:type="paragraph" w:styleId="36">
    <w:name w:val="Block Text"/>
    <w:basedOn w:val="1"/>
    <w:qFormat/>
    <w:uiPriority w:val="0"/>
    <w:pPr>
      <w:autoSpaceDE w:val="0"/>
      <w:autoSpaceDN w:val="0"/>
      <w:adjustRightInd w:val="0"/>
      <w:snapToGrid w:val="0"/>
      <w:spacing w:line="240" w:lineRule="auto"/>
      <w:ind w:left="-180" w:right="-120" w:firstLine="0" w:firstLineChars="0"/>
      <w:jc w:val="center"/>
      <w:textAlignment w:val="baseline"/>
    </w:pPr>
    <w:rPr>
      <w:rFonts w:ascii="Times New Roman" w:hAnsi="Times New Roman"/>
      <w:color w:val="auto"/>
      <w:kern w:val="0"/>
      <w:sz w:val="21"/>
      <w:szCs w:val="24"/>
    </w:rPr>
  </w:style>
  <w:style w:type="paragraph" w:styleId="37">
    <w:name w:val="List Bullet 2"/>
    <w:basedOn w:val="1"/>
    <w:qFormat/>
    <w:uiPriority w:val="0"/>
    <w:pPr>
      <w:tabs>
        <w:tab w:val="left" w:pos="540"/>
      </w:tabs>
      <w:spacing w:line="240" w:lineRule="auto"/>
      <w:ind w:left="180" w:firstLine="0" w:firstLineChars="0"/>
    </w:pPr>
    <w:rPr>
      <w:rFonts w:hAnsi="Times New Roman"/>
      <w:color w:val="auto"/>
      <w:sz w:val="26"/>
      <w:szCs w:val="24"/>
    </w:rPr>
  </w:style>
  <w:style w:type="paragraph" w:styleId="38">
    <w:name w:val="HTML Address"/>
    <w:basedOn w:val="1"/>
    <w:qFormat/>
    <w:uiPriority w:val="0"/>
    <w:pPr>
      <w:ind w:firstLine="0" w:firstLineChars="0"/>
    </w:pPr>
    <w:rPr>
      <w:rFonts w:ascii="Times New Roman" w:hAnsi="Times New Roman"/>
      <w:i/>
      <w:iCs/>
      <w:color w:val="auto"/>
      <w:szCs w:val="24"/>
    </w:rPr>
  </w:style>
  <w:style w:type="paragraph" w:styleId="39">
    <w:name w:val="index 4"/>
    <w:basedOn w:val="1"/>
    <w:next w:val="1"/>
    <w:qFormat/>
    <w:uiPriority w:val="0"/>
    <w:pPr>
      <w:suppressAutoHyphens/>
      <w:adjustRightInd w:val="0"/>
      <w:spacing w:line="300" w:lineRule="auto"/>
      <w:ind w:left="1260" w:firstLine="0" w:firstLineChars="0"/>
    </w:pPr>
    <w:rPr>
      <w:rFonts w:ascii="Times New Roman" w:hAnsi="Times New Roman"/>
      <w:color w:val="auto"/>
      <w:kern w:val="28"/>
      <w:szCs w:val="20"/>
    </w:rPr>
  </w:style>
  <w:style w:type="paragraph" w:styleId="40">
    <w:name w:val="toc 5"/>
    <w:basedOn w:val="1"/>
    <w:next w:val="1"/>
    <w:qFormat/>
    <w:uiPriority w:val="39"/>
    <w:pPr>
      <w:ind w:left="960"/>
      <w:jc w:val="left"/>
    </w:pPr>
    <w:rPr>
      <w:rFonts w:ascii="Times New Roman" w:hAnsi="Times New Roman"/>
      <w:sz w:val="18"/>
      <w:szCs w:val="18"/>
    </w:rPr>
  </w:style>
  <w:style w:type="paragraph" w:styleId="41">
    <w:name w:val="toc 3"/>
    <w:basedOn w:val="1"/>
    <w:next w:val="1"/>
    <w:qFormat/>
    <w:uiPriority w:val="39"/>
    <w:pPr>
      <w:ind w:left="480"/>
      <w:jc w:val="left"/>
    </w:pPr>
    <w:rPr>
      <w:rFonts w:ascii="Times New Roman" w:hAnsi="Times New Roman"/>
      <w:i/>
      <w:iCs/>
      <w:sz w:val="20"/>
      <w:szCs w:val="20"/>
    </w:rPr>
  </w:style>
  <w:style w:type="paragraph" w:styleId="42">
    <w:name w:val="Plain Text"/>
    <w:basedOn w:val="1"/>
    <w:link w:val="163"/>
    <w:qFormat/>
    <w:uiPriority w:val="0"/>
    <w:pPr>
      <w:spacing w:line="240" w:lineRule="auto"/>
      <w:ind w:firstLine="0" w:firstLineChars="0"/>
    </w:pPr>
    <w:rPr>
      <w:rFonts w:hAnsi="Courier New" w:cs="Courier New"/>
      <w:color w:val="auto"/>
      <w:sz w:val="21"/>
    </w:rPr>
  </w:style>
  <w:style w:type="paragraph" w:styleId="43">
    <w:name w:val="List Bullet 5"/>
    <w:basedOn w:val="1"/>
    <w:qFormat/>
    <w:uiPriority w:val="0"/>
    <w:pPr>
      <w:tabs>
        <w:tab w:val="left" w:pos="2040"/>
      </w:tabs>
      <w:spacing w:line="240" w:lineRule="auto"/>
      <w:ind w:left="2040" w:leftChars="800" w:hanging="360" w:hangingChars="200"/>
    </w:pPr>
    <w:rPr>
      <w:rFonts w:hint="eastAsia"/>
      <w:color w:val="auto"/>
      <w:szCs w:val="24"/>
    </w:rPr>
  </w:style>
  <w:style w:type="paragraph" w:styleId="44">
    <w:name w:val="List Number 4"/>
    <w:basedOn w:val="1"/>
    <w:qFormat/>
    <w:uiPriority w:val="0"/>
    <w:pPr>
      <w:tabs>
        <w:tab w:val="left" w:pos="1620"/>
      </w:tabs>
      <w:ind w:left="1620" w:hanging="360"/>
    </w:pPr>
    <w:rPr>
      <w:rFonts w:ascii="Times New Roman" w:hAnsi="Times New Roman"/>
      <w:color w:val="auto"/>
      <w:szCs w:val="24"/>
    </w:rPr>
  </w:style>
  <w:style w:type="paragraph" w:styleId="45">
    <w:name w:val="toc 8"/>
    <w:basedOn w:val="1"/>
    <w:next w:val="1"/>
    <w:qFormat/>
    <w:uiPriority w:val="39"/>
    <w:pPr>
      <w:ind w:left="1680"/>
      <w:jc w:val="left"/>
    </w:pPr>
    <w:rPr>
      <w:rFonts w:ascii="Times New Roman" w:hAnsi="Times New Roman"/>
      <w:sz w:val="18"/>
      <w:szCs w:val="18"/>
    </w:rPr>
  </w:style>
  <w:style w:type="paragraph" w:styleId="46">
    <w:name w:val="index 3"/>
    <w:basedOn w:val="1"/>
    <w:next w:val="1"/>
    <w:qFormat/>
    <w:uiPriority w:val="0"/>
    <w:pPr>
      <w:spacing w:line="240" w:lineRule="auto"/>
      <w:ind w:left="400" w:leftChars="400" w:firstLine="0" w:firstLineChars="0"/>
    </w:pPr>
    <w:rPr>
      <w:rFonts w:ascii="Times New Roman" w:hAnsi="Times New Roman"/>
      <w:color w:val="auto"/>
      <w:sz w:val="21"/>
      <w:szCs w:val="24"/>
    </w:rPr>
  </w:style>
  <w:style w:type="paragraph" w:styleId="47">
    <w:name w:val="Date"/>
    <w:basedOn w:val="1"/>
    <w:next w:val="1"/>
    <w:link w:val="164"/>
    <w:qFormat/>
    <w:uiPriority w:val="0"/>
    <w:pPr>
      <w:adjustRightInd w:val="0"/>
      <w:snapToGrid w:val="0"/>
      <w:spacing w:line="300" w:lineRule="auto"/>
      <w:ind w:left="100" w:leftChars="2500" w:firstLine="0" w:firstLineChars="0"/>
    </w:pPr>
    <w:rPr>
      <w:rFonts w:ascii="Times New Roman" w:hAnsi="Times New Roman" w:eastAsia="仿宋_GB2312"/>
      <w:color w:val="auto"/>
      <w:sz w:val="28"/>
      <w:szCs w:val="24"/>
    </w:rPr>
  </w:style>
  <w:style w:type="paragraph" w:styleId="48">
    <w:name w:val="Body Text Indent 2"/>
    <w:basedOn w:val="1"/>
    <w:link w:val="165"/>
    <w:qFormat/>
    <w:uiPriority w:val="0"/>
    <w:pPr>
      <w:spacing w:after="120" w:line="480" w:lineRule="auto"/>
      <w:ind w:left="420" w:leftChars="200" w:firstLine="0" w:firstLineChars="0"/>
    </w:pPr>
    <w:rPr>
      <w:rFonts w:ascii="Times New Roman" w:hAnsi="Times New Roman"/>
      <w:color w:val="auto"/>
      <w:sz w:val="21"/>
      <w:szCs w:val="24"/>
    </w:rPr>
  </w:style>
  <w:style w:type="paragraph" w:styleId="49">
    <w:name w:val="List Continue 5"/>
    <w:basedOn w:val="1"/>
    <w:qFormat/>
    <w:uiPriority w:val="0"/>
    <w:pPr>
      <w:spacing w:after="120"/>
      <w:ind w:left="2100" w:leftChars="1000" w:firstLine="0" w:firstLineChars="0"/>
    </w:pPr>
    <w:rPr>
      <w:rFonts w:ascii="Times New Roman" w:hAnsi="Times New Roman"/>
      <w:color w:val="auto"/>
      <w:szCs w:val="24"/>
    </w:rPr>
  </w:style>
  <w:style w:type="paragraph" w:styleId="50">
    <w:name w:val="Balloon Text"/>
    <w:basedOn w:val="1"/>
    <w:qFormat/>
    <w:uiPriority w:val="0"/>
    <w:rPr>
      <w:sz w:val="18"/>
      <w:szCs w:val="18"/>
    </w:rPr>
  </w:style>
  <w:style w:type="paragraph" w:styleId="51">
    <w:name w:val="footer"/>
    <w:basedOn w:val="1"/>
    <w:link w:val="166"/>
    <w:qFormat/>
    <w:uiPriority w:val="99"/>
    <w:pPr>
      <w:tabs>
        <w:tab w:val="center" w:pos="4153"/>
        <w:tab w:val="right" w:pos="8306"/>
      </w:tabs>
      <w:snapToGrid w:val="0"/>
      <w:spacing w:line="240" w:lineRule="auto"/>
      <w:jc w:val="left"/>
    </w:pPr>
    <w:rPr>
      <w:sz w:val="18"/>
      <w:szCs w:val="18"/>
    </w:rPr>
  </w:style>
  <w:style w:type="paragraph" w:styleId="52">
    <w:name w:val="envelope return"/>
    <w:basedOn w:val="1"/>
    <w:qFormat/>
    <w:uiPriority w:val="0"/>
    <w:pPr>
      <w:snapToGrid w:val="0"/>
      <w:ind w:firstLine="0" w:firstLineChars="0"/>
    </w:pPr>
    <w:rPr>
      <w:rFonts w:ascii="Arial" w:hAnsi="Arial" w:cs="Arial"/>
      <w:color w:val="auto"/>
      <w:szCs w:val="24"/>
    </w:rPr>
  </w:style>
  <w:style w:type="paragraph" w:styleId="53">
    <w:name w:val="header"/>
    <w:basedOn w:val="1"/>
    <w:link w:val="167"/>
    <w:qFormat/>
    <w:uiPriority w:val="0"/>
    <w:pPr>
      <w:pBdr>
        <w:bottom w:val="single" w:color="auto" w:sz="6" w:space="1"/>
      </w:pBdr>
      <w:tabs>
        <w:tab w:val="center" w:pos="4153"/>
        <w:tab w:val="right" w:pos="8306"/>
      </w:tabs>
      <w:snapToGrid w:val="0"/>
      <w:spacing w:line="240" w:lineRule="auto"/>
      <w:ind w:firstLine="0" w:firstLineChars="0"/>
      <w:jc w:val="center"/>
    </w:pPr>
    <w:rPr>
      <w:rFonts w:ascii="Times New Roman" w:hAnsi="Times New Roman"/>
      <w:color w:val="auto"/>
      <w:sz w:val="18"/>
      <w:szCs w:val="18"/>
    </w:rPr>
  </w:style>
  <w:style w:type="paragraph" w:styleId="54">
    <w:name w:val="Signature"/>
    <w:basedOn w:val="1"/>
    <w:qFormat/>
    <w:uiPriority w:val="0"/>
    <w:pPr>
      <w:ind w:left="100" w:leftChars="2100" w:firstLine="0" w:firstLineChars="0"/>
    </w:pPr>
    <w:rPr>
      <w:rFonts w:ascii="Times New Roman" w:hAnsi="Times New Roman"/>
      <w:color w:val="auto"/>
      <w:szCs w:val="24"/>
    </w:rPr>
  </w:style>
  <w:style w:type="paragraph" w:styleId="55">
    <w:name w:val="toc 1"/>
    <w:basedOn w:val="1"/>
    <w:next w:val="1"/>
    <w:qFormat/>
    <w:uiPriority w:val="39"/>
    <w:pPr>
      <w:tabs>
        <w:tab w:val="left" w:pos="420"/>
        <w:tab w:val="right" w:leader="dot" w:pos="8834"/>
      </w:tabs>
      <w:ind w:firstLine="0" w:firstLineChars="0"/>
      <w:jc w:val="left"/>
    </w:pPr>
    <w:rPr>
      <w:b/>
      <w:bCs/>
      <w:caps/>
      <w:szCs w:val="24"/>
    </w:rPr>
  </w:style>
  <w:style w:type="paragraph" w:styleId="56">
    <w:name w:val="List Continue 4"/>
    <w:basedOn w:val="1"/>
    <w:qFormat/>
    <w:uiPriority w:val="0"/>
    <w:pPr>
      <w:spacing w:after="120"/>
      <w:ind w:left="1680" w:leftChars="800" w:firstLine="0" w:firstLineChars="0"/>
    </w:pPr>
    <w:rPr>
      <w:rFonts w:ascii="Times New Roman" w:hAnsi="Times New Roman"/>
      <w:color w:val="auto"/>
      <w:szCs w:val="24"/>
    </w:rPr>
  </w:style>
  <w:style w:type="paragraph" w:styleId="57">
    <w:name w:val="toc 4"/>
    <w:basedOn w:val="1"/>
    <w:next w:val="1"/>
    <w:qFormat/>
    <w:uiPriority w:val="39"/>
    <w:pPr>
      <w:ind w:left="720"/>
      <w:jc w:val="left"/>
    </w:pPr>
    <w:rPr>
      <w:rFonts w:ascii="Times New Roman" w:hAnsi="Times New Roman"/>
      <w:sz w:val="18"/>
      <w:szCs w:val="18"/>
    </w:rPr>
  </w:style>
  <w:style w:type="paragraph" w:styleId="58">
    <w:name w:val="index heading"/>
    <w:basedOn w:val="1"/>
    <w:next w:val="59"/>
    <w:qFormat/>
    <w:uiPriority w:val="0"/>
    <w:pPr>
      <w:spacing w:line="240" w:lineRule="auto"/>
      <w:ind w:firstLine="0" w:firstLineChars="0"/>
    </w:pPr>
    <w:rPr>
      <w:rFonts w:ascii="Times New Roman" w:hAnsi="Times New Roman"/>
      <w:color w:val="auto"/>
      <w:sz w:val="26"/>
      <w:szCs w:val="24"/>
    </w:rPr>
  </w:style>
  <w:style w:type="paragraph" w:styleId="59">
    <w:name w:val="index 1"/>
    <w:basedOn w:val="1"/>
    <w:next w:val="1"/>
    <w:qFormat/>
    <w:uiPriority w:val="0"/>
    <w:pPr>
      <w:suppressAutoHyphens/>
      <w:adjustRightInd w:val="0"/>
      <w:spacing w:line="300" w:lineRule="auto"/>
      <w:ind w:firstLine="0" w:firstLineChars="0"/>
    </w:pPr>
    <w:rPr>
      <w:rFonts w:ascii="Times New Roman" w:hAnsi="Times New Roman"/>
      <w:color w:val="auto"/>
      <w:kern w:val="28"/>
      <w:szCs w:val="20"/>
    </w:rPr>
  </w:style>
  <w:style w:type="paragraph" w:styleId="60">
    <w:name w:val="Subtitle"/>
    <w:basedOn w:val="1"/>
    <w:qFormat/>
    <w:uiPriority w:val="0"/>
    <w:pPr>
      <w:spacing w:before="240" w:after="60" w:line="312" w:lineRule="auto"/>
      <w:ind w:firstLine="0" w:firstLineChars="0"/>
      <w:jc w:val="center"/>
      <w:outlineLvl w:val="1"/>
    </w:pPr>
    <w:rPr>
      <w:rFonts w:ascii="Arial" w:hAnsi="Arial" w:cs="Arial"/>
      <w:b/>
      <w:bCs/>
      <w:color w:val="auto"/>
      <w:kern w:val="28"/>
      <w:sz w:val="32"/>
      <w:szCs w:val="32"/>
    </w:rPr>
  </w:style>
  <w:style w:type="paragraph" w:styleId="61">
    <w:name w:val="List Number 5"/>
    <w:basedOn w:val="1"/>
    <w:qFormat/>
    <w:uiPriority w:val="0"/>
    <w:pPr>
      <w:tabs>
        <w:tab w:val="left" w:pos="2295"/>
      </w:tabs>
      <w:ind w:left="2295" w:hanging="360"/>
    </w:pPr>
    <w:rPr>
      <w:rFonts w:ascii="Times New Roman" w:hAnsi="Times New Roman"/>
      <w:color w:val="auto"/>
      <w:szCs w:val="24"/>
    </w:rPr>
  </w:style>
  <w:style w:type="paragraph" w:styleId="62">
    <w:name w:val="List"/>
    <w:basedOn w:val="1"/>
    <w:qFormat/>
    <w:uiPriority w:val="0"/>
    <w:pPr>
      <w:spacing w:line="360" w:lineRule="exact"/>
      <w:ind w:firstLine="0" w:firstLineChars="0"/>
      <w:jc w:val="center"/>
    </w:pPr>
    <w:rPr>
      <w:rFonts w:ascii="仿宋_GB2312" w:hAnsi="Times New Roman" w:eastAsia="仿宋_GB2312"/>
      <w:color w:val="auto"/>
      <w:szCs w:val="20"/>
    </w:rPr>
  </w:style>
  <w:style w:type="paragraph" w:styleId="63">
    <w:name w:val="toc 6"/>
    <w:basedOn w:val="1"/>
    <w:next w:val="1"/>
    <w:qFormat/>
    <w:uiPriority w:val="39"/>
    <w:pPr>
      <w:ind w:left="1200"/>
      <w:jc w:val="left"/>
    </w:pPr>
    <w:rPr>
      <w:rFonts w:ascii="Times New Roman" w:hAnsi="Times New Roman"/>
      <w:sz w:val="18"/>
      <w:szCs w:val="18"/>
    </w:rPr>
  </w:style>
  <w:style w:type="paragraph" w:styleId="64">
    <w:name w:val="List 5"/>
    <w:basedOn w:val="1"/>
    <w:qFormat/>
    <w:uiPriority w:val="0"/>
    <w:pPr>
      <w:ind w:left="100" w:leftChars="800" w:hanging="200" w:hangingChars="200"/>
    </w:pPr>
    <w:rPr>
      <w:rFonts w:ascii="Times New Roman" w:hAnsi="Times New Roman"/>
      <w:color w:val="auto"/>
      <w:szCs w:val="24"/>
    </w:rPr>
  </w:style>
  <w:style w:type="paragraph" w:styleId="65">
    <w:name w:val="Body Text Indent 3"/>
    <w:basedOn w:val="1"/>
    <w:qFormat/>
    <w:uiPriority w:val="0"/>
    <w:pPr>
      <w:adjustRightInd w:val="0"/>
      <w:snapToGrid w:val="0"/>
      <w:spacing w:line="300" w:lineRule="auto"/>
      <w:ind w:left="420" w:leftChars="150" w:firstLine="480"/>
    </w:pPr>
    <w:rPr>
      <w:rFonts w:ascii="Times New Roman" w:hAnsi="Times New Roman" w:eastAsia="仿宋_GB2312"/>
      <w:color w:val="auto"/>
      <w:szCs w:val="24"/>
    </w:rPr>
  </w:style>
  <w:style w:type="paragraph" w:styleId="66">
    <w:name w:val="index 7"/>
    <w:basedOn w:val="1"/>
    <w:next w:val="1"/>
    <w:qFormat/>
    <w:uiPriority w:val="0"/>
    <w:pPr>
      <w:spacing w:line="240" w:lineRule="auto"/>
      <w:ind w:left="1200" w:leftChars="1200" w:firstLine="0" w:firstLineChars="0"/>
    </w:pPr>
    <w:rPr>
      <w:rFonts w:ascii="Times New Roman" w:hAnsi="Times New Roman"/>
      <w:color w:val="auto"/>
      <w:sz w:val="21"/>
      <w:szCs w:val="24"/>
    </w:rPr>
  </w:style>
  <w:style w:type="paragraph" w:styleId="67">
    <w:name w:val="index 9"/>
    <w:basedOn w:val="1"/>
    <w:next w:val="1"/>
    <w:qFormat/>
    <w:uiPriority w:val="0"/>
    <w:pPr>
      <w:spacing w:line="240" w:lineRule="auto"/>
      <w:ind w:left="1600" w:leftChars="1600" w:firstLine="0" w:firstLineChars="0"/>
    </w:pPr>
    <w:rPr>
      <w:rFonts w:ascii="Times New Roman" w:hAnsi="Times New Roman"/>
      <w:color w:val="auto"/>
      <w:sz w:val="21"/>
      <w:szCs w:val="24"/>
    </w:rPr>
  </w:style>
  <w:style w:type="paragraph" w:styleId="68">
    <w:name w:val="table of figures"/>
    <w:basedOn w:val="1"/>
    <w:next w:val="1"/>
    <w:qFormat/>
    <w:uiPriority w:val="0"/>
    <w:pPr>
      <w:spacing w:after="120" w:line="500" w:lineRule="exact"/>
      <w:ind w:firstLine="0" w:firstLineChars="0"/>
      <w:jc w:val="center"/>
    </w:pPr>
    <w:rPr>
      <w:rFonts w:ascii="仿宋_GB2312" w:hAnsi="Times New Roman" w:eastAsia="仿宋_GB2312"/>
      <w:color w:val="auto"/>
      <w:sz w:val="28"/>
      <w:szCs w:val="20"/>
    </w:rPr>
  </w:style>
  <w:style w:type="paragraph" w:styleId="69">
    <w:name w:val="toc 2"/>
    <w:basedOn w:val="1"/>
    <w:next w:val="1"/>
    <w:qFormat/>
    <w:uiPriority w:val="39"/>
    <w:pPr>
      <w:tabs>
        <w:tab w:val="left" w:pos="794"/>
        <w:tab w:val="right" w:leader="dot" w:pos="8834"/>
      </w:tabs>
      <w:ind w:left="269" w:leftChars="112" w:firstLine="0" w:firstLineChars="0"/>
      <w:jc w:val="center"/>
    </w:pPr>
    <w:rPr>
      <w:rFonts w:ascii="Times New Roman" w:hAnsi="Times New Roman"/>
      <w:smallCaps/>
      <w:sz w:val="20"/>
      <w:szCs w:val="20"/>
    </w:rPr>
  </w:style>
  <w:style w:type="paragraph" w:styleId="70">
    <w:name w:val="toc 9"/>
    <w:basedOn w:val="1"/>
    <w:next w:val="1"/>
    <w:qFormat/>
    <w:uiPriority w:val="39"/>
    <w:pPr>
      <w:ind w:left="1920"/>
      <w:jc w:val="left"/>
    </w:pPr>
    <w:rPr>
      <w:rFonts w:ascii="Times New Roman" w:hAnsi="Times New Roman"/>
      <w:sz w:val="18"/>
      <w:szCs w:val="18"/>
    </w:rPr>
  </w:style>
  <w:style w:type="paragraph" w:styleId="71">
    <w:name w:val="Body Text 2"/>
    <w:basedOn w:val="1"/>
    <w:qFormat/>
    <w:uiPriority w:val="0"/>
    <w:pPr>
      <w:adjustRightInd w:val="0"/>
      <w:snapToGrid w:val="0"/>
      <w:spacing w:line="300" w:lineRule="auto"/>
      <w:ind w:firstLine="0" w:firstLineChars="0"/>
      <w:jc w:val="right"/>
    </w:pPr>
    <w:rPr>
      <w:rFonts w:ascii="仿宋_GB2312" w:hAnsi="Times New Roman" w:eastAsia="仿宋_GB2312"/>
      <w:color w:val="auto"/>
      <w:kern w:val="0"/>
      <w:szCs w:val="20"/>
    </w:rPr>
  </w:style>
  <w:style w:type="paragraph" w:styleId="72">
    <w:name w:val="List 4"/>
    <w:basedOn w:val="1"/>
    <w:qFormat/>
    <w:uiPriority w:val="0"/>
    <w:pPr>
      <w:ind w:left="100" w:leftChars="600" w:hanging="200" w:hangingChars="200"/>
    </w:pPr>
    <w:rPr>
      <w:rFonts w:ascii="Times New Roman" w:hAnsi="Times New Roman"/>
      <w:color w:val="auto"/>
      <w:szCs w:val="24"/>
    </w:rPr>
  </w:style>
  <w:style w:type="paragraph" w:styleId="73">
    <w:name w:val="List Continue 2"/>
    <w:basedOn w:val="1"/>
    <w:qFormat/>
    <w:uiPriority w:val="0"/>
    <w:pPr>
      <w:spacing w:after="120"/>
      <w:ind w:left="840" w:leftChars="400" w:firstLine="0" w:firstLineChars="0"/>
    </w:pPr>
    <w:rPr>
      <w:rFonts w:ascii="Times New Roman" w:hAnsi="Times New Roman"/>
      <w:color w:val="auto"/>
      <w:szCs w:val="24"/>
    </w:rPr>
  </w:style>
  <w:style w:type="paragraph" w:styleId="7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color w:val="auto"/>
      <w:szCs w:val="24"/>
    </w:rPr>
  </w:style>
  <w:style w:type="paragraph" w:styleId="75">
    <w:name w:val="HTML Preformatted"/>
    <w:basedOn w:val="1"/>
    <w:link w:val="16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0" w:firstLineChars="0"/>
      <w:jc w:val="left"/>
    </w:pPr>
    <w:rPr>
      <w:rFonts w:ascii="Arial" w:hAnsi="Arial"/>
      <w:color w:val="auto"/>
      <w:kern w:val="0"/>
      <w:sz w:val="21"/>
    </w:rPr>
  </w:style>
  <w:style w:type="paragraph" w:styleId="76">
    <w:name w:val="Normal (Web)"/>
    <w:basedOn w:val="1"/>
    <w:qFormat/>
    <w:uiPriority w:val="0"/>
    <w:pPr>
      <w:widowControl/>
      <w:spacing w:before="100" w:beforeAutospacing="1" w:after="100" w:afterAutospacing="1" w:line="240" w:lineRule="auto"/>
      <w:ind w:firstLine="0" w:firstLineChars="0"/>
      <w:jc w:val="left"/>
    </w:pPr>
    <w:rPr>
      <w:rFonts w:cs="宋体"/>
      <w:kern w:val="0"/>
      <w:szCs w:val="24"/>
    </w:rPr>
  </w:style>
  <w:style w:type="paragraph" w:styleId="77">
    <w:name w:val="List Continue 3"/>
    <w:basedOn w:val="1"/>
    <w:qFormat/>
    <w:uiPriority w:val="0"/>
    <w:pPr>
      <w:spacing w:after="120"/>
      <w:ind w:left="1260" w:leftChars="600" w:firstLine="0" w:firstLineChars="0"/>
    </w:pPr>
    <w:rPr>
      <w:rFonts w:ascii="Times New Roman" w:hAnsi="Times New Roman"/>
      <w:color w:val="auto"/>
      <w:szCs w:val="24"/>
    </w:rPr>
  </w:style>
  <w:style w:type="paragraph" w:styleId="78">
    <w:name w:val="index 2"/>
    <w:basedOn w:val="1"/>
    <w:next w:val="1"/>
    <w:qFormat/>
    <w:uiPriority w:val="0"/>
    <w:pPr>
      <w:tabs>
        <w:tab w:val="left" w:pos="907"/>
      </w:tabs>
      <w:adjustRightInd w:val="0"/>
      <w:spacing w:line="280" w:lineRule="exact"/>
      <w:ind w:firstLine="0" w:firstLineChars="0"/>
      <w:jc w:val="center"/>
      <w:textAlignment w:val="baseline"/>
    </w:pPr>
    <w:rPr>
      <w:kern w:val="0"/>
      <w:sz w:val="21"/>
      <w:szCs w:val="20"/>
    </w:rPr>
  </w:style>
  <w:style w:type="paragraph" w:styleId="79">
    <w:name w:val="Title"/>
    <w:basedOn w:val="1"/>
    <w:qFormat/>
    <w:uiPriority w:val="0"/>
    <w:pPr>
      <w:adjustRightInd w:val="0"/>
      <w:snapToGrid w:val="0"/>
      <w:spacing w:before="240" w:after="240" w:line="300" w:lineRule="auto"/>
      <w:ind w:firstLine="0" w:firstLineChars="0"/>
      <w:jc w:val="left"/>
      <w:outlineLvl w:val="0"/>
    </w:pPr>
    <w:rPr>
      <w:rFonts w:ascii="仿宋_GB2312" w:hAnsi="Arial" w:eastAsia="仿宋_GB2312" w:cs="Arial"/>
      <w:b/>
      <w:bCs/>
      <w:color w:val="auto"/>
      <w:sz w:val="32"/>
      <w:szCs w:val="32"/>
    </w:rPr>
  </w:style>
  <w:style w:type="paragraph" w:styleId="80">
    <w:name w:val="annotation subject"/>
    <w:basedOn w:val="25"/>
    <w:next w:val="25"/>
    <w:qFormat/>
    <w:uiPriority w:val="0"/>
    <w:rPr>
      <w:b/>
      <w:bCs/>
    </w:rPr>
  </w:style>
  <w:style w:type="paragraph" w:styleId="81">
    <w:name w:val="Body Text First Indent"/>
    <w:basedOn w:val="31"/>
    <w:qFormat/>
    <w:uiPriority w:val="0"/>
    <w:pPr>
      <w:ind w:firstLine="420" w:firstLineChars="100"/>
    </w:pPr>
    <w:rPr>
      <w:sz w:val="24"/>
    </w:rPr>
  </w:style>
  <w:style w:type="paragraph" w:styleId="82">
    <w:name w:val="Body Text First Indent 2"/>
    <w:basedOn w:val="32"/>
    <w:qFormat/>
    <w:uiPriority w:val="0"/>
    <w:pPr>
      <w:adjustRightInd w:val="0"/>
      <w:snapToGrid w:val="0"/>
      <w:spacing w:line="300" w:lineRule="auto"/>
      <w:ind w:firstLine="420" w:firstLineChars="200"/>
    </w:pPr>
    <w:rPr>
      <w:rFonts w:ascii="仿宋_GB2312" w:eastAsia="仿宋_GB2312"/>
      <w:sz w:val="28"/>
    </w:rPr>
  </w:style>
  <w:style w:type="table" w:styleId="84">
    <w:name w:val="Table Grid"/>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5">
    <w:name w:val="Table Theme"/>
    <w:basedOn w:val="83"/>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6">
    <w:name w:val="Table Grid 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88">
    <w:name w:val="Strong"/>
    <w:qFormat/>
    <w:uiPriority w:val="0"/>
    <w:rPr>
      <w:b/>
      <w:bCs/>
    </w:rPr>
  </w:style>
  <w:style w:type="character" w:styleId="89">
    <w:name w:val="page number"/>
    <w:basedOn w:val="87"/>
    <w:qFormat/>
    <w:uiPriority w:val="0"/>
  </w:style>
  <w:style w:type="character" w:styleId="90">
    <w:name w:val="FollowedHyperlink"/>
    <w:qFormat/>
    <w:uiPriority w:val="0"/>
    <w:rPr>
      <w:color w:val="800080"/>
      <w:u w:val="single"/>
    </w:rPr>
  </w:style>
  <w:style w:type="character" w:styleId="91">
    <w:name w:val="Emphasis"/>
    <w:qFormat/>
    <w:uiPriority w:val="0"/>
    <w:rPr>
      <w:i/>
      <w:iCs/>
    </w:rPr>
  </w:style>
  <w:style w:type="character" w:styleId="92">
    <w:name w:val="line number"/>
    <w:basedOn w:val="87"/>
    <w:qFormat/>
    <w:uiPriority w:val="0"/>
  </w:style>
  <w:style w:type="character" w:styleId="93">
    <w:name w:val="HTML Definition"/>
    <w:qFormat/>
    <w:uiPriority w:val="0"/>
    <w:rPr>
      <w:i/>
      <w:iCs/>
    </w:rPr>
  </w:style>
  <w:style w:type="character" w:styleId="94">
    <w:name w:val="HTML Typewriter"/>
    <w:qFormat/>
    <w:uiPriority w:val="0"/>
    <w:rPr>
      <w:rFonts w:ascii="Courier New" w:hAnsi="Courier New" w:cs="Courier New"/>
      <w:sz w:val="20"/>
      <w:szCs w:val="20"/>
    </w:rPr>
  </w:style>
  <w:style w:type="character" w:styleId="95">
    <w:name w:val="HTML Acronym"/>
    <w:basedOn w:val="87"/>
    <w:qFormat/>
    <w:uiPriority w:val="0"/>
  </w:style>
  <w:style w:type="character" w:styleId="96">
    <w:name w:val="HTML Variable"/>
    <w:qFormat/>
    <w:uiPriority w:val="0"/>
    <w:rPr>
      <w:i/>
      <w:iCs/>
    </w:rPr>
  </w:style>
  <w:style w:type="character" w:styleId="97">
    <w:name w:val="Hyperlink"/>
    <w:qFormat/>
    <w:uiPriority w:val="99"/>
    <w:rPr>
      <w:color w:val="333333"/>
      <w:sz w:val="18"/>
      <w:szCs w:val="18"/>
      <w:u w:val="single"/>
    </w:rPr>
  </w:style>
  <w:style w:type="character" w:styleId="98">
    <w:name w:val="HTML Code"/>
    <w:qFormat/>
    <w:uiPriority w:val="0"/>
    <w:rPr>
      <w:rFonts w:ascii="Courier New" w:hAnsi="Courier New" w:cs="Courier New"/>
      <w:sz w:val="20"/>
      <w:szCs w:val="20"/>
    </w:rPr>
  </w:style>
  <w:style w:type="character" w:styleId="99">
    <w:name w:val="annotation reference"/>
    <w:qFormat/>
    <w:uiPriority w:val="0"/>
    <w:rPr>
      <w:sz w:val="21"/>
      <w:szCs w:val="21"/>
    </w:rPr>
  </w:style>
  <w:style w:type="character" w:styleId="100">
    <w:name w:val="HTML Cite"/>
    <w:qFormat/>
    <w:uiPriority w:val="0"/>
    <w:rPr>
      <w:i/>
      <w:iCs/>
    </w:rPr>
  </w:style>
  <w:style w:type="character" w:styleId="101">
    <w:name w:val="HTML Keyboard"/>
    <w:qFormat/>
    <w:uiPriority w:val="0"/>
    <w:rPr>
      <w:rFonts w:ascii="Courier New" w:hAnsi="Courier New" w:cs="Courier New"/>
      <w:sz w:val="20"/>
      <w:szCs w:val="20"/>
    </w:rPr>
  </w:style>
  <w:style w:type="character" w:styleId="102">
    <w:name w:val="HTML Sample"/>
    <w:qFormat/>
    <w:uiPriority w:val="0"/>
    <w:rPr>
      <w:rFonts w:ascii="Courier New" w:hAnsi="Courier New" w:cs="Courier New"/>
    </w:rPr>
  </w:style>
  <w:style w:type="character" w:customStyle="1" w:styleId="103">
    <w:name w:val="二级标题 Char Char"/>
    <w:link w:val="104"/>
    <w:qFormat/>
    <w:uiPriority w:val="0"/>
    <w:rPr>
      <w:rFonts w:eastAsia="宋体"/>
      <w:b/>
      <w:snapToGrid w:val="0"/>
      <w:color w:val="000000"/>
      <w:sz w:val="28"/>
      <w:szCs w:val="24"/>
      <w:lang w:val="en-US" w:eastAsia="zh-CN" w:bidi="ar-SA"/>
    </w:rPr>
  </w:style>
  <w:style w:type="paragraph" w:customStyle="1" w:styleId="104">
    <w:name w:val="二级标题"/>
    <w:basedOn w:val="1"/>
    <w:link w:val="103"/>
    <w:qFormat/>
    <w:uiPriority w:val="0"/>
    <w:pPr>
      <w:spacing w:before="60" w:line="460" w:lineRule="exact"/>
      <w:ind w:firstLine="0" w:firstLineChars="0"/>
      <w:outlineLvl w:val="1"/>
    </w:pPr>
    <w:rPr>
      <w:rFonts w:ascii="Times New Roman" w:hAnsi="Times New Roman"/>
      <w:b/>
      <w:snapToGrid w:val="0"/>
      <w:kern w:val="0"/>
      <w:sz w:val="28"/>
      <w:szCs w:val="24"/>
    </w:rPr>
  </w:style>
  <w:style w:type="character" w:customStyle="1" w:styleId="105">
    <w:name w:val="正文001 Char"/>
    <w:qFormat/>
    <w:uiPriority w:val="0"/>
    <w:rPr>
      <w:rFonts w:eastAsia="宋体"/>
      <w:kern w:val="2"/>
      <w:sz w:val="24"/>
      <w:lang w:val="en-US" w:eastAsia="zh-CN" w:bidi="ar-SA"/>
    </w:rPr>
  </w:style>
  <w:style w:type="character" w:customStyle="1" w:styleId="106">
    <w:name w:val="productlargeclass"/>
    <w:basedOn w:val="87"/>
    <w:qFormat/>
    <w:uiPriority w:val="0"/>
  </w:style>
  <w:style w:type="character" w:customStyle="1" w:styleId="107">
    <w:name w:val="正文(首行缩进) Char Char"/>
    <w:link w:val="108"/>
    <w:qFormat/>
    <w:uiPriority w:val="0"/>
    <w:rPr>
      <w:rFonts w:ascii="宋体" w:hAnsi="宋体" w:eastAsia="宋体"/>
      <w:snapToGrid w:val="0"/>
      <w:kern w:val="2"/>
      <w:sz w:val="24"/>
      <w:szCs w:val="24"/>
      <w:lang w:val="en-US" w:eastAsia="zh-CN" w:bidi="ar-SA"/>
    </w:rPr>
  </w:style>
  <w:style w:type="paragraph" w:customStyle="1" w:styleId="108">
    <w:name w:val="正文(首行缩进)"/>
    <w:basedOn w:val="1"/>
    <w:link w:val="107"/>
    <w:qFormat/>
    <w:uiPriority w:val="0"/>
    <w:pPr>
      <w:ind w:left="42" w:firstLine="355" w:firstLineChars="148"/>
    </w:pPr>
    <w:rPr>
      <w:snapToGrid w:val="0"/>
      <w:color w:val="auto"/>
      <w:szCs w:val="24"/>
    </w:rPr>
  </w:style>
  <w:style w:type="character" w:customStyle="1" w:styleId="109">
    <w:name w:val="正文1 Char1"/>
    <w:link w:val="110"/>
    <w:qFormat/>
    <w:uiPriority w:val="0"/>
    <w:rPr>
      <w:rFonts w:ascii="Arial" w:hAnsi="Arial" w:cs="Arial"/>
      <w:snapToGrid w:val="0"/>
      <w:color w:val="000000"/>
      <w:sz w:val="24"/>
      <w:szCs w:val="24"/>
      <w:lang w:val="en-US" w:eastAsia="zh-CN" w:bidi="ar-SA"/>
    </w:rPr>
  </w:style>
  <w:style w:type="paragraph" w:customStyle="1" w:styleId="110">
    <w:name w:val="正文1"/>
    <w:link w:val="109"/>
    <w:qFormat/>
    <w:uiPriority w:val="0"/>
    <w:pPr>
      <w:spacing w:line="360" w:lineRule="exact"/>
      <w:ind w:left="-4"/>
      <w:jc w:val="center"/>
    </w:pPr>
    <w:rPr>
      <w:rFonts w:ascii="Arial" w:hAnsi="Arial" w:eastAsia="宋体" w:cs="Arial"/>
      <w:snapToGrid w:val="0"/>
      <w:color w:val="000000"/>
      <w:sz w:val="24"/>
      <w:szCs w:val="24"/>
      <w:lang w:val="en-US" w:eastAsia="zh-CN" w:bidi="ar-SA"/>
    </w:rPr>
  </w:style>
  <w:style w:type="character" w:customStyle="1" w:styleId="111">
    <w:name w:val="link21"/>
    <w:qFormat/>
    <w:uiPriority w:val="0"/>
    <w:rPr>
      <w:color w:val="7297BA"/>
      <w:sz w:val="18"/>
      <w:szCs w:val="18"/>
    </w:rPr>
  </w:style>
  <w:style w:type="character" w:customStyle="1" w:styleId="112">
    <w:name w:val="正文01 Char"/>
    <w:qFormat/>
    <w:uiPriority w:val="0"/>
    <w:rPr>
      <w:rFonts w:eastAsia="宋体"/>
      <w:kern w:val="2"/>
      <w:sz w:val="24"/>
      <w:lang w:val="en-US" w:eastAsia="zh-CN" w:bidi="ar-SA"/>
    </w:rPr>
  </w:style>
  <w:style w:type="character" w:customStyle="1" w:styleId="113">
    <w:name w:val="标题2"/>
    <w:basedOn w:val="87"/>
    <w:qFormat/>
    <w:uiPriority w:val="0"/>
  </w:style>
  <w:style w:type="character" w:customStyle="1" w:styleId="114">
    <w:name w:val="文章正文样式 Char Char2"/>
    <w:link w:val="115"/>
    <w:qFormat/>
    <w:uiPriority w:val="0"/>
    <w:rPr>
      <w:rFonts w:ascii="宋体" w:hAnsi="宋体" w:eastAsia="宋体" w:cs="宋体"/>
      <w:kern w:val="2"/>
      <w:sz w:val="24"/>
      <w:szCs w:val="24"/>
      <w:lang w:val="en-US" w:eastAsia="zh-CN" w:bidi="ar-SA"/>
    </w:rPr>
  </w:style>
  <w:style w:type="paragraph" w:customStyle="1" w:styleId="115">
    <w:name w:val="文章正文样式 Char3"/>
    <w:basedOn w:val="1"/>
    <w:link w:val="114"/>
    <w:qFormat/>
    <w:uiPriority w:val="0"/>
    <w:pPr>
      <w:spacing w:line="520" w:lineRule="exact"/>
      <w:ind w:firstLine="480"/>
      <w:jc w:val="left"/>
    </w:pPr>
    <w:rPr>
      <w:rFonts w:cs="宋体"/>
      <w:color w:val="auto"/>
      <w:szCs w:val="24"/>
    </w:rPr>
  </w:style>
  <w:style w:type="character" w:customStyle="1" w:styleId="116">
    <w:name w:val="正文文字 Char"/>
    <w:qFormat/>
    <w:uiPriority w:val="0"/>
    <w:rPr>
      <w:rFonts w:ascii="仿宋_GB2312" w:hAnsi="Arial Black" w:eastAsia="仿宋_GB2312" w:cs="仿宋_GB2312"/>
      <w:sz w:val="28"/>
      <w:szCs w:val="28"/>
      <w:lang w:val="en-US" w:eastAsia="zh-CN" w:bidi="ar-SA"/>
    </w:rPr>
  </w:style>
  <w:style w:type="character" w:customStyle="1" w:styleId="117">
    <w:name w:val="unnamed11"/>
    <w:qFormat/>
    <w:uiPriority w:val="0"/>
    <w:rPr>
      <w:sz w:val="20"/>
      <w:szCs w:val="20"/>
    </w:rPr>
  </w:style>
  <w:style w:type="character" w:customStyle="1" w:styleId="118">
    <w:name w:val="标题3 Char"/>
    <w:qFormat/>
    <w:uiPriority w:val="0"/>
    <w:rPr>
      <w:rFonts w:ascii="Arial" w:hAnsi="Arial" w:eastAsia="宋体"/>
      <w:b/>
      <w:bCs/>
      <w:sz w:val="24"/>
      <w:szCs w:val="32"/>
      <w:lang w:val="en-US" w:eastAsia="zh-CN" w:bidi="ar-SA"/>
    </w:rPr>
  </w:style>
  <w:style w:type="character" w:customStyle="1" w:styleId="119">
    <w:name w:val="文章正文样式 Char1 Char Char"/>
    <w:link w:val="120"/>
    <w:qFormat/>
    <w:uiPriority w:val="0"/>
    <w:rPr>
      <w:rFonts w:ascii="宋体" w:hAnsi="宋体" w:eastAsia="宋体" w:cs="宋体"/>
      <w:kern w:val="2"/>
      <w:sz w:val="24"/>
      <w:szCs w:val="24"/>
      <w:lang w:val="en-US" w:eastAsia="zh-CN" w:bidi="ar-SA"/>
    </w:rPr>
  </w:style>
  <w:style w:type="paragraph" w:customStyle="1" w:styleId="120">
    <w:name w:val="文章正文样式 Char1 Char"/>
    <w:basedOn w:val="1"/>
    <w:link w:val="119"/>
    <w:qFormat/>
    <w:uiPriority w:val="0"/>
    <w:pPr>
      <w:spacing w:line="520" w:lineRule="exact"/>
      <w:jc w:val="left"/>
    </w:pPr>
    <w:rPr>
      <w:rFonts w:cs="宋体"/>
      <w:color w:val="auto"/>
      <w:szCs w:val="24"/>
    </w:rPr>
  </w:style>
  <w:style w:type="character" w:customStyle="1" w:styleId="121">
    <w:name w:val="表格标题新 Char"/>
    <w:qFormat/>
    <w:uiPriority w:val="0"/>
    <w:rPr>
      <w:rFonts w:ascii="宋体" w:hAnsi="宋体" w:eastAsia="宋体"/>
      <w:b/>
      <w:snapToGrid w:val="0"/>
      <w:spacing w:val="10"/>
      <w:kern w:val="2"/>
      <w:sz w:val="24"/>
      <w:szCs w:val="24"/>
      <w:lang w:val="en-US" w:eastAsia="zh-CN" w:bidi="ar-SA"/>
    </w:rPr>
  </w:style>
  <w:style w:type="character" w:customStyle="1" w:styleId="122">
    <w:name w:val="样式10 Char"/>
    <w:qFormat/>
    <w:uiPriority w:val="0"/>
    <w:rPr>
      <w:rFonts w:hAnsi="宋体" w:eastAsia="宋体"/>
      <w:b/>
      <w:bCs/>
      <w:kern w:val="2"/>
      <w:sz w:val="24"/>
      <w:szCs w:val="24"/>
      <w:lang w:val="en-US" w:eastAsia="zh-CN" w:bidi="ar-SA"/>
    </w:rPr>
  </w:style>
  <w:style w:type="character" w:customStyle="1" w:styleId="123">
    <w:name w:val="正文缩进 Char1"/>
    <w:qFormat/>
    <w:uiPriority w:val="0"/>
    <w:rPr>
      <w:rFonts w:eastAsia="宋体"/>
      <w:kern w:val="2"/>
      <w:sz w:val="21"/>
      <w:szCs w:val="24"/>
      <w:lang w:val="en-US" w:eastAsia="zh-CN" w:bidi="ar-SA"/>
    </w:rPr>
  </w:style>
  <w:style w:type="character" w:customStyle="1" w:styleId="124">
    <w:name w:val="正文小四 Char Char"/>
    <w:link w:val="125"/>
    <w:qFormat/>
    <w:uiPriority w:val="0"/>
    <w:rPr>
      <w:kern w:val="2"/>
      <w:sz w:val="24"/>
      <w:szCs w:val="24"/>
      <w:lang w:val="en-US" w:eastAsia="zh-CN" w:bidi="ar-SA"/>
    </w:rPr>
  </w:style>
  <w:style w:type="paragraph" w:customStyle="1" w:styleId="125">
    <w:name w:val="正文小四"/>
    <w:link w:val="124"/>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126">
    <w:name w:val="line21"/>
    <w:qFormat/>
    <w:uiPriority w:val="0"/>
    <w:rPr>
      <w:color w:val="666666"/>
      <w:sz w:val="20"/>
      <w:szCs w:val="20"/>
      <w:u w:val="none"/>
    </w:rPr>
  </w:style>
  <w:style w:type="character" w:customStyle="1" w:styleId="127">
    <w:name w:val="large1"/>
    <w:qFormat/>
    <w:uiPriority w:val="0"/>
    <w:rPr>
      <w:rFonts w:hint="eastAsia" w:ascii="宋体" w:hAnsi="宋体" w:eastAsia="宋体"/>
      <w:sz w:val="22"/>
      <w:szCs w:val="22"/>
    </w:rPr>
  </w:style>
  <w:style w:type="character" w:customStyle="1" w:styleId="128">
    <w:name w:val="表头 Char Char"/>
    <w:qFormat/>
    <w:uiPriority w:val="0"/>
    <w:rPr>
      <w:rFonts w:eastAsia="黑体"/>
      <w:bCs/>
      <w:kern w:val="2"/>
      <w:sz w:val="24"/>
      <w:lang w:val="en-US" w:eastAsia="zh-CN" w:bidi="ar-SA"/>
    </w:rPr>
  </w:style>
  <w:style w:type="character" w:customStyle="1" w:styleId="129">
    <w:name w:val="Char1 Char Char"/>
    <w:qFormat/>
    <w:uiPriority w:val="0"/>
    <w:rPr>
      <w:rFonts w:eastAsia="宋体"/>
      <w:kern w:val="2"/>
      <w:sz w:val="24"/>
      <w:lang w:val="en-US" w:eastAsia="zh-CN" w:bidi="ar-SA"/>
    </w:rPr>
  </w:style>
  <w:style w:type="character" w:customStyle="1" w:styleId="130">
    <w:name w:val="表格文字 Char Char Char"/>
    <w:qFormat/>
    <w:uiPriority w:val="0"/>
    <w:rPr>
      <w:rFonts w:eastAsia="宋体"/>
      <w:kern w:val="2"/>
      <w:sz w:val="21"/>
      <w:lang w:val="en-US" w:eastAsia="zh-CN" w:bidi="ar-SA"/>
    </w:rPr>
  </w:style>
  <w:style w:type="character" w:customStyle="1" w:styleId="131">
    <w:name w:val="文章正文样式 Char Char3 Char"/>
    <w:qFormat/>
    <w:uiPriority w:val="0"/>
    <w:rPr>
      <w:rFonts w:ascii="宋体" w:hAnsi="宋体" w:eastAsia="宋体" w:cs="宋体"/>
      <w:kern w:val="2"/>
      <w:sz w:val="24"/>
      <w:szCs w:val="24"/>
      <w:lang w:val="en-US" w:eastAsia="zh-CN" w:bidi="ar-SA"/>
    </w:rPr>
  </w:style>
  <w:style w:type="character" w:customStyle="1" w:styleId="132">
    <w:name w:val="t_tag"/>
    <w:basedOn w:val="87"/>
    <w:qFormat/>
    <w:uiPriority w:val="0"/>
  </w:style>
  <w:style w:type="character" w:customStyle="1" w:styleId="133">
    <w:name w:val="样式 1 Char Char"/>
    <w:link w:val="134"/>
    <w:qFormat/>
    <w:uiPriority w:val="0"/>
    <w:rPr>
      <w:rFonts w:eastAsia="宋体"/>
      <w:kern w:val="2"/>
      <w:sz w:val="24"/>
      <w:lang w:val="en-US" w:eastAsia="zh-CN" w:bidi="ar-SA"/>
    </w:rPr>
  </w:style>
  <w:style w:type="paragraph" w:customStyle="1" w:styleId="134">
    <w:name w:val="样式 1"/>
    <w:basedOn w:val="1"/>
    <w:link w:val="133"/>
    <w:qFormat/>
    <w:uiPriority w:val="0"/>
    <w:pPr>
      <w:ind w:firstLine="480"/>
    </w:pPr>
    <w:rPr>
      <w:rFonts w:ascii="Times New Roman" w:hAnsi="Times New Roman"/>
      <w:color w:val="auto"/>
      <w:szCs w:val="20"/>
    </w:rPr>
  </w:style>
  <w:style w:type="character" w:customStyle="1" w:styleId="135">
    <w:name w:val="sb1"/>
    <w:qFormat/>
    <w:uiPriority w:val="0"/>
    <w:rPr>
      <w:sz w:val="15"/>
      <w:szCs w:val="15"/>
      <w:vertAlign w:val="superscript"/>
    </w:rPr>
  </w:style>
  <w:style w:type="character" w:customStyle="1" w:styleId="136">
    <w:name w:val="三级标题 Char2"/>
    <w:qFormat/>
    <w:uiPriority w:val="0"/>
    <w:rPr>
      <w:rFonts w:eastAsia="宋体"/>
      <w:b/>
      <w:kern w:val="2"/>
      <w:sz w:val="24"/>
      <w:lang w:val="en-US" w:eastAsia="zh-CN" w:bidi="ar-SA"/>
    </w:rPr>
  </w:style>
  <w:style w:type="character" w:customStyle="1" w:styleId="137">
    <w:name w:val="MTEquationSection"/>
    <w:qFormat/>
    <w:uiPriority w:val="0"/>
    <w:rPr>
      <w:vanish/>
      <w:color w:val="FF0000"/>
    </w:rPr>
  </w:style>
  <w:style w:type="character" w:customStyle="1" w:styleId="138">
    <w:name w:val="样式 样式1 + (西文) Times New Roman (中文) 宋体 小四 非加粗 Char Char"/>
    <w:link w:val="139"/>
    <w:qFormat/>
    <w:uiPriority w:val="0"/>
    <w:rPr>
      <w:rFonts w:eastAsia="宋体"/>
      <w:b/>
      <w:kern w:val="2"/>
      <w:sz w:val="24"/>
      <w:szCs w:val="24"/>
      <w:lang w:val="en-US" w:eastAsia="zh-CN" w:bidi="he-IL"/>
    </w:rPr>
  </w:style>
  <w:style w:type="paragraph" w:customStyle="1" w:styleId="139">
    <w:name w:val="样式 样式1 + (西文) Times New Roman (中文) 宋体 小四 非加粗"/>
    <w:basedOn w:val="140"/>
    <w:next w:val="140"/>
    <w:link w:val="138"/>
    <w:qFormat/>
    <w:uiPriority w:val="0"/>
    <w:pPr>
      <w:widowControl/>
      <w:tabs>
        <w:tab w:val="left" w:pos="0"/>
      </w:tabs>
      <w:ind w:firstLine="200" w:firstLineChars="200"/>
      <w:jc w:val="left"/>
      <w:outlineLvl w:val="9"/>
    </w:pPr>
    <w:rPr>
      <w:rFonts w:ascii="Times New Roman" w:hAnsi="Times New Roman"/>
      <w:b/>
      <w:color w:val="auto"/>
      <w:szCs w:val="24"/>
      <w:lang w:bidi="he-IL"/>
    </w:rPr>
  </w:style>
  <w:style w:type="paragraph" w:customStyle="1" w:styleId="140">
    <w:name w:val="样式1"/>
    <w:basedOn w:val="1"/>
    <w:link w:val="145"/>
    <w:qFormat/>
    <w:uiPriority w:val="0"/>
    <w:pPr>
      <w:tabs>
        <w:tab w:val="left" w:pos="0"/>
      </w:tabs>
      <w:ind w:firstLine="0" w:firstLineChars="0"/>
      <w:outlineLvl w:val="3"/>
    </w:pPr>
  </w:style>
  <w:style w:type="character" w:customStyle="1" w:styleId="141">
    <w:name w:val="3zw1"/>
    <w:basedOn w:val="87"/>
    <w:qFormat/>
    <w:uiPriority w:val="0"/>
  </w:style>
  <w:style w:type="character" w:customStyle="1" w:styleId="142">
    <w:name w:val="表格001 Char Char"/>
    <w:link w:val="143"/>
    <w:qFormat/>
    <w:uiPriority w:val="0"/>
    <w:rPr>
      <w:rFonts w:eastAsia="宋体" w:cs="Arial"/>
      <w:snapToGrid w:val="0"/>
      <w:kern w:val="2"/>
      <w:sz w:val="21"/>
      <w:lang w:val="en-US" w:eastAsia="zh-CN" w:bidi="ar-SA"/>
    </w:rPr>
  </w:style>
  <w:style w:type="paragraph" w:customStyle="1" w:styleId="143">
    <w:name w:val="表格001"/>
    <w:basedOn w:val="1"/>
    <w:link w:val="142"/>
    <w:qFormat/>
    <w:uiPriority w:val="0"/>
    <w:pPr>
      <w:spacing w:line="360" w:lineRule="exact"/>
      <w:ind w:firstLine="0" w:firstLineChars="0"/>
      <w:jc w:val="center"/>
    </w:pPr>
    <w:rPr>
      <w:rFonts w:ascii="Times New Roman" w:hAnsi="Times New Roman" w:cs="Arial"/>
      <w:snapToGrid w:val="0"/>
      <w:color w:val="auto"/>
      <w:sz w:val="21"/>
      <w:szCs w:val="20"/>
    </w:rPr>
  </w:style>
  <w:style w:type="character" w:customStyle="1" w:styleId="144">
    <w:name w:val="detail"/>
    <w:basedOn w:val="87"/>
    <w:qFormat/>
    <w:uiPriority w:val="0"/>
  </w:style>
  <w:style w:type="character" w:customStyle="1" w:styleId="145">
    <w:name w:val="样式1 Char1"/>
    <w:link w:val="140"/>
    <w:qFormat/>
    <w:uiPriority w:val="0"/>
    <w:rPr>
      <w:rFonts w:ascii="宋体" w:hAnsi="宋体" w:eastAsia="宋体"/>
      <w:color w:val="000000"/>
      <w:kern w:val="2"/>
      <w:sz w:val="24"/>
      <w:szCs w:val="21"/>
      <w:lang w:val="en-US" w:eastAsia="zh-CN" w:bidi="ar-SA"/>
    </w:rPr>
  </w:style>
  <w:style w:type="character" w:customStyle="1" w:styleId="146">
    <w:name w:val="样式 样式1 + 宋体 小四2 Char Char"/>
    <w:link w:val="147"/>
    <w:qFormat/>
    <w:uiPriority w:val="0"/>
    <w:rPr>
      <w:rFonts w:eastAsia="宋体"/>
      <w:spacing w:val="-2"/>
      <w:kern w:val="2"/>
      <w:sz w:val="24"/>
      <w:szCs w:val="30"/>
      <w:lang w:val="en-US" w:eastAsia="zh-CN" w:bidi="he-IL"/>
    </w:rPr>
  </w:style>
  <w:style w:type="paragraph" w:customStyle="1" w:styleId="147">
    <w:name w:val="样式 样式1 + 宋体 小四2"/>
    <w:basedOn w:val="140"/>
    <w:link w:val="146"/>
    <w:qFormat/>
    <w:uiPriority w:val="0"/>
    <w:pPr>
      <w:widowControl/>
      <w:ind w:firstLine="200" w:firstLineChars="200"/>
      <w:jc w:val="left"/>
      <w:outlineLvl w:val="9"/>
    </w:pPr>
    <w:rPr>
      <w:rFonts w:ascii="Times New Roman" w:hAnsi="Times New Roman"/>
      <w:color w:val="auto"/>
      <w:spacing w:val="-2"/>
      <w:szCs w:val="30"/>
      <w:lang w:bidi="he-IL"/>
    </w:rPr>
  </w:style>
  <w:style w:type="character" w:customStyle="1" w:styleId="148">
    <w:name w:val="Char Char Char Char1"/>
    <w:link w:val="149"/>
    <w:qFormat/>
    <w:uiPriority w:val="0"/>
    <w:rPr>
      <w:rFonts w:eastAsia="宋体"/>
      <w:kern w:val="2"/>
      <w:sz w:val="24"/>
      <w:szCs w:val="24"/>
      <w:lang w:val="en-US" w:eastAsia="zh-CN" w:bidi="ar-SA"/>
    </w:rPr>
  </w:style>
  <w:style w:type="paragraph" w:customStyle="1" w:styleId="149">
    <w:name w:val="Char Char Char2"/>
    <w:basedOn w:val="1"/>
    <w:link w:val="148"/>
    <w:qFormat/>
    <w:uiPriority w:val="0"/>
    <w:pPr>
      <w:spacing w:line="240" w:lineRule="auto"/>
      <w:ind w:firstLine="0" w:firstLineChars="0"/>
    </w:pPr>
    <w:rPr>
      <w:rFonts w:ascii="Times New Roman" w:hAnsi="Times New Roman"/>
      <w:color w:val="auto"/>
      <w:szCs w:val="24"/>
    </w:rPr>
  </w:style>
  <w:style w:type="character" w:customStyle="1" w:styleId="150">
    <w:name w:val="燕山正文 Char"/>
    <w:qFormat/>
    <w:uiPriority w:val="0"/>
    <w:rPr>
      <w:rFonts w:ascii="宋体" w:eastAsia="宋体"/>
      <w:color w:val="000000"/>
      <w:kern w:val="2"/>
      <w:sz w:val="28"/>
      <w:szCs w:val="28"/>
      <w:lang w:val="en-US" w:eastAsia="zh-CN"/>
    </w:rPr>
  </w:style>
  <w:style w:type="character" w:customStyle="1" w:styleId="151">
    <w:name w:val="link_w1"/>
    <w:qFormat/>
    <w:uiPriority w:val="0"/>
    <w:rPr>
      <w:color w:val="FFFFFF"/>
      <w:sz w:val="18"/>
      <w:szCs w:val="18"/>
    </w:rPr>
  </w:style>
  <w:style w:type="character" w:customStyle="1" w:styleId="152">
    <w:name w:val="常用表格样式 Char1"/>
    <w:link w:val="153"/>
    <w:qFormat/>
    <w:uiPriority w:val="0"/>
    <w:rPr>
      <w:rFonts w:ascii="宋体" w:hAnsi="新宋体" w:eastAsia="仿宋_GB2312"/>
      <w:spacing w:val="2"/>
      <w:kern w:val="2"/>
      <w:sz w:val="18"/>
      <w:szCs w:val="24"/>
      <w:lang w:val="en-US" w:eastAsia="zh-CN" w:bidi="ar-SA"/>
    </w:rPr>
  </w:style>
  <w:style w:type="paragraph" w:customStyle="1" w:styleId="153">
    <w:name w:val="常用表格样式"/>
    <w:basedOn w:val="154"/>
    <w:next w:val="154"/>
    <w:link w:val="152"/>
    <w:qFormat/>
    <w:uiPriority w:val="0"/>
    <w:pPr>
      <w:spacing w:line="240" w:lineRule="auto"/>
      <w:ind w:firstLine="0"/>
      <w:jc w:val="center"/>
    </w:pPr>
    <w:rPr>
      <w:spacing w:val="2"/>
      <w:sz w:val="18"/>
    </w:rPr>
  </w:style>
  <w:style w:type="paragraph" w:customStyle="1" w:styleId="154">
    <w:name w:val="常用正文样式"/>
    <w:link w:val="182"/>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155">
    <w:name w:val="标题 1 Char"/>
    <w:link w:val="2"/>
    <w:qFormat/>
    <w:uiPriority w:val="0"/>
    <w:rPr>
      <w:rFonts w:ascii="宋体" w:hAnsi="宋体" w:eastAsia="宋体"/>
      <w:b/>
      <w:bCs/>
      <w:color w:val="000000"/>
      <w:kern w:val="2"/>
      <w:sz w:val="32"/>
      <w:szCs w:val="44"/>
      <w:lang w:val="en-US" w:eastAsia="zh-CN" w:bidi="ar-SA"/>
    </w:rPr>
  </w:style>
  <w:style w:type="character" w:customStyle="1" w:styleId="156">
    <w:name w:val="标题 2 Char"/>
    <w:link w:val="3"/>
    <w:qFormat/>
    <w:uiPriority w:val="0"/>
    <w:rPr>
      <w:rFonts w:ascii="宋体" w:hAnsi="Arial" w:eastAsia="宋体"/>
      <w:b/>
      <w:bCs/>
      <w:color w:val="000000"/>
      <w:kern w:val="2"/>
      <w:sz w:val="30"/>
      <w:szCs w:val="32"/>
      <w:lang w:val="en-US" w:eastAsia="zh-CN" w:bidi="ar-SA"/>
    </w:rPr>
  </w:style>
  <w:style w:type="character" w:customStyle="1" w:styleId="157">
    <w:name w:val="标题 3 Char"/>
    <w:link w:val="4"/>
    <w:qFormat/>
    <w:uiPriority w:val="0"/>
    <w:rPr>
      <w:rFonts w:ascii="宋体" w:hAnsi="宋体" w:eastAsia="宋体"/>
      <w:b/>
      <w:bCs/>
      <w:color w:val="000000"/>
      <w:kern w:val="2"/>
      <w:sz w:val="28"/>
      <w:szCs w:val="32"/>
      <w:lang w:val="en-US" w:eastAsia="zh-CN" w:bidi="ar-SA"/>
    </w:rPr>
  </w:style>
  <w:style w:type="character" w:customStyle="1" w:styleId="158">
    <w:name w:val="标题 4 Char"/>
    <w:link w:val="5"/>
    <w:qFormat/>
    <w:uiPriority w:val="0"/>
    <w:rPr>
      <w:rFonts w:ascii="宋体" w:hAnsi="Arial" w:eastAsia="宋体"/>
      <w:bCs/>
      <w:color w:val="000000"/>
      <w:kern w:val="2"/>
      <w:sz w:val="24"/>
      <w:szCs w:val="28"/>
      <w:lang w:val="en-US" w:eastAsia="zh-CN" w:bidi="ar-SA"/>
    </w:rPr>
  </w:style>
  <w:style w:type="character" w:customStyle="1" w:styleId="159">
    <w:name w:val="标题 7 Char"/>
    <w:link w:val="8"/>
    <w:qFormat/>
    <w:uiPriority w:val="0"/>
    <w:rPr>
      <w:rFonts w:eastAsia="宋体"/>
      <w:b/>
      <w:bCs/>
      <w:kern w:val="2"/>
      <w:sz w:val="24"/>
      <w:szCs w:val="24"/>
      <w:lang w:val="en-US" w:eastAsia="zh-CN" w:bidi="ar-SA"/>
    </w:rPr>
  </w:style>
  <w:style w:type="character" w:customStyle="1" w:styleId="160">
    <w:name w:val="正文文本 Char"/>
    <w:link w:val="31"/>
    <w:qFormat/>
    <w:uiPriority w:val="0"/>
    <w:rPr>
      <w:rFonts w:eastAsia="宋体"/>
      <w:kern w:val="2"/>
      <w:sz w:val="21"/>
      <w:szCs w:val="24"/>
      <w:lang w:val="en-US" w:eastAsia="zh-CN" w:bidi="ar-SA"/>
    </w:rPr>
  </w:style>
  <w:style w:type="character" w:customStyle="1" w:styleId="161">
    <w:name w:val="正文缩进 Char"/>
    <w:link w:val="19"/>
    <w:qFormat/>
    <w:uiPriority w:val="0"/>
    <w:rPr>
      <w:rFonts w:ascii="仿宋_GB2312" w:eastAsia="仿宋_GB2312"/>
      <w:kern w:val="2"/>
      <w:sz w:val="28"/>
      <w:szCs w:val="24"/>
      <w:lang w:val="en-US" w:eastAsia="zh-CN" w:bidi="ar-SA"/>
    </w:rPr>
  </w:style>
  <w:style w:type="character" w:customStyle="1" w:styleId="162">
    <w:name w:val="正文文本缩进 Char"/>
    <w:link w:val="32"/>
    <w:qFormat/>
    <w:uiPriority w:val="0"/>
    <w:rPr>
      <w:rFonts w:eastAsia="宋体"/>
      <w:kern w:val="2"/>
      <w:sz w:val="21"/>
      <w:szCs w:val="24"/>
      <w:lang w:val="en-US" w:eastAsia="zh-CN" w:bidi="ar-SA"/>
    </w:rPr>
  </w:style>
  <w:style w:type="character" w:customStyle="1" w:styleId="163">
    <w:name w:val="纯文本 Char"/>
    <w:link w:val="42"/>
    <w:qFormat/>
    <w:uiPriority w:val="0"/>
    <w:rPr>
      <w:rFonts w:ascii="宋体" w:hAnsi="Courier New" w:eastAsia="宋体" w:cs="Courier New"/>
      <w:kern w:val="2"/>
      <w:sz w:val="21"/>
      <w:szCs w:val="21"/>
      <w:lang w:val="en-US" w:eastAsia="zh-CN" w:bidi="ar-SA"/>
    </w:rPr>
  </w:style>
  <w:style w:type="character" w:customStyle="1" w:styleId="164">
    <w:name w:val="日期 Char"/>
    <w:link w:val="47"/>
    <w:qFormat/>
    <w:locked/>
    <w:uiPriority w:val="0"/>
    <w:rPr>
      <w:rFonts w:eastAsia="仿宋_GB2312"/>
      <w:kern w:val="2"/>
      <w:sz w:val="28"/>
      <w:szCs w:val="24"/>
    </w:rPr>
  </w:style>
  <w:style w:type="character" w:customStyle="1" w:styleId="165">
    <w:name w:val="正文文本缩进 2 Char"/>
    <w:link w:val="48"/>
    <w:qFormat/>
    <w:uiPriority w:val="0"/>
    <w:rPr>
      <w:rFonts w:eastAsia="宋体"/>
      <w:kern w:val="2"/>
      <w:sz w:val="21"/>
      <w:szCs w:val="24"/>
      <w:lang w:val="en-US" w:eastAsia="zh-CN" w:bidi="ar-SA"/>
    </w:rPr>
  </w:style>
  <w:style w:type="character" w:customStyle="1" w:styleId="166">
    <w:name w:val="页脚 Char"/>
    <w:link w:val="51"/>
    <w:qFormat/>
    <w:uiPriority w:val="99"/>
    <w:rPr>
      <w:rFonts w:ascii="宋体" w:hAnsi="宋体" w:eastAsia="宋体"/>
      <w:color w:val="000000"/>
      <w:kern w:val="2"/>
      <w:sz w:val="18"/>
      <w:szCs w:val="18"/>
      <w:lang w:val="en-US" w:eastAsia="zh-CN" w:bidi="ar-SA"/>
    </w:rPr>
  </w:style>
  <w:style w:type="character" w:customStyle="1" w:styleId="167">
    <w:name w:val="页眉 Char"/>
    <w:link w:val="53"/>
    <w:qFormat/>
    <w:uiPriority w:val="0"/>
    <w:rPr>
      <w:kern w:val="2"/>
      <w:sz w:val="18"/>
      <w:szCs w:val="18"/>
    </w:rPr>
  </w:style>
  <w:style w:type="character" w:customStyle="1" w:styleId="168">
    <w:name w:val="HTML 预设格式 Char"/>
    <w:link w:val="75"/>
    <w:qFormat/>
    <w:uiPriority w:val="99"/>
    <w:rPr>
      <w:rFonts w:ascii="Arial" w:hAnsi="Arial" w:cs="Arial"/>
      <w:sz w:val="21"/>
      <w:szCs w:val="21"/>
    </w:rPr>
  </w:style>
  <w:style w:type="character" w:customStyle="1" w:styleId="169">
    <w:name w:val="keyword"/>
    <w:basedOn w:val="87"/>
    <w:qFormat/>
    <w:uiPriority w:val="0"/>
  </w:style>
  <w:style w:type="character" w:customStyle="1" w:styleId="170">
    <w:name w:val="word_break"/>
    <w:basedOn w:val="87"/>
    <w:qFormat/>
    <w:uiPriority w:val="0"/>
  </w:style>
  <w:style w:type="character" w:customStyle="1" w:styleId="171">
    <w:name w:val="表格 Char Char"/>
    <w:link w:val="172"/>
    <w:qFormat/>
    <w:uiPriority w:val="0"/>
    <w:rPr>
      <w:rFonts w:eastAsia="宋体"/>
      <w:kern w:val="24"/>
      <w:sz w:val="24"/>
      <w:lang w:val="en-US" w:eastAsia="zh-CN" w:bidi="ar-SA"/>
    </w:rPr>
  </w:style>
  <w:style w:type="paragraph" w:customStyle="1" w:styleId="172">
    <w:name w:val="表格"/>
    <w:basedOn w:val="1"/>
    <w:link w:val="171"/>
    <w:qFormat/>
    <w:uiPriority w:val="0"/>
    <w:pPr>
      <w:suppressAutoHyphens/>
      <w:spacing w:line="300" w:lineRule="auto"/>
      <w:ind w:firstLine="0" w:firstLineChars="0"/>
      <w:jc w:val="center"/>
    </w:pPr>
    <w:rPr>
      <w:rFonts w:ascii="Times New Roman" w:hAnsi="Times New Roman"/>
      <w:color w:val="auto"/>
      <w:kern w:val="24"/>
      <w:szCs w:val="20"/>
    </w:rPr>
  </w:style>
  <w:style w:type="character" w:customStyle="1" w:styleId="173">
    <w:name w:val="样式17 Char Char"/>
    <w:link w:val="174"/>
    <w:qFormat/>
    <w:uiPriority w:val="0"/>
    <w:rPr>
      <w:rFonts w:ascii="宋体" w:hAnsi="宋体" w:eastAsia="宋体"/>
      <w:b/>
      <w:color w:val="000000"/>
      <w:kern w:val="2"/>
      <w:sz w:val="32"/>
      <w:szCs w:val="32"/>
      <w:lang w:val="en-US" w:eastAsia="zh-CN" w:bidi="ar-SA"/>
    </w:rPr>
  </w:style>
  <w:style w:type="paragraph" w:customStyle="1" w:styleId="174">
    <w:name w:val="样式17"/>
    <w:basedOn w:val="175"/>
    <w:link w:val="173"/>
    <w:qFormat/>
    <w:uiPriority w:val="0"/>
    <w:pPr>
      <w:keepNext w:val="0"/>
      <w:keepLines w:val="0"/>
      <w:tabs>
        <w:tab w:val="left" w:pos="0"/>
      </w:tabs>
      <w:spacing w:beforeLines="100"/>
      <w:jc w:val="both"/>
      <w:outlineLvl w:val="1"/>
    </w:pPr>
    <w:rPr>
      <w:rFonts w:hAnsi="宋体"/>
      <w:b/>
      <w:color w:val="000000"/>
      <w:sz w:val="32"/>
      <w:szCs w:val="32"/>
    </w:rPr>
  </w:style>
  <w:style w:type="paragraph" w:customStyle="1" w:styleId="175">
    <w:name w:val="样式14"/>
    <w:basedOn w:val="5"/>
    <w:qFormat/>
    <w:uiPriority w:val="0"/>
    <w:pPr>
      <w:tabs>
        <w:tab w:val="left" w:pos="0"/>
      </w:tabs>
    </w:pPr>
    <w:rPr>
      <w:rFonts w:hAnsi="仿宋_GB2312"/>
      <w:bCs w:val="0"/>
      <w:color w:val="auto"/>
      <w:szCs w:val="24"/>
    </w:rPr>
  </w:style>
  <w:style w:type="character" w:customStyle="1" w:styleId="176">
    <w:name w:val="样式 标题 2标题节标题节 Char标题节 Char Char标题 2 Char Char Char节标题 1.1标... Char Char"/>
    <w:link w:val="177"/>
    <w:qFormat/>
    <w:uiPriority w:val="0"/>
    <w:rPr>
      <w:rFonts w:eastAsia="宋体"/>
      <w:b/>
      <w:bCs/>
      <w:kern w:val="2"/>
      <w:sz w:val="30"/>
      <w:szCs w:val="32"/>
      <w:lang w:val="en-US" w:eastAsia="zh-CN" w:bidi="ar-SA"/>
    </w:rPr>
  </w:style>
  <w:style w:type="paragraph" w:customStyle="1" w:styleId="177">
    <w:name w:val="样式 标题 2标题节标题节 Char标题节 Char Char标题 2 Char Char Char节标题 1.1标..."/>
    <w:basedOn w:val="3"/>
    <w:link w:val="176"/>
    <w:qFormat/>
    <w:uiPriority w:val="0"/>
    <w:pPr>
      <w:spacing w:beforeLines="0"/>
      <w:ind w:left="0" w:firstLine="0"/>
      <w:jc w:val="both"/>
    </w:pPr>
    <w:rPr>
      <w:rFonts w:ascii="Times New Roman" w:hAnsi="Times New Roman"/>
      <w:color w:val="auto"/>
    </w:rPr>
  </w:style>
  <w:style w:type="character" w:customStyle="1" w:styleId="178">
    <w:name w:val="f10wentitle"/>
    <w:basedOn w:val="87"/>
    <w:qFormat/>
    <w:uiPriority w:val="0"/>
  </w:style>
  <w:style w:type="character" w:customStyle="1" w:styleId="179">
    <w:name w:val="样式 标题 1 + Char"/>
    <w:qFormat/>
    <w:uiPriority w:val="0"/>
    <w:rPr>
      <w:rFonts w:eastAsia="宋体"/>
      <w:b/>
      <w:bCs/>
      <w:kern w:val="44"/>
      <w:sz w:val="30"/>
      <w:szCs w:val="44"/>
      <w:lang w:val="en-US" w:eastAsia="zh-CN" w:bidi="ar-SA"/>
    </w:rPr>
  </w:style>
  <w:style w:type="character" w:customStyle="1" w:styleId="180">
    <w:name w:val="正文1 Char Char"/>
    <w:qFormat/>
    <w:uiPriority w:val="0"/>
    <w:rPr>
      <w:rFonts w:eastAsia="宋体"/>
      <w:kern w:val="2"/>
      <w:sz w:val="24"/>
      <w:szCs w:val="24"/>
      <w:lang w:val="en-US" w:eastAsia="zh-CN" w:bidi="ar-SA"/>
    </w:rPr>
  </w:style>
  <w:style w:type="character" w:customStyle="1" w:styleId="181">
    <w:name w:val="14p1"/>
    <w:qFormat/>
    <w:uiPriority w:val="0"/>
    <w:rPr>
      <w:sz w:val="21"/>
      <w:szCs w:val="21"/>
    </w:rPr>
  </w:style>
  <w:style w:type="character" w:customStyle="1" w:styleId="182">
    <w:name w:val="常用正文样式 Char1"/>
    <w:link w:val="154"/>
    <w:qFormat/>
    <w:uiPriority w:val="0"/>
    <w:rPr>
      <w:rFonts w:ascii="宋体" w:hAnsi="新宋体" w:eastAsia="仿宋_GB2312"/>
      <w:kern w:val="2"/>
      <w:sz w:val="24"/>
      <w:szCs w:val="24"/>
      <w:lang w:val="en-US" w:eastAsia="zh-CN" w:bidi="ar-SA"/>
    </w:rPr>
  </w:style>
  <w:style w:type="character" w:customStyle="1" w:styleId="183">
    <w:name w:val="普通文字 Char1"/>
    <w:qFormat/>
    <w:uiPriority w:val="0"/>
    <w:rPr>
      <w:rFonts w:ascii="宋体" w:hAnsi="Courier New" w:eastAsia="宋体"/>
      <w:sz w:val="21"/>
      <w:lang w:val="en-US" w:eastAsia="zh-CN" w:bidi="ar-SA"/>
    </w:rPr>
  </w:style>
  <w:style w:type="character" w:customStyle="1" w:styleId="184">
    <w:name w:val="标题4 非连续 Char Char"/>
    <w:link w:val="185"/>
    <w:qFormat/>
    <w:uiPriority w:val="0"/>
    <w:rPr>
      <w:rFonts w:ascii="Arial" w:hAnsi="Arial" w:eastAsia="宋体"/>
      <w:bCs/>
      <w:snapToGrid w:val="0"/>
      <w:sz w:val="24"/>
      <w:szCs w:val="28"/>
      <w:lang w:val="en-US" w:eastAsia="zh-CN" w:bidi="ar-SA"/>
    </w:rPr>
  </w:style>
  <w:style w:type="paragraph" w:customStyle="1" w:styleId="185">
    <w:name w:val="标题4 非连续"/>
    <w:basedOn w:val="1"/>
    <w:link w:val="184"/>
    <w:qFormat/>
    <w:uiPriority w:val="0"/>
    <w:pPr>
      <w:keepNext/>
      <w:keepLines/>
      <w:spacing w:line="440" w:lineRule="exact"/>
      <w:ind w:firstLine="0" w:firstLineChars="0"/>
      <w:outlineLvl w:val="3"/>
    </w:pPr>
    <w:rPr>
      <w:rFonts w:ascii="Arial" w:hAnsi="Arial"/>
      <w:bCs/>
      <w:snapToGrid w:val="0"/>
      <w:color w:val="auto"/>
      <w:kern w:val="0"/>
      <w:szCs w:val="28"/>
    </w:rPr>
  </w:style>
  <w:style w:type="character" w:customStyle="1" w:styleId="186">
    <w:name w:val="正文01 Char Char"/>
    <w:link w:val="187"/>
    <w:qFormat/>
    <w:uiPriority w:val="0"/>
    <w:rPr>
      <w:rFonts w:ascii="宋体" w:hAnsi="宋体" w:eastAsia="宋体" w:cs="宋体"/>
      <w:sz w:val="24"/>
      <w:szCs w:val="24"/>
      <w:lang w:val="en-US" w:eastAsia="zh-CN" w:bidi="ar-SA"/>
    </w:rPr>
  </w:style>
  <w:style w:type="paragraph" w:customStyle="1" w:styleId="187">
    <w:name w:val="正文01"/>
    <w:basedOn w:val="1"/>
    <w:link w:val="186"/>
    <w:qFormat/>
    <w:uiPriority w:val="0"/>
    <w:pPr>
      <w:widowControl/>
      <w:spacing w:line="440" w:lineRule="exact"/>
      <w:jc w:val="left"/>
    </w:pPr>
    <w:rPr>
      <w:rFonts w:cs="宋体"/>
      <w:color w:val="auto"/>
      <w:kern w:val="0"/>
      <w:szCs w:val="24"/>
    </w:rPr>
  </w:style>
  <w:style w:type="character" w:customStyle="1" w:styleId="188">
    <w:name w:val="样式 (中文) 仿宋_GB2312 四号 行距: 多倍行距 1.25 字行 Char"/>
    <w:qFormat/>
    <w:uiPriority w:val="0"/>
    <w:rPr>
      <w:rFonts w:eastAsia="仿宋_GB2312" w:cs="宋体"/>
      <w:kern w:val="2"/>
      <w:sz w:val="28"/>
      <w:lang w:val="en-US" w:eastAsia="zh-CN" w:bidi="ar-SA"/>
    </w:rPr>
  </w:style>
  <w:style w:type="character" w:customStyle="1" w:styleId="189">
    <w:name w:val="样式8 Char Char"/>
    <w:link w:val="190"/>
    <w:qFormat/>
    <w:uiPriority w:val="0"/>
    <w:rPr>
      <w:rFonts w:eastAsia="宋体"/>
      <w:b/>
      <w:bCs/>
      <w:snapToGrid w:val="0"/>
      <w:kern w:val="2"/>
      <w:sz w:val="24"/>
      <w:szCs w:val="24"/>
      <w:lang w:val="en-US" w:eastAsia="zh-CN" w:bidi="ar-SA"/>
    </w:rPr>
  </w:style>
  <w:style w:type="paragraph" w:customStyle="1" w:styleId="190">
    <w:name w:val="样式8"/>
    <w:basedOn w:val="4"/>
    <w:link w:val="189"/>
    <w:qFormat/>
    <w:uiPriority w:val="0"/>
    <w:pPr>
      <w:tabs>
        <w:tab w:val="left" w:pos="1589"/>
        <w:tab w:val="clear" w:pos="0"/>
      </w:tabs>
      <w:adjustRightInd w:val="0"/>
      <w:snapToGrid w:val="0"/>
      <w:spacing w:beforeLines="0" w:after="260" w:line="312" w:lineRule="auto"/>
      <w:ind w:left="1589" w:hanging="1021"/>
    </w:pPr>
    <w:rPr>
      <w:rFonts w:ascii="Times New Roman" w:hAnsi="Times New Roman"/>
      <w:snapToGrid w:val="0"/>
      <w:color w:val="auto"/>
      <w:sz w:val="24"/>
      <w:szCs w:val="24"/>
    </w:rPr>
  </w:style>
  <w:style w:type="character" w:customStyle="1" w:styleId="191">
    <w:name w:val="css-text3"/>
    <w:basedOn w:val="87"/>
    <w:qFormat/>
    <w:uiPriority w:val="0"/>
  </w:style>
  <w:style w:type="character" w:customStyle="1" w:styleId="192">
    <w:name w:val="zw1"/>
    <w:qFormat/>
    <w:uiPriority w:val="0"/>
    <w:rPr>
      <w:rFonts w:hint="eastAsia" w:ascii="宋体" w:hAnsi="宋体" w:eastAsia="宋体"/>
      <w:sz w:val="22"/>
      <w:szCs w:val="22"/>
    </w:rPr>
  </w:style>
  <w:style w:type="character" w:customStyle="1" w:styleId="193">
    <w:name w:val="样式23 Char Char"/>
    <w:link w:val="194"/>
    <w:qFormat/>
    <w:uiPriority w:val="0"/>
    <w:rPr>
      <w:rFonts w:ascii="宋体" w:hAnsi="宋体" w:eastAsia="宋体"/>
      <w:color w:val="000000"/>
      <w:kern w:val="2"/>
      <w:sz w:val="24"/>
      <w:szCs w:val="24"/>
      <w:lang w:val="en-US" w:eastAsia="zh-CN" w:bidi="ar-SA"/>
    </w:rPr>
  </w:style>
  <w:style w:type="paragraph" w:customStyle="1" w:styleId="194">
    <w:name w:val="样式23"/>
    <w:basedOn w:val="1"/>
    <w:link w:val="193"/>
    <w:qFormat/>
    <w:uiPriority w:val="0"/>
    <w:pPr>
      <w:ind w:firstLine="480"/>
      <w:jc w:val="left"/>
    </w:pPr>
    <w:rPr>
      <w:szCs w:val="24"/>
    </w:rPr>
  </w:style>
  <w:style w:type="character" w:customStyle="1" w:styleId="195">
    <w:name w:val="表格标题 Char3"/>
    <w:qFormat/>
    <w:uiPriority w:val="0"/>
    <w:rPr>
      <w:rFonts w:eastAsia="宋体"/>
      <w:kern w:val="2"/>
      <w:sz w:val="24"/>
      <w:lang w:val="en-US" w:eastAsia="zh-CN" w:bidi="ar-SA"/>
    </w:rPr>
  </w:style>
  <w:style w:type="character" w:customStyle="1" w:styleId="196">
    <w:name w:val="zhengwen1"/>
    <w:qFormat/>
    <w:uiPriority w:val="0"/>
    <w:rPr>
      <w:sz w:val="18"/>
      <w:szCs w:val="18"/>
      <w:u w:val="none"/>
    </w:rPr>
  </w:style>
  <w:style w:type="character" w:customStyle="1" w:styleId="197">
    <w:name w:val="Char Char5"/>
    <w:qFormat/>
    <w:uiPriority w:val="0"/>
    <w:rPr>
      <w:rFonts w:eastAsia="宋体"/>
      <w:b/>
      <w:bCs/>
      <w:kern w:val="2"/>
      <w:sz w:val="32"/>
      <w:szCs w:val="32"/>
      <w:lang w:val="en-US" w:eastAsia="zh-CN" w:bidi="ar-SA"/>
    </w:rPr>
  </w:style>
  <w:style w:type="character" w:customStyle="1" w:styleId="198">
    <w:name w:val="正文缩进 Char Char Char"/>
    <w:qFormat/>
    <w:uiPriority w:val="0"/>
    <w:rPr>
      <w:rFonts w:ascii="宋体" w:hAnsi="Courier New" w:eastAsia="宋体"/>
      <w:kern w:val="2"/>
      <w:sz w:val="28"/>
      <w:lang w:val="en-US" w:eastAsia="zh-CN" w:bidi="ar-SA"/>
    </w:rPr>
  </w:style>
  <w:style w:type="character" w:customStyle="1" w:styleId="199">
    <w:name w:val="报告正文-连续目录 Char Char"/>
    <w:link w:val="200"/>
    <w:qFormat/>
    <w:uiPriority w:val="0"/>
    <w:rPr>
      <w:rFonts w:ascii="Arial" w:hAnsi="Arial" w:eastAsia="宋体"/>
      <w:snapToGrid w:val="0"/>
      <w:sz w:val="24"/>
      <w:szCs w:val="24"/>
      <w:lang w:val="en-US" w:eastAsia="zh-CN" w:bidi="ar-SA"/>
    </w:rPr>
  </w:style>
  <w:style w:type="paragraph" w:customStyle="1" w:styleId="200">
    <w:name w:val="报告正文-连续目录"/>
    <w:basedOn w:val="1"/>
    <w:link w:val="199"/>
    <w:qFormat/>
    <w:uiPriority w:val="0"/>
    <w:pPr>
      <w:spacing w:line="440" w:lineRule="exact"/>
    </w:pPr>
    <w:rPr>
      <w:rFonts w:ascii="Arial" w:hAnsi="Arial"/>
      <w:snapToGrid w:val="0"/>
      <w:color w:val="auto"/>
      <w:kern w:val="0"/>
      <w:szCs w:val="24"/>
    </w:rPr>
  </w:style>
  <w:style w:type="character" w:customStyle="1" w:styleId="201">
    <w:name w:val="content1"/>
    <w:qFormat/>
    <w:uiPriority w:val="0"/>
    <w:rPr>
      <w:sz w:val="19"/>
    </w:rPr>
  </w:style>
  <w:style w:type="character" w:customStyle="1" w:styleId="202">
    <w:name w:val="desctext1"/>
    <w:qFormat/>
    <w:uiPriority w:val="0"/>
    <w:rPr>
      <w:spacing w:val="17"/>
      <w:sz w:val="21"/>
      <w:szCs w:val="21"/>
    </w:rPr>
  </w:style>
  <w:style w:type="character" w:customStyle="1" w:styleId="203">
    <w:name w:val="样式 标题 1章标题 + Times New Roman 加粗 Char Char"/>
    <w:link w:val="204"/>
    <w:qFormat/>
    <w:uiPriority w:val="0"/>
    <w:rPr>
      <w:rFonts w:eastAsia="黑体"/>
      <w:b/>
      <w:bCs/>
      <w:kern w:val="2"/>
      <w:sz w:val="32"/>
      <w:lang w:val="en-US" w:eastAsia="zh-CN" w:bidi="ar-SA"/>
    </w:rPr>
  </w:style>
  <w:style w:type="paragraph" w:customStyle="1" w:styleId="204">
    <w:name w:val="样式 标题 1章标题 + Times New Roman 加粗"/>
    <w:basedOn w:val="2"/>
    <w:link w:val="203"/>
    <w:qFormat/>
    <w:uiPriority w:val="0"/>
    <w:pPr>
      <w:keepLines w:val="0"/>
      <w:spacing w:beforeLines="100" w:afterLines="100"/>
      <w:ind w:left="0" w:firstLine="0"/>
      <w:jc w:val="both"/>
    </w:pPr>
    <w:rPr>
      <w:rFonts w:ascii="Times New Roman" w:hAnsi="Times New Roman" w:eastAsia="黑体"/>
      <w:color w:val="auto"/>
      <w:szCs w:val="20"/>
    </w:rPr>
  </w:style>
  <w:style w:type="character" w:customStyle="1" w:styleId="205">
    <w:name w:val="标题小 Char Char"/>
    <w:link w:val="206"/>
    <w:qFormat/>
    <w:uiPriority w:val="0"/>
    <w:rPr>
      <w:rFonts w:ascii="黑体" w:hAnsi="Calibri" w:eastAsia="黑体"/>
      <w:b/>
      <w:sz w:val="28"/>
      <w:szCs w:val="30"/>
      <w:u w:val="single"/>
      <w:lang w:val="en-US" w:eastAsia="zh-CN" w:bidi="ar-SA"/>
    </w:rPr>
  </w:style>
  <w:style w:type="paragraph" w:customStyle="1" w:styleId="206">
    <w:name w:val="标题小"/>
    <w:basedOn w:val="1"/>
    <w:link w:val="205"/>
    <w:qFormat/>
    <w:uiPriority w:val="0"/>
    <w:pPr>
      <w:ind w:firstLine="0" w:firstLineChars="0"/>
    </w:pPr>
    <w:rPr>
      <w:rFonts w:ascii="黑体" w:hAnsi="Calibri" w:eastAsia="黑体"/>
      <w:b/>
      <w:color w:val="auto"/>
      <w:kern w:val="0"/>
      <w:sz w:val="28"/>
      <w:szCs w:val="30"/>
      <w:u w:val="single"/>
    </w:rPr>
  </w:style>
  <w:style w:type="character" w:customStyle="1" w:styleId="207">
    <w:name w:val="样式10 Char Char Char"/>
    <w:link w:val="208"/>
    <w:qFormat/>
    <w:uiPriority w:val="0"/>
    <w:rPr>
      <w:rFonts w:hAnsi="宋体" w:eastAsia="宋体"/>
      <w:b/>
      <w:bCs/>
      <w:kern w:val="2"/>
      <w:sz w:val="24"/>
      <w:szCs w:val="24"/>
      <w:lang w:val="en-US" w:eastAsia="zh-CN" w:bidi="ar-SA"/>
    </w:rPr>
  </w:style>
  <w:style w:type="paragraph" w:customStyle="1" w:styleId="208">
    <w:name w:val="样式10"/>
    <w:basedOn w:val="5"/>
    <w:link w:val="207"/>
    <w:qFormat/>
    <w:uiPriority w:val="0"/>
    <w:pPr>
      <w:tabs>
        <w:tab w:val="left" w:pos="864"/>
        <w:tab w:val="left" w:pos="1247"/>
      </w:tabs>
      <w:spacing w:before="280" w:after="290" w:line="312" w:lineRule="auto"/>
      <w:ind w:left="1701" w:hanging="1701"/>
      <w:jc w:val="both"/>
    </w:pPr>
    <w:rPr>
      <w:rFonts w:ascii="Times New Roman" w:hAnsi="宋体"/>
      <w:b/>
      <w:color w:val="auto"/>
      <w:szCs w:val="24"/>
    </w:rPr>
  </w:style>
  <w:style w:type="character" w:customStyle="1" w:styleId="209">
    <w:name w:val="样式10 Char Char"/>
    <w:qFormat/>
    <w:uiPriority w:val="0"/>
    <w:rPr>
      <w:rFonts w:ascii="宋体" w:hAnsi="宋体" w:eastAsia="宋体"/>
      <w:sz w:val="24"/>
      <w:szCs w:val="24"/>
      <w:lang w:val="en-US" w:eastAsia="zh-CN" w:bidi="ar-SA"/>
    </w:rPr>
  </w:style>
  <w:style w:type="character" w:customStyle="1" w:styleId="210">
    <w:name w:val="keyword1"/>
    <w:qFormat/>
    <w:uiPriority w:val="0"/>
    <w:rPr>
      <w:color w:val="FF0000"/>
    </w:rPr>
  </w:style>
  <w:style w:type="character" w:customStyle="1" w:styleId="211">
    <w:name w:val="正文2 Char Char"/>
    <w:link w:val="212"/>
    <w:qFormat/>
    <w:uiPriority w:val="0"/>
    <w:rPr>
      <w:rFonts w:eastAsia="宋体"/>
      <w:kern w:val="2"/>
      <w:sz w:val="24"/>
      <w:lang w:val="en-US" w:eastAsia="zh-CN" w:bidi="ar-SA"/>
    </w:rPr>
  </w:style>
  <w:style w:type="paragraph" w:customStyle="1" w:styleId="212">
    <w:name w:val="正文2"/>
    <w:basedOn w:val="1"/>
    <w:link w:val="211"/>
    <w:qFormat/>
    <w:uiPriority w:val="0"/>
    <w:pPr>
      <w:adjustRightInd w:val="0"/>
      <w:snapToGrid w:val="0"/>
      <w:spacing w:line="440" w:lineRule="atLeast"/>
      <w:ind w:firstLine="567" w:firstLineChars="0"/>
    </w:pPr>
    <w:rPr>
      <w:rFonts w:ascii="Times New Roman" w:hAnsi="Times New Roman"/>
      <w:color w:val="auto"/>
      <w:szCs w:val="20"/>
    </w:rPr>
  </w:style>
  <w:style w:type="character" w:customStyle="1" w:styleId="213">
    <w:name w:val="样式1 Char Char"/>
    <w:qFormat/>
    <w:uiPriority w:val="0"/>
    <w:rPr>
      <w:rFonts w:eastAsia="宋体"/>
      <w:kern w:val="2"/>
      <w:sz w:val="24"/>
      <w:lang w:val="en-US" w:eastAsia="zh-CN" w:bidi="ar-SA"/>
    </w:rPr>
  </w:style>
  <w:style w:type="character" w:customStyle="1" w:styleId="214">
    <w:name w:val="apple-converted-space"/>
    <w:basedOn w:val="87"/>
    <w:qFormat/>
    <w:uiPriority w:val="0"/>
  </w:style>
  <w:style w:type="character" w:customStyle="1" w:styleId="215">
    <w:name w:val="表格正文 Char Char"/>
    <w:link w:val="216"/>
    <w:qFormat/>
    <w:uiPriority w:val="0"/>
    <w:rPr>
      <w:rFonts w:eastAsia="宋体"/>
      <w:kern w:val="2"/>
      <w:sz w:val="21"/>
      <w:lang w:val="en-US" w:eastAsia="zh-CN" w:bidi="ar-SA"/>
    </w:rPr>
  </w:style>
  <w:style w:type="paragraph" w:customStyle="1" w:styleId="216">
    <w:name w:val="表格正文"/>
    <w:basedOn w:val="19"/>
    <w:link w:val="215"/>
    <w:qFormat/>
    <w:uiPriority w:val="0"/>
    <w:pPr>
      <w:snapToGrid/>
      <w:spacing w:line="240" w:lineRule="auto"/>
      <w:ind w:firstLine="0" w:firstLineChars="0"/>
    </w:pPr>
    <w:rPr>
      <w:rFonts w:ascii="Times New Roman" w:eastAsia="宋体"/>
      <w:sz w:val="21"/>
      <w:szCs w:val="20"/>
    </w:rPr>
  </w:style>
  <w:style w:type="character" w:customStyle="1" w:styleId="217">
    <w:name w:val="12"/>
    <w:basedOn w:val="87"/>
    <w:qFormat/>
    <w:uiPriority w:val="0"/>
  </w:style>
  <w:style w:type="character" w:customStyle="1" w:styleId="218">
    <w:name w:val="Char Char3"/>
    <w:qFormat/>
    <w:uiPriority w:val="0"/>
    <w:rPr>
      <w:rFonts w:eastAsia="宋体"/>
      <w:b/>
      <w:color w:val="000000"/>
      <w:kern w:val="2"/>
      <w:sz w:val="21"/>
      <w:lang w:val="en-US" w:eastAsia="zh-CN" w:bidi="ar-SA"/>
    </w:rPr>
  </w:style>
  <w:style w:type="character" w:customStyle="1" w:styleId="219">
    <w:name w:val="wz-title11"/>
    <w:qFormat/>
    <w:uiPriority w:val="0"/>
    <w:rPr>
      <w:b/>
      <w:bCs/>
      <w:color w:val="2879B8"/>
      <w:sz w:val="20"/>
      <w:szCs w:val="20"/>
    </w:rPr>
  </w:style>
  <w:style w:type="character" w:customStyle="1" w:styleId="220">
    <w:name w:val="样式7 Char Char"/>
    <w:link w:val="221"/>
    <w:qFormat/>
    <w:uiPriority w:val="0"/>
    <w:rPr>
      <w:rFonts w:hAnsi="宋体" w:eastAsia="宋体"/>
      <w:b/>
      <w:bCs/>
      <w:snapToGrid w:val="0"/>
      <w:kern w:val="2"/>
      <w:sz w:val="24"/>
      <w:szCs w:val="24"/>
      <w:lang w:val="en-US" w:eastAsia="zh-CN" w:bidi="ar-SA"/>
    </w:rPr>
  </w:style>
  <w:style w:type="paragraph" w:customStyle="1" w:styleId="221">
    <w:name w:val="样式7"/>
    <w:basedOn w:val="4"/>
    <w:link w:val="220"/>
    <w:qFormat/>
    <w:uiPriority w:val="0"/>
    <w:pPr>
      <w:tabs>
        <w:tab w:val="left" w:pos="1589"/>
        <w:tab w:val="clear" w:pos="0"/>
      </w:tabs>
      <w:adjustRightInd w:val="0"/>
      <w:snapToGrid w:val="0"/>
      <w:spacing w:beforeLines="0" w:after="260" w:line="312" w:lineRule="auto"/>
      <w:ind w:left="1589" w:hanging="1021"/>
    </w:pPr>
    <w:rPr>
      <w:rFonts w:ascii="Times New Roman"/>
      <w:snapToGrid w:val="0"/>
      <w:color w:val="auto"/>
      <w:sz w:val="24"/>
      <w:szCs w:val="24"/>
    </w:rPr>
  </w:style>
  <w:style w:type="character" w:customStyle="1" w:styleId="222">
    <w:name w:val="apple-style-span"/>
    <w:basedOn w:val="87"/>
    <w:qFormat/>
    <w:uiPriority w:val="0"/>
  </w:style>
  <w:style w:type="character" w:customStyle="1" w:styleId="223">
    <w:name w:val="未命名11"/>
    <w:qFormat/>
    <w:uiPriority w:val="0"/>
    <w:rPr>
      <w:rFonts w:hint="eastAsia" w:ascii="宋体" w:hAnsi="宋体" w:eastAsia="宋体"/>
      <w:sz w:val="18"/>
      <w:szCs w:val="18"/>
    </w:rPr>
  </w:style>
  <w:style w:type="character" w:customStyle="1" w:styleId="224">
    <w:name w:val="f241"/>
    <w:qFormat/>
    <w:uiPriority w:val="0"/>
    <w:rPr>
      <w:sz w:val="36"/>
      <w:szCs w:val="36"/>
    </w:rPr>
  </w:style>
  <w:style w:type="character" w:customStyle="1" w:styleId="225">
    <w:name w:val="zzzzzzz Char Char"/>
    <w:link w:val="226"/>
    <w:qFormat/>
    <w:uiPriority w:val="0"/>
    <w:rPr>
      <w:rFonts w:eastAsia="宋体"/>
      <w:kern w:val="2"/>
      <w:sz w:val="24"/>
      <w:lang w:val="en-US" w:eastAsia="zh-CN" w:bidi="ar-SA"/>
    </w:rPr>
  </w:style>
  <w:style w:type="paragraph" w:customStyle="1" w:styleId="226">
    <w:name w:val="zzzzzzz"/>
    <w:basedOn w:val="82"/>
    <w:next w:val="82"/>
    <w:link w:val="225"/>
    <w:qFormat/>
    <w:uiPriority w:val="0"/>
    <w:pPr>
      <w:adjustRightInd/>
      <w:snapToGrid/>
      <w:spacing w:line="360" w:lineRule="auto"/>
      <w:ind w:left="0" w:leftChars="0"/>
    </w:pPr>
    <w:rPr>
      <w:rFonts w:ascii="Times New Roman" w:eastAsia="宋体"/>
      <w:sz w:val="24"/>
      <w:szCs w:val="20"/>
    </w:rPr>
  </w:style>
  <w:style w:type="character" w:customStyle="1" w:styleId="227">
    <w:name w:val="表格数字 Char Char"/>
    <w:link w:val="228"/>
    <w:qFormat/>
    <w:uiPriority w:val="0"/>
    <w:rPr>
      <w:rFonts w:ascii="Arial" w:hAnsi="Arial" w:eastAsia="宋体" w:cs="宋体"/>
      <w:sz w:val="21"/>
      <w:lang w:val="en-US" w:eastAsia="zh-CN" w:bidi="ar-SA"/>
    </w:rPr>
  </w:style>
  <w:style w:type="paragraph" w:customStyle="1" w:styleId="228">
    <w:name w:val="表格数字"/>
    <w:basedOn w:val="1"/>
    <w:link w:val="227"/>
    <w:qFormat/>
    <w:uiPriority w:val="0"/>
    <w:pPr>
      <w:spacing w:line="360" w:lineRule="exact"/>
      <w:ind w:firstLine="0" w:firstLineChars="0"/>
      <w:jc w:val="center"/>
    </w:pPr>
    <w:rPr>
      <w:rFonts w:ascii="Arial" w:hAnsi="Arial" w:cs="宋体"/>
      <w:color w:val="auto"/>
      <w:kern w:val="0"/>
      <w:sz w:val="21"/>
      <w:szCs w:val="20"/>
    </w:rPr>
  </w:style>
  <w:style w:type="character" w:customStyle="1" w:styleId="229">
    <w:name w:val="三级标题 Char Char"/>
    <w:link w:val="230"/>
    <w:qFormat/>
    <w:uiPriority w:val="0"/>
    <w:rPr>
      <w:rFonts w:ascii="宋体" w:hAnsi="宋体" w:eastAsia="宋体" w:cs="宋体"/>
      <w:b/>
      <w:sz w:val="24"/>
      <w:szCs w:val="24"/>
      <w:lang w:val="en-US" w:eastAsia="zh-CN" w:bidi="ar-SA"/>
    </w:rPr>
  </w:style>
  <w:style w:type="paragraph" w:customStyle="1" w:styleId="230">
    <w:name w:val="三级标题"/>
    <w:basedOn w:val="187"/>
    <w:link w:val="229"/>
    <w:qFormat/>
    <w:uiPriority w:val="0"/>
    <w:pPr>
      <w:spacing w:before="260"/>
      <w:ind w:firstLine="0" w:firstLineChars="0"/>
      <w:outlineLvl w:val="2"/>
    </w:pPr>
    <w:rPr>
      <w:b/>
    </w:rPr>
  </w:style>
  <w:style w:type="character" w:customStyle="1" w:styleId="231">
    <w:name w:val="xin11"/>
    <w:qFormat/>
    <w:uiPriority w:val="0"/>
    <w:rPr>
      <w:rFonts w:hint="eastAsia" w:ascii="宋体" w:hAnsi="宋体" w:eastAsia="宋体"/>
      <w:color w:val="666666"/>
      <w:sz w:val="18"/>
      <w:szCs w:val="18"/>
      <w:u w:val="none"/>
    </w:rPr>
  </w:style>
  <w:style w:type="character" w:customStyle="1" w:styleId="232">
    <w:name w:val="1号正文 Char Char"/>
    <w:link w:val="233"/>
    <w:qFormat/>
    <w:uiPriority w:val="0"/>
    <w:rPr>
      <w:rFonts w:eastAsia="仿宋_GB2312"/>
      <w:kern w:val="2"/>
      <w:sz w:val="24"/>
      <w:szCs w:val="24"/>
      <w:lang w:val="en-US" w:eastAsia="zh-CN" w:bidi="ar-SA"/>
    </w:rPr>
  </w:style>
  <w:style w:type="paragraph" w:customStyle="1" w:styleId="233">
    <w:name w:val="1号正文"/>
    <w:basedOn w:val="1"/>
    <w:link w:val="232"/>
    <w:qFormat/>
    <w:uiPriority w:val="0"/>
    <w:rPr>
      <w:rFonts w:ascii="Times New Roman" w:hAnsi="Times New Roman" w:eastAsia="仿宋_GB2312"/>
      <w:color w:val="auto"/>
      <w:szCs w:val="24"/>
    </w:rPr>
  </w:style>
  <w:style w:type="character" w:customStyle="1" w:styleId="234">
    <w:name w:val="正文A Char Char"/>
    <w:link w:val="235"/>
    <w:qFormat/>
    <w:uiPriority w:val="0"/>
    <w:rPr>
      <w:rFonts w:eastAsia="宋体" w:cs="宋体"/>
      <w:kern w:val="2"/>
      <w:sz w:val="24"/>
      <w:lang w:val="en-US" w:eastAsia="zh-CN" w:bidi="ar-SA"/>
    </w:rPr>
  </w:style>
  <w:style w:type="paragraph" w:customStyle="1" w:styleId="235">
    <w:name w:val="正文A"/>
    <w:basedOn w:val="1"/>
    <w:link w:val="234"/>
    <w:qFormat/>
    <w:uiPriority w:val="0"/>
    <w:pPr>
      <w:spacing w:line="540" w:lineRule="exact"/>
      <w:ind w:firstLine="0" w:firstLineChars="0"/>
    </w:pPr>
    <w:rPr>
      <w:rFonts w:ascii="Times New Roman" w:hAnsi="Times New Roman" w:cs="宋体"/>
      <w:color w:val="auto"/>
      <w:szCs w:val="20"/>
    </w:rPr>
  </w:style>
  <w:style w:type="character" w:customStyle="1" w:styleId="236">
    <w:name w:val="表格标题新 Char Char"/>
    <w:link w:val="237"/>
    <w:qFormat/>
    <w:uiPriority w:val="0"/>
    <w:rPr>
      <w:rFonts w:ascii="宋体" w:hAnsi="宋体" w:eastAsia="宋体"/>
      <w:b/>
      <w:snapToGrid w:val="0"/>
      <w:spacing w:val="10"/>
      <w:kern w:val="2"/>
      <w:sz w:val="24"/>
      <w:szCs w:val="24"/>
      <w:lang w:val="en-US" w:eastAsia="zh-CN" w:bidi="ar-SA"/>
    </w:rPr>
  </w:style>
  <w:style w:type="paragraph" w:customStyle="1" w:styleId="237">
    <w:name w:val="表格标题新"/>
    <w:basedOn w:val="238"/>
    <w:link w:val="236"/>
    <w:qFormat/>
    <w:uiPriority w:val="0"/>
    <w:pPr>
      <w:tabs>
        <w:tab w:val="left" w:pos="0"/>
      </w:tabs>
    </w:pPr>
    <w:rPr>
      <w:rFonts w:ascii="宋体" w:hAnsi="宋体" w:eastAsia="宋体"/>
      <w:b/>
      <w:snapToGrid w:val="0"/>
      <w:spacing w:val="10"/>
    </w:rPr>
  </w:style>
  <w:style w:type="paragraph" w:customStyle="1" w:styleId="238">
    <w:name w:val="表格内文字"/>
    <w:basedOn w:val="1"/>
    <w:link w:val="239"/>
    <w:qFormat/>
    <w:uiPriority w:val="0"/>
    <w:pPr>
      <w:tabs>
        <w:tab w:val="left" w:pos="0"/>
      </w:tabs>
      <w:adjustRightInd w:val="0"/>
      <w:snapToGrid w:val="0"/>
      <w:spacing w:line="240" w:lineRule="auto"/>
      <w:ind w:firstLine="0" w:firstLineChars="0"/>
      <w:jc w:val="center"/>
    </w:pPr>
    <w:rPr>
      <w:rFonts w:ascii="Times New Roman" w:hAnsi="Times New Roman" w:eastAsia="仿宋_GB2312"/>
      <w:color w:val="auto"/>
      <w:szCs w:val="24"/>
    </w:rPr>
  </w:style>
  <w:style w:type="character" w:customStyle="1" w:styleId="239">
    <w:name w:val="表格内文字 Char Char"/>
    <w:link w:val="238"/>
    <w:qFormat/>
    <w:uiPriority w:val="0"/>
    <w:rPr>
      <w:rFonts w:eastAsia="仿宋_GB2312"/>
      <w:kern w:val="2"/>
      <w:sz w:val="24"/>
      <w:szCs w:val="24"/>
      <w:lang w:val="en-US" w:eastAsia="zh-CN" w:bidi="ar-SA"/>
    </w:rPr>
  </w:style>
  <w:style w:type="character" w:customStyle="1" w:styleId="240">
    <w:name w:val="无页眉 Char Char1"/>
    <w:qFormat/>
    <w:uiPriority w:val="0"/>
    <w:rPr>
      <w:rFonts w:ascii="宋体" w:eastAsia="宋体"/>
      <w:kern w:val="2"/>
      <w:sz w:val="18"/>
      <w:lang w:val="en-US" w:eastAsia="zh-CN" w:bidi="ar-SA"/>
    </w:rPr>
  </w:style>
  <w:style w:type="character" w:customStyle="1" w:styleId="241">
    <w:name w:val="biaoti1"/>
    <w:qFormat/>
    <w:uiPriority w:val="0"/>
    <w:rPr>
      <w:b/>
      <w:bCs/>
      <w:color w:val="000099"/>
      <w:sz w:val="24"/>
      <w:szCs w:val="24"/>
    </w:rPr>
  </w:style>
  <w:style w:type="character" w:customStyle="1" w:styleId="242">
    <w:name w:val="样式 (中文) 宋体 加粗"/>
    <w:qFormat/>
    <w:uiPriority w:val="0"/>
    <w:rPr>
      <w:rFonts w:eastAsia="宋体"/>
      <w:b/>
      <w:bCs/>
      <w:sz w:val="24"/>
      <w:szCs w:val="24"/>
    </w:rPr>
  </w:style>
  <w:style w:type="character" w:customStyle="1" w:styleId="243">
    <w:name w:val="样式 正文文本缩进正文文字缩进正文文字缩进1 + 首行缩进:  0.98 厘米 Char Char"/>
    <w:qFormat/>
    <w:uiPriority w:val="0"/>
    <w:rPr>
      <w:rFonts w:hint="eastAsia" w:ascii="楷体_GB2312" w:eastAsia="楷体_GB2312" w:cs="宋体"/>
      <w:bCs/>
      <w:color w:val="000000"/>
      <w:kern w:val="2"/>
      <w:sz w:val="28"/>
      <w:szCs w:val="28"/>
      <w:lang w:val="en-US" w:eastAsia="zh-CN"/>
    </w:rPr>
  </w:style>
  <w:style w:type="character" w:customStyle="1" w:styleId="244">
    <w:name w:val="标题 2 Char Char"/>
    <w:qFormat/>
    <w:uiPriority w:val="0"/>
    <w:rPr>
      <w:rFonts w:ascii="宋体" w:hAnsi="Arial" w:eastAsia="宋体"/>
      <w:b/>
      <w:bCs/>
      <w:kern w:val="2"/>
      <w:sz w:val="24"/>
      <w:szCs w:val="32"/>
      <w:lang w:val="en-US" w:eastAsia="zh-CN" w:bidi="ar-SA"/>
    </w:rPr>
  </w:style>
  <w:style w:type="character" w:customStyle="1" w:styleId="245">
    <w:name w:val="白银正文 Char Char"/>
    <w:link w:val="246"/>
    <w:qFormat/>
    <w:uiPriority w:val="0"/>
    <w:rPr>
      <w:rFonts w:ascii="Calibri" w:hAnsi="Calibri" w:eastAsia="宋体"/>
      <w:kern w:val="2"/>
      <w:sz w:val="24"/>
      <w:szCs w:val="22"/>
      <w:lang w:val="en-US" w:eastAsia="zh-CN" w:bidi="ar-SA"/>
    </w:rPr>
  </w:style>
  <w:style w:type="paragraph" w:customStyle="1" w:styleId="246">
    <w:name w:val="白银正文"/>
    <w:basedOn w:val="1"/>
    <w:link w:val="245"/>
    <w:qFormat/>
    <w:uiPriority w:val="0"/>
    <w:rPr>
      <w:rFonts w:ascii="Calibri" w:hAnsi="Calibri"/>
      <w:color w:val="auto"/>
      <w:szCs w:val="22"/>
    </w:rPr>
  </w:style>
  <w:style w:type="character" w:customStyle="1" w:styleId="247">
    <w:name w:val="常用表头样式 Char Char"/>
    <w:link w:val="248"/>
    <w:qFormat/>
    <w:uiPriority w:val="0"/>
    <w:rPr>
      <w:rFonts w:ascii="黑体" w:eastAsia="仿宋_GB2312"/>
      <w:b/>
      <w:kern w:val="2"/>
      <w:sz w:val="21"/>
      <w:szCs w:val="21"/>
      <w:lang w:val="en-US" w:eastAsia="zh-CN" w:bidi="ar-SA"/>
    </w:rPr>
  </w:style>
  <w:style w:type="paragraph" w:customStyle="1" w:styleId="248">
    <w:name w:val="常用表头样式"/>
    <w:basedOn w:val="81"/>
    <w:link w:val="247"/>
    <w:qFormat/>
    <w:uiPriority w:val="0"/>
    <w:pPr>
      <w:overflowPunct w:val="0"/>
      <w:autoSpaceDE w:val="0"/>
      <w:autoSpaceDN w:val="0"/>
      <w:adjustRightInd w:val="0"/>
      <w:spacing w:after="0" w:line="360" w:lineRule="auto"/>
      <w:ind w:firstLine="0" w:firstLineChars="0"/>
      <w:jc w:val="center"/>
      <w:textAlignment w:val="baseline"/>
    </w:pPr>
    <w:rPr>
      <w:rFonts w:ascii="黑体" w:eastAsia="仿宋_GB2312"/>
      <w:b/>
      <w:sz w:val="21"/>
      <w:szCs w:val="21"/>
    </w:rPr>
  </w:style>
  <w:style w:type="character" w:customStyle="1" w:styleId="249">
    <w:name w:val="bt21"/>
    <w:qFormat/>
    <w:uiPriority w:val="0"/>
    <w:rPr>
      <w:rFonts w:hint="eastAsia" w:ascii="黑体" w:eastAsia="黑体"/>
      <w:sz w:val="24"/>
      <w:szCs w:val="24"/>
    </w:rPr>
  </w:style>
  <w:style w:type="character" w:customStyle="1" w:styleId="250">
    <w:name w:val="(a正文 Char Char"/>
    <w:link w:val="251"/>
    <w:qFormat/>
    <w:uiPriority w:val="0"/>
    <w:rPr>
      <w:rFonts w:eastAsia="仿宋_GB2312"/>
      <w:color w:val="000000"/>
      <w:kern w:val="2"/>
      <w:sz w:val="24"/>
      <w:szCs w:val="24"/>
      <w:lang w:val="en-US" w:eastAsia="zh-CN" w:bidi="ar-SA"/>
    </w:rPr>
  </w:style>
  <w:style w:type="paragraph" w:customStyle="1" w:styleId="251">
    <w:name w:val="(a正文"/>
    <w:basedOn w:val="1"/>
    <w:link w:val="250"/>
    <w:qFormat/>
    <w:uiPriority w:val="0"/>
    <w:pPr>
      <w:spacing w:line="440" w:lineRule="exact"/>
    </w:pPr>
    <w:rPr>
      <w:rFonts w:ascii="Times New Roman" w:hAnsi="Times New Roman" w:eastAsia="仿宋_GB2312"/>
      <w:szCs w:val="24"/>
    </w:rPr>
  </w:style>
  <w:style w:type="character" w:customStyle="1" w:styleId="252">
    <w:name w:val="正文_01 Char Char"/>
    <w:link w:val="253"/>
    <w:qFormat/>
    <w:uiPriority w:val="0"/>
    <w:rPr>
      <w:rFonts w:ascii="宋体" w:hAnsi="宋体"/>
      <w:kern w:val="2"/>
      <w:sz w:val="28"/>
      <w:szCs w:val="28"/>
      <w:lang w:val="en-US" w:eastAsia="zh-CN" w:bidi="ar-SA"/>
    </w:rPr>
  </w:style>
  <w:style w:type="paragraph" w:customStyle="1" w:styleId="253">
    <w:name w:val="正文_01"/>
    <w:link w:val="252"/>
    <w:qFormat/>
    <w:uiPriority w:val="0"/>
    <w:pPr>
      <w:widowControl w:val="0"/>
      <w:snapToGrid w:val="0"/>
      <w:spacing w:line="560" w:lineRule="exact"/>
      <w:ind w:firstLine="560" w:firstLineChars="200"/>
      <w:jc w:val="both"/>
    </w:pPr>
    <w:rPr>
      <w:rFonts w:ascii="宋体" w:hAnsi="宋体" w:eastAsia="宋体" w:cs="Times New Roman"/>
      <w:kern w:val="2"/>
      <w:sz w:val="28"/>
      <w:szCs w:val="28"/>
      <w:lang w:val="en-US" w:eastAsia="zh-CN" w:bidi="ar-SA"/>
    </w:rPr>
  </w:style>
  <w:style w:type="character" w:customStyle="1" w:styleId="254">
    <w:name w:val="正文文字 Char Char"/>
    <w:link w:val="255"/>
    <w:qFormat/>
    <w:uiPriority w:val="0"/>
    <w:rPr>
      <w:rFonts w:ascii="仿宋_GB2312" w:hAnsi="Arial Black" w:eastAsia="仿宋_GB2312" w:cs="仿宋_GB2312"/>
      <w:sz w:val="28"/>
      <w:szCs w:val="28"/>
      <w:lang w:val="en-US" w:eastAsia="zh-CN" w:bidi="ar-SA"/>
    </w:rPr>
  </w:style>
  <w:style w:type="paragraph" w:customStyle="1" w:styleId="255">
    <w:name w:val="正文文字"/>
    <w:basedOn w:val="1"/>
    <w:link w:val="254"/>
    <w:qFormat/>
    <w:uiPriority w:val="0"/>
    <w:pPr>
      <w:adjustRightInd w:val="0"/>
      <w:ind w:firstLine="0" w:firstLineChars="0"/>
      <w:jc w:val="left"/>
      <w:textAlignment w:val="baseline"/>
    </w:pPr>
    <w:rPr>
      <w:rFonts w:ascii="仿宋_GB2312" w:hAnsi="Arial Black" w:eastAsia="仿宋_GB2312" w:cs="仿宋_GB2312"/>
      <w:color w:val="auto"/>
      <w:kern w:val="0"/>
      <w:sz w:val="28"/>
      <w:szCs w:val="28"/>
    </w:rPr>
  </w:style>
  <w:style w:type="character" w:customStyle="1" w:styleId="256">
    <w:name w:val="Char Char12"/>
    <w:qFormat/>
    <w:uiPriority w:val="0"/>
    <w:rPr>
      <w:b/>
      <w:bCs/>
      <w:sz w:val="32"/>
      <w:szCs w:val="32"/>
    </w:rPr>
  </w:style>
  <w:style w:type="character" w:customStyle="1" w:styleId="257">
    <w:name w:val="样式9 Char Char"/>
    <w:link w:val="258"/>
    <w:qFormat/>
    <w:uiPriority w:val="0"/>
    <w:rPr>
      <w:rFonts w:hAnsi="宋体" w:eastAsia="宋体"/>
      <w:b/>
      <w:bCs/>
      <w:kern w:val="2"/>
      <w:sz w:val="24"/>
      <w:szCs w:val="24"/>
      <w:lang w:val="en-US" w:eastAsia="zh-CN" w:bidi="ar-SA"/>
    </w:rPr>
  </w:style>
  <w:style w:type="paragraph" w:customStyle="1" w:styleId="258">
    <w:name w:val="样式9"/>
    <w:basedOn w:val="5"/>
    <w:link w:val="257"/>
    <w:qFormat/>
    <w:uiPriority w:val="0"/>
    <w:pPr>
      <w:tabs>
        <w:tab w:val="left" w:pos="864"/>
        <w:tab w:val="left" w:pos="1247"/>
      </w:tabs>
      <w:spacing w:before="280" w:after="290" w:line="312" w:lineRule="auto"/>
      <w:ind w:left="1064" w:leftChars="100" w:hanging="964"/>
      <w:jc w:val="both"/>
    </w:pPr>
    <w:rPr>
      <w:rFonts w:ascii="Times New Roman" w:hAnsi="宋体"/>
      <w:b/>
      <w:color w:val="auto"/>
      <w:szCs w:val="24"/>
    </w:rPr>
  </w:style>
  <w:style w:type="character" w:customStyle="1" w:styleId="259">
    <w:name w:val="m11"/>
    <w:qFormat/>
    <w:uiPriority w:val="0"/>
    <w:rPr>
      <w:sz w:val="21"/>
      <w:szCs w:val="21"/>
    </w:rPr>
  </w:style>
  <w:style w:type="character" w:customStyle="1" w:styleId="260">
    <w:name w:val="白银标题3 Char Char"/>
    <w:link w:val="261"/>
    <w:qFormat/>
    <w:uiPriority w:val="0"/>
    <w:rPr>
      <w:rFonts w:eastAsia="宋体"/>
      <w:b/>
      <w:bCs/>
      <w:kern w:val="2"/>
      <w:sz w:val="24"/>
      <w:szCs w:val="24"/>
      <w:lang w:val="en-US" w:eastAsia="zh-CN" w:bidi="ar-SA"/>
    </w:rPr>
  </w:style>
  <w:style w:type="paragraph" w:customStyle="1" w:styleId="261">
    <w:name w:val="白银标题3"/>
    <w:basedOn w:val="4"/>
    <w:link w:val="260"/>
    <w:qFormat/>
    <w:uiPriority w:val="0"/>
    <w:pPr>
      <w:spacing w:beforeLines="0"/>
      <w:jc w:val="both"/>
    </w:pPr>
    <w:rPr>
      <w:rFonts w:ascii="Times New Roman" w:hAnsi="Times New Roman"/>
      <w:color w:val="auto"/>
      <w:sz w:val="24"/>
      <w:szCs w:val="24"/>
    </w:rPr>
  </w:style>
  <w:style w:type="character" w:customStyle="1" w:styleId="262">
    <w:name w:val="style161"/>
    <w:qFormat/>
    <w:uiPriority w:val="0"/>
    <w:rPr>
      <w:color w:val="000000"/>
      <w:sz w:val="21"/>
      <w:szCs w:val="21"/>
    </w:rPr>
  </w:style>
  <w:style w:type="character" w:customStyle="1" w:styleId="263">
    <w:name w:val="style9"/>
    <w:qFormat/>
    <w:uiPriority w:val="0"/>
    <w:rPr>
      <w:rFonts w:eastAsia="宋体"/>
      <w:kern w:val="2"/>
      <w:sz w:val="21"/>
      <w:szCs w:val="24"/>
      <w:lang w:val="en-US" w:eastAsia="zh-CN" w:bidi="ar-SA"/>
    </w:rPr>
  </w:style>
  <w:style w:type="character" w:customStyle="1" w:styleId="264">
    <w:name w:val="正文001 Char1"/>
    <w:link w:val="265"/>
    <w:qFormat/>
    <w:uiPriority w:val="0"/>
    <w:rPr>
      <w:rFonts w:ascii="Arial" w:hAnsi="Arial" w:eastAsia="宋体"/>
      <w:kern w:val="2"/>
      <w:sz w:val="24"/>
      <w:lang w:val="en-US" w:eastAsia="zh-CN" w:bidi="ar-SA"/>
    </w:rPr>
  </w:style>
  <w:style w:type="paragraph" w:customStyle="1" w:styleId="265">
    <w:name w:val="正文001"/>
    <w:basedOn w:val="1"/>
    <w:link w:val="264"/>
    <w:qFormat/>
    <w:uiPriority w:val="0"/>
    <w:pPr>
      <w:spacing w:before="60" w:line="460" w:lineRule="exact"/>
      <w:ind w:firstLine="482" w:firstLineChars="0"/>
    </w:pPr>
    <w:rPr>
      <w:rFonts w:ascii="Arial" w:hAnsi="Arial"/>
      <w:color w:val="auto"/>
      <w:szCs w:val="20"/>
    </w:rPr>
  </w:style>
  <w:style w:type="character" w:customStyle="1" w:styleId="266">
    <w:name w:val="正文（首行缩进两字） Char Char Char Char1"/>
    <w:qFormat/>
    <w:uiPriority w:val="0"/>
    <w:rPr>
      <w:rFonts w:eastAsia="宋体"/>
      <w:kern w:val="2"/>
      <w:sz w:val="21"/>
      <w:szCs w:val="24"/>
      <w:lang w:val="en-US" w:eastAsia="zh-CN" w:bidi="ar-SA"/>
    </w:rPr>
  </w:style>
  <w:style w:type="character" w:customStyle="1" w:styleId="267">
    <w:name w:val="unnamed31"/>
    <w:qFormat/>
    <w:uiPriority w:val="0"/>
    <w:rPr>
      <w:sz w:val="18"/>
      <w:szCs w:val="18"/>
    </w:rPr>
  </w:style>
  <w:style w:type="character" w:customStyle="1" w:styleId="268">
    <w:name w:val="正文001 Char Char Char Char"/>
    <w:qFormat/>
    <w:uiPriority w:val="0"/>
    <w:rPr>
      <w:rFonts w:eastAsia="宋体"/>
      <w:kern w:val="2"/>
      <w:sz w:val="24"/>
      <w:lang w:val="en-US" w:eastAsia="zh-CN" w:bidi="ar-SA"/>
    </w:rPr>
  </w:style>
  <w:style w:type="character" w:customStyle="1" w:styleId="269">
    <w:name w:val="表格样式 Char Char"/>
    <w:link w:val="270"/>
    <w:qFormat/>
    <w:uiPriority w:val="0"/>
    <w:rPr>
      <w:rFonts w:eastAsia="宋体"/>
      <w:snapToGrid w:val="0"/>
      <w:sz w:val="22"/>
      <w:szCs w:val="21"/>
      <w:lang w:val="en-US" w:eastAsia="zh-CN" w:bidi="ar-SA"/>
    </w:rPr>
  </w:style>
  <w:style w:type="paragraph" w:customStyle="1" w:styleId="270">
    <w:name w:val="表格样式"/>
    <w:basedOn w:val="1"/>
    <w:link w:val="269"/>
    <w:qFormat/>
    <w:uiPriority w:val="0"/>
    <w:pPr>
      <w:spacing w:line="240" w:lineRule="auto"/>
      <w:ind w:firstLine="0" w:firstLineChars="0"/>
      <w:jc w:val="center"/>
    </w:pPr>
    <w:rPr>
      <w:rFonts w:ascii="Times New Roman" w:hAnsi="Times New Roman"/>
      <w:snapToGrid w:val="0"/>
      <w:color w:val="auto"/>
      <w:kern w:val="0"/>
      <w:sz w:val="22"/>
    </w:rPr>
  </w:style>
  <w:style w:type="character" w:customStyle="1" w:styleId="271">
    <w:name w:val="fs"/>
    <w:basedOn w:val="87"/>
    <w:qFormat/>
    <w:uiPriority w:val="0"/>
  </w:style>
  <w:style w:type="character" w:customStyle="1" w:styleId="272">
    <w:name w:val="f9wen1"/>
    <w:qFormat/>
    <w:uiPriority w:val="0"/>
    <w:rPr>
      <w:spacing w:val="12"/>
      <w:sz w:val="18"/>
      <w:szCs w:val="18"/>
      <w:u w:val="none"/>
    </w:rPr>
  </w:style>
  <w:style w:type="character" w:customStyle="1" w:styleId="273">
    <w:name w:val="msonormal"/>
    <w:basedOn w:val="87"/>
    <w:qFormat/>
    <w:uiPriority w:val="0"/>
  </w:style>
  <w:style w:type="character" w:customStyle="1" w:styleId="274">
    <w:name w:val="页眉1 Char"/>
    <w:qFormat/>
    <w:uiPriority w:val="0"/>
    <w:rPr>
      <w:rFonts w:eastAsia="宋体"/>
      <w:kern w:val="2"/>
      <w:sz w:val="18"/>
      <w:szCs w:val="18"/>
      <w:lang w:val="en-US" w:eastAsia="zh-CN" w:bidi="ar-SA"/>
    </w:rPr>
  </w:style>
  <w:style w:type="character" w:customStyle="1" w:styleId="275">
    <w:name w:val="样式 标题 2节标题节 + 四号 Char Char"/>
    <w:link w:val="276"/>
    <w:qFormat/>
    <w:uiPriority w:val="0"/>
    <w:rPr>
      <w:rFonts w:ascii="Arial" w:hAnsi="Arial" w:eastAsia="黑体"/>
      <w:b/>
      <w:color w:val="000000"/>
      <w:kern w:val="2"/>
      <w:sz w:val="28"/>
      <w:szCs w:val="32"/>
      <w:lang w:val="en-US" w:eastAsia="zh-CN" w:bidi="ar-SA"/>
    </w:rPr>
  </w:style>
  <w:style w:type="paragraph" w:customStyle="1" w:styleId="276">
    <w:name w:val="样式 标题 2节标题节 + 四号"/>
    <w:basedOn w:val="3"/>
    <w:link w:val="275"/>
    <w:qFormat/>
    <w:uiPriority w:val="0"/>
    <w:pPr>
      <w:spacing w:beforeLines="0"/>
      <w:ind w:left="0" w:firstLine="0"/>
    </w:pPr>
    <w:rPr>
      <w:rFonts w:ascii="Arial" w:eastAsia="黑体"/>
      <w:bCs w:val="0"/>
      <w:sz w:val="28"/>
    </w:rPr>
  </w:style>
  <w:style w:type="character" w:customStyle="1" w:styleId="277">
    <w:name w:val="postbody"/>
    <w:basedOn w:val="87"/>
    <w:qFormat/>
    <w:uiPriority w:val="0"/>
  </w:style>
  <w:style w:type="character" w:customStyle="1" w:styleId="278">
    <w:name w:val="正文（首行缩进两字） Char Char Char Char Char Char Char Char Char Char Char Char Char"/>
    <w:qFormat/>
    <w:uiPriority w:val="0"/>
    <w:rPr>
      <w:rFonts w:ascii="仿宋_GB2312" w:eastAsia="仿宋_GB2312"/>
      <w:kern w:val="2"/>
      <w:sz w:val="28"/>
      <w:szCs w:val="24"/>
      <w:lang w:val="en-US" w:eastAsia="zh-CN" w:bidi="ar-SA"/>
    </w:rPr>
  </w:style>
  <w:style w:type="character" w:customStyle="1" w:styleId="279">
    <w:name w:val="正文001 Char Char Char Char Char"/>
    <w:link w:val="280"/>
    <w:qFormat/>
    <w:uiPriority w:val="0"/>
    <w:rPr>
      <w:rFonts w:eastAsia="宋体"/>
      <w:kern w:val="2"/>
      <w:sz w:val="24"/>
      <w:lang w:val="en-US" w:eastAsia="zh-CN" w:bidi="ar-SA"/>
    </w:rPr>
  </w:style>
  <w:style w:type="paragraph" w:customStyle="1" w:styleId="280">
    <w:name w:val="正文001 Char Char"/>
    <w:basedOn w:val="1"/>
    <w:link w:val="279"/>
    <w:qFormat/>
    <w:uiPriority w:val="0"/>
    <w:pPr>
      <w:spacing w:before="60" w:line="420" w:lineRule="exact"/>
      <w:ind w:firstLine="482" w:firstLineChars="0"/>
    </w:pPr>
    <w:rPr>
      <w:rFonts w:ascii="Times New Roman" w:hAnsi="Times New Roman"/>
      <w:color w:val="auto"/>
      <w:szCs w:val="20"/>
    </w:rPr>
  </w:style>
  <w:style w:type="character" w:customStyle="1" w:styleId="281">
    <w:name w:val="b3 Char Char"/>
    <w:link w:val="282"/>
    <w:qFormat/>
    <w:uiPriority w:val="0"/>
    <w:rPr>
      <w:rFonts w:eastAsia="宋体"/>
      <w:b/>
      <w:bCs/>
      <w:kern w:val="2"/>
      <w:sz w:val="30"/>
      <w:szCs w:val="32"/>
      <w:lang w:val="en-US" w:eastAsia="zh-CN" w:bidi="ar-SA"/>
    </w:rPr>
  </w:style>
  <w:style w:type="paragraph" w:customStyle="1" w:styleId="282">
    <w:name w:val="b3"/>
    <w:basedOn w:val="4"/>
    <w:next w:val="4"/>
    <w:link w:val="281"/>
    <w:qFormat/>
    <w:uiPriority w:val="0"/>
    <w:pPr>
      <w:spacing w:beforeLines="0" w:after="380" w:line="480" w:lineRule="auto"/>
      <w:jc w:val="both"/>
    </w:pPr>
    <w:rPr>
      <w:rFonts w:ascii="Times New Roman" w:hAnsi="Times New Roman"/>
      <w:color w:val="auto"/>
      <w:sz w:val="30"/>
    </w:rPr>
  </w:style>
  <w:style w:type="character" w:customStyle="1" w:styleId="283">
    <w:name w:val="正文首行缩进 2 + Times New Roman Char Char"/>
    <w:link w:val="284"/>
    <w:qFormat/>
    <w:uiPriority w:val="0"/>
    <w:rPr>
      <w:rFonts w:eastAsia="宋体"/>
      <w:sz w:val="24"/>
      <w:szCs w:val="24"/>
      <w:lang w:val="en-US" w:eastAsia="zh-CN" w:bidi="ar-SA"/>
    </w:rPr>
  </w:style>
  <w:style w:type="paragraph" w:customStyle="1" w:styleId="284">
    <w:name w:val="正文首行缩进 2 + Times New Roman"/>
    <w:basedOn w:val="1"/>
    <w:link w:val="283"/>
    <w:qFormat/>
    <w:uiPriority w:val="0"/>
    <w:pPr>
      <w:tabs>
        <w:tab w:val="left" w:pos="0"/>
        <w:tab w:val="left" w:pos="870"/>
        <w:tab w:val="left" w:pos="3150"/>
      </w:tabs>
      <w:autoSpaceDE w:val="0"/>
      <w:autoSpaceDN w:val="0"/>
      <w:ind w:firstLine="480"/>
      <w:jc w:val="left"/>
    </w:pPr>
    <w:rPr>
      <w:rFonts w:ascii="Times New Roman" w:hAnsi="Times New Roman"/>
      <w:color w:val="auto"/>
      <w:kern w:val="0"/>
      <w:szCs w:val="24"/>
    </w:rPr>
  </w:style>
  <w:style w:type="character" w:customStyle="1" w:styleId="285">
    <w:name w:val="样式4 Char"/>
    <w:link w:val="286"/>
    <w:qFormat/>
    <w:uiPriority w:val="0"/>
    <w:rPr>
      <w:rFonts w:ascii="宋体" w:hAnsi="Arial" w:eastAsia="宋体"/>
      <w:bCs/>
      <w:color w:val="000000"/>
      <w:kern w:val="2"/>
      <w:sz w:val="24"/>
      <w:szCs w:val="28"/>
      <w:lang w:val="en-US" w:eastAsia="zh-CN" w:bidi="ar-SA"/>
    </w:rPr>
  </w:style>
  <w:style w:type="paragraph" w:customStyle="1" w:styleId="286">
    <w:name w:val="样式4"/>
    <w:basedOn w:val="5"/>
    <w:link w:val="285"/>
    <w:qFormat/>
    <w:uiPriority w:val="0"/>
    <w:pPr>
      <w:tabs>
        <w:tab w:val="left" w:pos="0"/>
      </w:tabs>
    </w:pPr>
  </w:style>
  <w:style w:type="character" w:customStyle="1" w:styleId="287">
    <w:name w:val="正文 首行缩进:  2 字符 Char"/>
    <w:link w:val="288"/>
    <w:qFormat/>
    <w:uiPriority w:val="0"/>
    <w:rPr>
      <w:rFonts w:ascii="宋体" w:hAnsi="宋体" w:eastAsia="宋体"/>
      <w:kern w:val="2"/>
      <w:sz w:val="24"/>
      <w:szCs w:val="26"/>
      <w:lang w:val="en-US" w:eastAsia="zh-CN" w:bidi="ar-SA"/>
    </w:rPr>
  </w:style>
  <w:style w:type="paragraph" w:customStyle="1" w:styleId="288">
    <w:name w:val="正文 首行缩进:  2 字符"/>
    <w:basedOn w:val="1"/>
    <w:link w:val="287"/>
    <w:qFormat/>
    <w:uiPriority w:val="0"/>
    <w:pPr>
      <w:spacing w:line="480" w:lineRule="exact"/>
      <w:ind w:firstLine="480"/>
    </w:pPr>
    <w:rPr>
      <w:color w:val="auto"/>
      <w:szCs w:val="26"/>
    </w:rPr>
  </w:style>
  <w:style w:type="character" w:customStyle="1" w:styleId="289">
    <w:name w:val="表头文字 Char"/>
    <w:link w:val="290"/>
    <w:qFormat/>
    <w:uiPriority w:val="0"/>
    <w:rPr>
      <w:rFonts w:eastAsia="宋体"/>
      <w:b/>
      <w:sz w:val="21"/>
      <w:lang w:val="en-US" w:eastAsia="zh-CN" w:bidi="ar-SA"/>
    </w:rPr>
  </w:style>
  <w:style w:type="paragraph" w:customStyle="1" w:styleId="290">
    <w:name w:val="表头文字"/>
    <w:basedOn w:val="1"/>
    <w:link w:val="289"/>
    <w:qFormat/>
    <w:uiPriority w:val="0"/>
    <w:pPr>
      <w:adjustRightInd w:val="0"/>
      <w:snapToGrid w:val="0"/>
      <w:spacing w:line="400" w:lineRule="exact"/>
      <w:ind w:firstLine="0" w:firstLineChars="0"/>
      <w:jc w:val="center"/>
      <w:textAlignment w:val="baseline"/>
    </w:pPr>
    <w:rPr>
      <w:rFonts w:ascii="Times New Roman" w:hAnsi="Times New Roman"/>
      <w:b/>
      <w:color w:val="auto"/>
      <w:kern w:val="0"/>
      <w:sz w:val="21"/>
      <w:szCs w:val="20"/>
    </w:rPr>
  </w:style>
  <w:style w:type="character" w:customStyle="1" w:styleId="291">
    <w:name w:val="表 Char"/>
    <w:link w:val="292"/>
    <w:qFormat/>
    <w:uiPriority w:val="0"/>
    <w:rPr>
      <w:rFonts w:eastAsia="宋体"/>
      <w:spacing w:val="2"/>
      <w:kern w:val="2"/>
      <w:sz w:val="21"/>
      <w:lang w:val="en-US" w:eastAsia="zh-CN" w:bidi="ar-SA"/>
    </w:rPr>
  </w:style>
  <w:style w:type="paragraph" w:customStyle="1" w:styleId="292">
    <w:name w:val="表"/>
    <w:basedOn w:val="1"/>
    <w:link w:val="291"/>
    <w:qFormat/>
    <w:uiPriority w:val="0"/>
    <w:pPr>
      <w:snapToGrid w:val="0"/>
      <w:spacing w:line="400" w:lineRule="exact"/>
      <w:ind w:firstLine="0" w:firstLineChars="0"/>
      <w:jc w:val="center"/>
    </w:pPr>
    <w:rPr>
      <w:rFonts w:ascii="Times New Roman" w:hAnsi="Times New Roman"/>
      <w:color w:val="auto"/>
      <w:spacing w:val="2"/>
      <w:sz w:val="21"/>
      <w:szCs w:val="20"/>
    </w:rPr>
  </w:style>
  <w:style w:type="character" w:customStyle="1" w:styleId="293">
    <w:name w:val="标题02 Char"/>
    <w:link w:val="294"/>
    <w:qFormat/>
    <w:uiPriority w:val="0"/>
    <w:rPr>
      <w:rFonts w:ascii="宋体" w:hAnsi="宋体" w:eastAsia="宋体"/>
      <w:color w:val="000000"/>
      <w:kern w:val="2"/>
      <w:sz w:val="24"/>
      <w:szCs w:val="21"/>
      <w:lang w:val="en-US" w:eastAsia="zh-CN" w:bidi="ar-SA"/>
    </w:rPr>
  </w:style>
  <w:style w:type="paragraph" w:customStyle="1" w:styleId="294">
    <w:name w:val="标题02"/>
    <w:basedOn w:val="1"/>
    <w:next w:val="1"/>
    <w:link w:val="293"/>
    <w:qFormat/>
    <w:uiPriority w:val="0"/>
    <w:pPr>
      <w:ind w:firstLine="480"/>
    </w:pPr>
  </w:style>
  <w:style w:type="character" w:customStyle="1" w:styleId="295">
    <w:name w:val="样式23 Char"/>
    <w:qFormat/>
    <w:uiPriority w:val="0"/>
    <w:rPr>
      <w:rFonts w:ascii="宋体" w:hAnsi="宋体" w:eastAsia="宋体"/>
      <w:color w:val="000000"/>
      <w:kern w:val="2"/>
      <w:sz w:val="24"/>
      <w:szCs w:val="24"/>
      <w:lang w:val="en-US" w:eastAsia="zh-CN" w:bidi="ar-SA"/>
    </w:rPr>
  </w:style>
  <w:style w:type="character" w:customStyle="1" w:styleId="296">
    <w:name w:val="正文（首行缩进两字） Char Char Char Char Char Char Char Char"/>
    <w:qFormat/>
    <w:uiPriority w:val="0"/>
    <w:rPr>
      <w:rFonts w:ascii="仿宋_GB2312" w:eastAsia="仿宋_GB2312"/>
      <w:kern w:val="2"/>
      <w:sz w:val="28"/>
      <w:szCs w:val="24"/>
      <w:lang w:val="en-US" w:eastAsia="zh-CN" w:bidi="ar-SA"/>
    </w:rPr>
  </w:style>
  <w:style w:type="character" w:customStyle="1" w:styleId="297">
    <w:name w:val="表格内文字 Char"/>
    <w:qFormat/>
    <w:uiPriority w:val="0"/>
    <w:rPr>
      <w:rFonts w:eastAsia="仿宋_GB2312"/>
      <w:kern w:val="2"/>
      <w:sz w:val="24"/>
      <w:szCs w:val="24"/>
      <w:lang w:val="en-US" w:eastAsia="zh-CN" w:bidi="ar-SA"/>
    </w:rPr>
  </w:style>
  <w:style w:type="character" w:customStyle="1" w:styleId="298">
    <w:name w:val="页眉2 Char Char"/>
    <w:qFormat/>
    <w:uiPriority w:val="0"/>
    <w:rPr>
      <w:kern w:val="2"/>
      <w:sz w:val="18"/>
      <w:szCs w:val="18"/>
    </w:rPr>
  </w:style>
  <w:style w:type="character" w:customStyle="1" w:styleId="299">
    <w:name w:val="节 Char"/>
    <w:qFormat/>
    <w:uiPriority w:val="0"/>
    <w:rPr>
      <w:rFonts w:ascii="宋体" w:hAnsi="Arial" w:eastAsia="宋体"/>
      <w:b/>
      <w:bCs/>
      <w:color w:val="000000"/>
      <w:kern w:val="2"/>
      <w:sz w:val="30"/>
      <w:szCs w:val="32"/>
      <w:lang w:val="en-US" w:eastAsia="zh-CN" w:bidi="ar-SA"/>
    </w:rPr>
  </w:style>
  <w:style w:type="character" w:customStyle="1" w:styleId="300">
    <w:name w:val="1.2.5.1 Char"/>
    <w:qFormat/>
    <w:uiPriority w:val="0"/>
    <w:rPr>
      <w:rFonts w:ascii="宋体" w:hAnsi="Arial" w:eastAsia="宋体"/>
      <w:bCs/>
      <w:color w:val="000000"/>
      <w:kern w:val="2"/>
      <w:sz w:val="24"/>
      <w:szCs w:val="28"/>
      <w:lang w:val="en-US" w:eastAsia="zh-CN" w:bidi="ar-SA"/>
    </w:rPr>
  </w:style>
  <w:style w:type="character" w:customStyle="1" w:styleId="301">
    <w:name w:val="表格正文 Char"/>
    <w:qFormat/>
    <w:uiPriority w:val="0"/>
    <w:rPr>
      <w:rFonts w:eastAsia="宋体"/>
      <w:color w:val="000000"/>
      <w:spacing w:val="12"/>
      <w:sz w:val="24"/>
      <w:lang w:val="en-US" w:eastAsia="zh-CN" w:bidi="ar-SA"/>
    </w:rPr>
  </w:style>
  <w:style w:type="character" w:customStyle="1" w:styleId="302">
    <w:name w:val="样式1 Char"/>
    <w:qFormat/>
    <w:uiPriority w:val="0"/>
    <w:rPr>
      <w:rFonts w:eastAsia="宋体"/>
      <w:kern w:val="2"/>
      <w:sz w:val="24"/>
      <w:lang w:val="en-US" w:eastAsia="zh-CN" w:bidi="ar-SA"/>
    </w:rPr>
  </w:style>
  <w:style w:type="character" w:customStyle="1" w:styleId="303">
    <w:name w:val="样式17 Char"/>
    <w:qFormat/>
    <w:uiPriority w:val="0"/>
    <w:rPr>
      <w:rFonts w:ascii="宋体" w:hAnsi="宋体" w:eastAsia="宋体"/>
      <w:b/>
      <w:color w:val="000000"/>
      <w:kern w:val="2"/>
      <w:sz w:val="32"/>
      <w:szCs w:val="32"/>
      <w:lang w:val="en-US" w:eastAsia="zh-CN" w:bidi="ar-SA"/>
    </w:rPr>
  </w:style>
  <w:style w:type="character" w:customStyle="1" w:styleId="304">
    <w:name w:val="正文2 Char"/>
    <w:qFormat/>
    <w:uiPriority w:val="0"/>
    <w:rPr>
      <w:rFonts w:eastAsia="宋体"/>
      <w:kern w:val="2"/>
      <w:sz w:val="24"/>
      <w:lang w:val="en-US" w:eastAsia="zh-CN" w:bidi="ar-SA"/>
    </w:rPr>
  </w:style>
  <w:style w:type="character" w:customStyle="1" w:styleId="305">
    <w:name w:val="三级标题 Char"/>
    <w:qFormat/>
    <w:uiPriority w:val="0"/>
    <w:rPr>
      <w:rFonts w:ascii="宋体" w:hAnsi="宋体" w:eastAsia="宋体" w:cs="宋体"/>
      <w:b/>
      <w:sz w:val="24"/>
      <w:szCs w:val="24"/>
      <w:lang w:val="en-US" w:eastAsia="zh-CN" w:bidi="ar-SA"/>
    </w:rPr>
  </w:style>
  <w:style w:type="character" w:customStyle="1" w:styleId="306">
    <w:name w:val="表格 Char"/>
    <w:qFormat/>
    <w:uiPriority w:val="0"/>
    <w:rPr>
      <w:kern w:val="2"/>
      <w:sz w:val="21"/>
    </w:rPr>
  </w:style>
  <w:style w:type="character" w:customStyle="1" w:styleId="307">
    <w:name w:val="text1"/>
    <w:qFormat/>
    <w:uiPriority w:val="0"/>
    <w:rPr>
      <w:rFonts w:hint="eastAsia" w:ascii="宋体" w:hAnsi="宋体" w:eastAsia="宋体"/>
      <w:color w:val="999999"/>
      <w:sz w:val="18"/>
      <w:szCs w:val="18"/>
      <w:u w:val="none"/>
    </w:rPr>
  </w:style>
  <w:style w:type="character" w:customStyle="1" w:styleId="308">
    <w:name w:val="headline-content2"/>
    <w:basedOn w:val="87"/>
    <w:qFormat/>
    <w:uiPriority w:val="0"/>
  </w:style>
  <w:style w:type="character" w:customStyle="1" w:styleId="309">
    <w:name w:val="标1 Char Char"/>
    <w:link w:val="310"/>
    <w:qFormat/>
    <w:uiPriority w:val="0"/>
    <w:rPr>
      <w:rFonts w:eastAsia="宋体"/>
      <w:b/>
      <w:kern w:val="2"/>
      <w:sz w:val="32"/>
      <w:lang w:val="en-US" w:eastAsia="zh-CN" w:bidi="ar-SA"/>
    </w:rPr>
  </w:style>
  <w:style w:type="paragraph" w:customStyle="1" w:styleId="310">
    <w:name w:val="标1"/>
    <w:basedOn w:val="1"/>
    <w:link w:val="309"/>
    <w:qFormat/>
    <w:uiPriority w:val="0"/>
    <w:pPr>
      <w:spacing w:before="60" w:line="460" w:lineRule="exact"/>
      <w:ind w:firstLine="0" w:firstLineChars="0"/>
      <w:outlineLvl w:val="0"/>
    </w:pPr>
    <w:rPr>
      <w:rFonts w:ascii="Times New Roman" w:hAnsi="Times New Roman"/>
      <w:b/>
      <w:color w:val="auto"/>
      <w:sz w:val="32"/>
      <w:szCs w:val="20"/>
    </w:rPr>
  </w:style>
  <w:style w:type="character" w:customStyle="1" w:styleId="311">
    <w:name w:val="表格001 Char"/>
    <w:qFormat/>
    <w:uiPriority w:val="0"/>
    <w:rPr>
      <w:kern w:val="2"/>
      <w:sz w:val="21"/>
    </w:rPr>
  </w:style>
  <w:style w:type="character" w:customStyle="1" w:styleId="312">
    <w:name w:val="4Z Char Char"/>
    <w:link w:val="313"/>
    <w:qFormat/>
    <w:uiPriority w:val="0"/>
    <w:rPr>
      <w:snapToGrid w:val="0"/>
      <w:color w:val="000000"/>
      <w:sz w:val="24"/>
      <w:szCs w:val="24"/>
    </w:rPr>
  </w:style>
  <w:style w:type="paragraph" w:customStyle="1" w:styleId="313">
    <w:name w:val="4Z"/>
    <w:basedOn w:val="1"/>
    <w:link w:val="312"/>
    <w:uiPriority w:val="0"/>
    <w:pPr>
      <w:adjustRightInd w:val="0"/>
      <w:snapToGrid w:val="0"/>
    </w:pPr>
    <w:rPr>
      <w:rFonts w:ascii="Times New Roman" w:hAnsi="Times New Roman"/>
      <w:snapToGrid w:val="0"/>
      <w:kern w:val="0"/>
      <w:szCs w:val="24"/>
    </w:rPr>
  </w:style>
  <w:style w:type="character" w:customStyle="1" w:styleId="314">
    <w:name w:val="[正文格式] Char Char"/>
    <w:link w:val="315"/>
    <w:qFormat/>
    <w:uiPriority w:val="0"/>
    <w:rPr>
      <w:rFonts w:cs="宋体"/>
      <w:sz w:val="25"/>
    </w:rPr>
  </w:style>
  <w:style w:type="paragraph" w:customStyle="1" w:styleId="315">
    <w:name w:val="[正文格式]"/>
    <w:basedOn w:val="1"/>
    <w:link w:val="314"/>
    <w:qFormat/>
    <w:uiPriority w:val="0"/>
    <w:pPr>
      <w:spacing w:line="440" w:lineRule="exact"/>
      <w:ind w:firstLine="500"/>
    </w:pPr>
    <w:rPr>
      <w:rFonts w:ascii="Times New Roman" w:hAnsi="Times New Roman"/>
      <w:color w:val="auto"/>
      <w:kern w:val="0"/>
      <w:sz w:val="25"/>
      <w:szCs w:val="20"/>
    </w:rPr>
  </w:style>
  <w:style w:type="character" w:customStyle="1" w:styleId="316">
    <w:name w:val="文本 Char"/>
    <w:link w:val="317"/>
    <w:qFormat/>
    <w:locked/>
    <w:uiPriority w:val="0"/>
    <w:rPr>
      <w:kern w:val="2"/>
      <w:sz w:val="24"/>
    </w:rPr>
  </w:style>
  <w:style w:type="paragraph" w:customStyle="1" w:styleId="317">
    <w:name w:val="文本1"/>
    <w:basedOn w:val="1"/>
    <w:link w:val="316"/>
    <w:uiPriority w:val="0"/>
    <w:pPr>
      <w:spacing w:line="480" w:lineRule="exact"/>
      <w:ind w:firstLine="480"/>
    </w:pPr>
    <w:rPr>
      <w:rFonts w:ascii="Times New Roman" w:hAnsi="Times New Roman"/>
      <w:color w:val="auto"/>
      <w:szCs w:val="20"/>
    </w:rPr>
  </w:style>
  <w:style w:type="character" w:customStyle="1" w:styleId="318">
    <w:name w:val="langwithname"/>
    <w:basedOn w:val="87"/>
    <w:qFormat/>
    <w:uiPriority w:val="0"/>
  </w:style>
  <w:style w:type="character" w:customStyle="1" w:styleId="319">
    <w:name w:val="ilh-page"/>
    <w:basedOn w:val="87"/>
    <w:qFormat/>
    <w:uiPriority w:val="0"/>
  </w:style>
  <w:style w:type="character" w:customStyle="1" w:styleId="320">
    <w:name w:val="1号正文 Char"/>
    <w:qFormat/>
    <w:locked/>
    <w:uiPriority w:val="0"/>
    <w:rPr>
      <w:rFonts w:ascii="仿宋_GB2312" w:eastAsia="仿宋_GB2312"/>
      <w:kern w:val="2"/>
      <w:sz w:val="24"/>
      <w:szCs w:val="24"/>
      <w:lang w:val="en-US" w:eastAsia="zh-CN" w:bidi="ar-SA"/>
    </w:rPr>
  </w:style>
  <w:style w:type="character" w:customStyle="1" w:styleId="321">
    <w:name w:val="正文（首行缩进两字） Char Char Char Char Char Char Char1"/>
    <w:qFormat/>
    <w:uiPriority w:val="0"/>
    <w:rPr>
      <w:rFonts w:ascii="宋体" w:hAnsi="宋体" w:eastAsia="宋体"/>
      <w:kern w:val="2"/>
      <w:sz w:val="24"/>
      <w:lang w:val="en-US" w:eastAsia="zh-CN" w:bidi="ar-SA"/>
    </w:rPr>
  </w:style>
  <w:style w:type="character" w:customStyle="1" w:styleId="322">
    <w:name w:val="表格样式11 Char"/>
    <w:link w:val="323"/>
    <w:qFormat/>
    <w:uiPriority w:val="0"/>
    <w:rPr>
      <w:rFonts w:ascii="Arial" w:hAnsi="Arial" w:cs="Arial"/>
      <w:sz w:val="21"/>
      <w:szCs w:val="21"/>
      <w:lang w:eastAsia="en-US" w:bidi="en-US"/>
    </w:rPr>
  </w:style>
  <w:style w:type="paragraph" w:customStyle="1" w:styleId="323">
    <w:name w:val="表格样式11"/>
    <w:basedOn w:val="1"/>
    <w:link w:val="322"/>
    <w:qFormat/>
    <w:uiPriority w:val="0"/>
    <w:pPr>
      <w:widowControl/>
      <w:spacing w:line="0" w:lineRule="atLeast"/>
      <w:ind w:firstLine="0" w:firstLineChars="0"/>
      <w:jc w:val="center"/>
    </w:pPr>
    <w:rPr>
      <w:rFonts w:ascii="Arial" w:hAnsi="Arial" w:cs="Arial"/>
      <w:color w:val="auto"/>
      <w:kern w:val="0"/>
      <w:sz w:val="21"/>
      <w:lang w:eastAsia="en-US" w:bidi="en-US"/>
    </w:rPr>
  </w:style>
  <w:style w:type="character" w:customStyle="1" w:styleId="324">
    <w:name w:val="首行缩进两字 Char"/>
    <w:qFormat/>
    <w:uiPriority w:val="0"/>
    <w:rPr>
      <w:rFonts w:ascii="宋体" w:eastAsia="宋体"/>
      <w:kern w:val="2"/>
      <w:sz w:val="28"/>
      <w:lang w:val="en-US" w:eastAsia="zh-CN" w:bidi="ar-SA"/>
    </w:rPr>
  </w:style>
  <w:style w:type="character" w:customStyle="1" w:styleId="325">
    <w:name w:val="标1 Char"/>
    <w:qFormat/>
    <w:uiPriority w:val="0"/>
    <w:rPr>
      <w:rFonts w:eastAsia="宋体"/>
      <w:b/>
      <w:kern w:val="2"/>
      <w:sz w:val="32"/>
      <w:lang w:val="en-US" w:eastAsia="zh-CN" w:bidi="ar-SA"/>
    </w:rPr>
  </w:style>
  <w:style w:type="character" w:customStyle="1" w:styleId="326">
    <w:name w:val="company-name-now"/>
    <w:basedOn w:val="87"/>
    <w:qFormat/>
    <w:uiPriority w:val="0"/>
  </w:style>
  <w:style w:type="character" w:customStyle="1" w:styleId="327">
    <w:name w:val="文章正文样式 Char Char Char"/>
    <w:link w:val="328"/>
    <w:qFormat/>
    <w:uiPriority w:val="0"/>
    <w:rPr>
      <w:rFonts w:ascii="宋体" w:hAnsi="宋体" w:eastAsia="宋体" w:cs="宋体"/>
      <w:kern w:val="2"/>
      <w:sz w:val="24"/>
      <w:lang w:val="en-US" w:eastAsia="zh-CN" w:bidi="ar-SA"/>
    </w:rPr>
  </w:style>
  <w:style w:type="paragraph" w:customStyle="1" w:styleId="328">
    <w:name w:val="文章正文样式 Char Char"/>
    <w:basedOn w:val="1"/>
    <w:link w:val="327"/>
    <w:qFormat/>
    <w:uiPriority w:val="0"/>
    <w:pPr>
      <w:spacing w:line="520" w:lineRule="exact"/>
      <w:ind w:firstLine="480"/>
      <w:jc w:val="left"/>
    </w:pPr>
    <w:rPr>
      <w:rFonts w:cs="宋体"/>
      <w:color w:val="auto"/>
      <w:szCs w:val="20"/>
    </w:rPr>
  </w:style>
  <w:style w:type="character" w:customStyle="1" w:styleId="329">
    <w:name w:val="样式 (西文) 黑体 (中文) 黑体 (符号) 宋体 五号"/>
    <w:qFormat/>
    <w:uiPriority w:val="0"/>
    <w:rPr>
      <w:rFonts w:ascii="黑体" w:eastAsia="黑体"/>
      <w:sz w:val="24"/>
      <w:szCs w:val="24"/>
    </w:rPr>
  </w:style>
  <w:style w:type="character" w:customStyle="1" w:styleId="330">
    <w:name w:val="正文-biao Char"/>
    <w:link w:val="331"/>
    <w:qFormat/>
    <w:uiPriority w:val="0"/>
    <w:rPr>
      <w:rFonts w:hAnsi="宋体"/>
      <w:kern w:val="2"/>
      <w:sz w:val="24"/>
      <w:szCs w:val="24"/>
      <w:lang w:bidi="ar-SA"/>
    </w:rPr>
  </w:style>
  <w:style w:type="paragraph" w:customStyle="1" w:styleId="331">
    <w:name w:val="正文-biao"/>
    <w:basedOn w:val="1"/>
    <w:link w:val="330"/>
    <w:qFormat/>
    <w:uiPriority w:val="0"/>
    <w:pPr>
      <w:spacing w:before="60" w:line="460" w:lineRule="exact"/>
      <w:ind w:firstLine="482" w:firstLineChars="0"/>
    </w:pPr>
    <w:rPr>
      <w:rFonts w:ascii="Times New Roman"/>
      <w:color w:val="auto"/>
      <w:szCs w:val="24"/>
    </w:rPr>
  </w:style>
  <w:style w:type="character" w:customStyle="1" w:styleId="332">
    <w:name w:val="正文快捷 Char"/>
    <w:link w:val="333"/>
    <w:qFormat/>
    <w:uiPriority w:val="0"/>
    <w:rPr>
      <w:rFonts w:eastAsia="宋体"/>
      <w:kern w:val="2"/>
      <w:sz w:val="24"/>
      <w:szCs w:val="24"/>
      <w:lang w:val="en-US" w:eastAsia="zh-CN" w:bidi="ar-SA"/>
    </w:rPr>
  </w:style>
  <w:style w:type="paragraph" w:customStyle="1" w:styleId="333">
    <w:name w:val="正文快捷"/>
    <w:basedOn w:val="1"/>
    <w:link w:val="332"/>
    <w:qFormat/>
    <w:uiPriority w:val="0"/>
    <w:pPr>
      <w:jc w:val="left"/>
    </w:pPr>
    <w:rPr>
      <w:rFonts w:ascii="Times New Roman" w:hAnsi="Times New Roman"/>
      <w:color w:val="auto"/>
      <w:szCs w:val="24"/>
    </w:rPr>
  </w:style>
  <w:style w:type="character" w:customStyle="1" w:styleId="334">
    <w:name w:val="表内 Char"/>
    <w:link w:val="335"/>
    <w:qFormat/>
    <w:uiPriority w:val="0"/>
    <w:rPr>
      <w:bCs/>
      <w:kern w:val="2"/>
      <w:sz w:val="21"/>
      <w:lang w:bidi="ar-SA"/>
    </w:rPr>
  </w:style>
  <w:style w:type="paragraph" w:customStyle="1" w:styleId="335">
    <w:name w:val="表内"/>
    <w:basedOn w:val="1"/>
    <w:link w:val="334"/>
    <w:qFormat/>
    <w:uiPriority w:val="0"/>
    <w:pPr>
      <w:spacing w:line="320" w:lineRule="exact"/>
      <w:ind w:firstLine="0" w:firstLineChars="0"/>
      <w:jc w:val="center"/>
    </w:pPr>
    <w:rPr>
      <w:rFonts w:ascii="Times New Roman" w:hAnsi="Times New Roman"/>
      <w:bCs/>
      <w:color w:val="auto"/>
      <w:sz w:val="21"/>
      <w:szCs w:val="20"/>
    </w:rPr>
  </w:style>
  <w:style w:type="character" w:customStyle="1" w:styleId="336">
    <w:name w:val="文章正文 Char"/>
    <w:link w:val="337"/>
    <w:qFormat/>
    <w:uiPriority w:val="0"/>
    <w:rPr>
      <w:rFonts w:ascii="宋体" w:hAnsi="宋体" w:eastAsia="宋体"/>
      <w:kern w:val="2"/>
      <w:sz w:val="24"/>
      <w:szCs w:val="24"/>
      <w:lang w:val="en-US" w:eastAsia="zh-CN" w:bidi="ar-SA"/>
    </w:rPr>
  </w:style>
  <w:style w:type="paragraph" w:customStyle="1" w:styleId="337">
    <w:name w:val="文章正文"/>
    <w:basedOn w:val="1"/>
    <w:link w:val="336"/>
    <w:semiHidden/>
    <w:qFormat/>
    <w:uiPriority w:val="0"/>
    <w:pPr>
      <w:spacing w:line="520" w:lineRule="exact"/>
      <w:jc w:val="left"/>
    </w:pPr>
    <w:rPr>
      <w:color w:val="auto"/>
      <w:szCs w:val="24"/>
    </w:rPr>
  </w:style>
  <w:style w:type="character" w:customStyle="1" w:styleId="338">
    <w:name w:val="表格文字 Char Char"/>
    <w:link w:val="339"/>
    <w:qFormat/>
    <w:uiPriority w:val="0"/>
    <w:rPr>
      <w:rFonts w:eastAsia="宋体"/>
      <w:kern w:val="2"/>
      <w:sz w:val="21"/>
      <w:lang w:val="en-US" w:eastAsia="zh-CN" w:bidi="ar-SA"/>
    </w:rPr>
  </w:style>
  <w:style w:type="paragraph" w:customStyle="1" w:styleId="339">
    <w:name w:val="表格文字 Char"/>
    <w:basedOn w:val="1"/>
    <w:link w:val="338"/>
    <w:qFormat/>
    <w:uiPriority w:val="0"/>
    <w:pPr>
      <w:spacing w:line="360" w:lineRule="exact"/>
      <w:ind w:firstLine="0" w:firstLineChars="0"/>
      <w:jc w:val="center"/>
    </w:pPr>
    <w:rPr>
      <w:rFonts w:ascii="Times New Roman" w:hAnsi="Times New Roman"/>
      <w:color w:val="auto"/>
      <w:sz w:val="21"/>
      <w:szCs w:val="20"/>
    </w:rPr>
  </w:style>
  <w:style w:type="character" w:customStyle="1" w:styleId="340">
    <w:name w:val="标准正文 Char"/>
    <w:link w:val="341"/>
    <w:qFormat/>
    <w:uiPriority w:val="0"/>
    <w:rPr>
      <w:rFonts w:eastAsia="宋体"/>
      <w:bCs/>
      <w:kern w:val="2"/>
      <w:sz w:val="24"/>
      <w:lang w:val="en-US" w:eastAsia="zh-CN" w:bidi="ar-SA"/>
    </w:rPr>
  </w:style>
  <w:style w:type="paragraph" w:customStyle="1" w:styleId="341">
    <w:name w:val="标准正文"/>
    <w:basedOn w:val="1"/>
    <w:link w:val="340"/>
    <w:qFormat/>
    <w:uiPriority w:val="0"/>
    <w:pPr>
      <w:spacing w:line="540" w:lineRule="exact"/>
      <w:ind w:firstLine="480"/>
    </w:pPr>
    <w:rPr>
      <w:rFonts w:ascii="Times New Roman" w:hAnsi="Times New Roman"/>
      <w:bCs/>
      <w:color w:val="auto"/>
      <w:szCs w:val="20"/>
    </w:rPr>
  </w:style>
  <w:style w:type="character" w:customStyle="1" w:styleId="342">
    <w:name w:val="文章正文样式 Char Char Char Char Char"/>
    <w:link w:val="343"/>
    <w:qFormat/>
    <w:uiPriority w:val="0"/>
    <w:rPr>
      <w:rFonts w:ascii="宋体" w:hAnsi="宋体" w:eastAsia="宋体" w:cs="宋体"/>
      <w:kern w:val="2"/>
      <w:sz w:val="24"/>
      <w:szCs w:val="24"/>
      <w:lang w:val="en-US" w:eastAsia="zh-CN" w:bidi="ar-SA"/>
    </w:rPr>
  </w:style>
  <w:style w:type="paragraph" w:customStyle="1" w:styleId="343">
    <w:name w:val="文章正文样式 Char Char Char Char"/>
    <w:basedOn w:val="1"/>
    <w:link w:val="342"/>
    <w:qFormat/>
    <w:uiPriority w:val="0"/>
    <w:pPr>
      <w:spacing w:line="520" w:lineRule="exact"/>
      <w:ind w:firstLine="480"/>
      <w:jc w:val="left"/>
    </w:pPr>
    <w:rPr>
      <w:rFonts w:cs="宋体"/>
      <w:color w:val="auto"/>
      <w:szCs w:val="24"/>
    </w:rPr>
  </w:style>
  <w:style w:type="character" w:customStyle="1" w:styleId="344">
    <w:name w:val="表格文字 Char Char1"/>
    <w:qFormat/>
    <w:uiPriority w:val="0"/>
    <w:rPr>
      <w:rFonts w:eastAsia="宋体"/>
      <w:kern w:val="2"/>
      <w:sz w:val="21"/>
      <w:lang w:val="en-US" w:eastAsia="zh-CN" w:bidi="ar-SA"/>
    </w:rPr>
  </w:style>
  <w:style w:type="character" w:customStyle="1" w:styleId="345">
    <w:name w:val="二号标题样式 Char Char Char Char"/>
    <w:link w:val="346"/>
    <w:qFormat/>
    <w:uiPriority w:val="0"/>
    <w:rPr>
      <w:rFonts w:ascii="Arial" w:hAnsi="Arial" w:eastAsia="黑体" w:cs="宋体"/>
      <w:kern w:val="2"/>
      <w:sz w:val="28"/>
      <w:lang w:val="en-US" w:eastAsia="zh-CN" w:bidi="ar-SA"/>
    </w:rPr>
  </w:style>
  <w:style w:type="paragraph" w:customStyle="1" w:styleId="346">
    <w:name w:val="二号标题样式 Char Char Char"/>
    <w:basedOn w:val="1"/>
    <w:link w:val="345"/>
    <w:semiHidden/>
    <w:qFormat/>
    <w:uiPriority w:val="0"/>
    <w:pPr>
      <w:keepNext/>
      <w:keepLines/>
      <w:spacing w:beforeLines="50" w:afterLines="50" w:line="520" w:lineRule="exact"/>
      <w:ind w:firstLine="0" w:firstLineChars="0"/>
      <w:outlineLvl w:val="2"/>
    </w:pPr>
    <w:rPr>
      <w:rFonts w:ascii="Arial" w:hAnsi="Arial" w:eastAsia="黑体" w:cs="宋体"/>
      <w:color w:val="auto"/>
      <w:sz w:val="28"/>
      <w:szCs w:val="20"/>
    </w:rPr>
  </w:style>
  <w:style w:type="character" w:customStyle="1" w:styleId="347">
    <w:name w:val="文章正文样式 Char Char1"/>
    <w:link w:val="348"/>
    <w:qFormat/>
    <w:uiPriority w:val="0"/>
    <w:rPr>
      <w:rFonts w:ascii="宋体" w:hAnsi="宋体" w:eastAsia="宋体" w:cs="宋体"/>
      <w:kern w:val="2"/>
      <w:sz w:val="24"/>
      <w:lang w:val="en-US" w:eastAsia="zh-CN" w:bidi="ar-SA"/>
    </w:rPr>
  </w:style>
  <w:style w:type="paragraph" w:customStyle="1" w:styleId="348">
    <w:name w:val="文章正文样式 Char1"/>
    <w:basedOn w:val="1"/>
    <w:link w:val="347"/>
    <w:qFormat/>
    <w:uiPriority w:val="0"/>
    <w:pPr>
      <w:spacing w:line="520" w:lineRule="exact"/>
      <w:ind w:firstLine="480"/>
      <w:jc w:val="left"/>
    </w:pPr>
    <w:rPr>
      <w:rFonts w:cs="宋体"/>
      <w:color w:val="auto"/>
      <w:szCs w:val="20"/>
    </w:rPr>
  </w:style>
  <w:style w:type="character" w:customStyle="1" w:styleId="349">
    <w:name w:val="文章正文文字 Char Char Char"/>
    <w:link w:val="350"/>
    <w:qFormat/>
    <w:uiPriority w:val="0"/>
    <w:rPr>
      <w:rFonts w:eastAsia="宋体"/>
      <w:kern w:val="2"/>
      <w:sz w:val="24"/>
      <w:szCs w:val="24"/>
      <w:lang w:val="en-US" w:eastAsia="zh-CN" w:bidi="ar-SA"/>
    </w:rPr>
  </w:style>
  <w:style w:type="paragraph" w:customStyle="1" w:styleId="350">
    <w:name w:val="文章正文文字 Char Char"/>
    <w:basedOn w:val="1"/>
    <w:link w:val="349"/>
    <w:semiHidden/>
    <w:qFormat/>
    <w:uiPriority w:val="0"/>
    <w:pPr>
      <w:spacing w:line="520" w:lineRule="exact"/>
      <w:jc w:val="left"/>
    </w:pPr>
    <w:rPr>
      <w:rFonts w:ascii="Times New Roman" w:hAnsi="Times New Roman"/>
      <w:color w:val="auto"/>
      <w:szCs w:val="24"/>
    </w:rPr>
  </w:style>
  <w:style w:type="character" w:customStyle="1" w:styleId="351">
    <w:name w:val="文章正文样式 Char1 Char2 Char"/>
    <w:link w:val="352"/>
    <w:qFormat/>
    <w:uiPriority w:val="0"/>
    <w:rPr>
      <w:rFonts w:ascii="宋体" w:hAnsi="宋体" w:eastAsia="宋体" w:cs="宋体"/>
      <w:kern w:val="2"/>
      <w:sz w:val="24"/>
      <w:lang w:val="en-US" w:eastAsia="zh-CN" w:bidi="ar-SA"/>
    </w:rPr>
  </w:style>
  <w:style w:type="paragraph" w:customStyle="1" w:styleId="352">
    <w:name w:val="文章正文样式 Char1 Char2"/>
    <w:basedOn w:val="1"/>
    <w:link w:val="351"/>
    <w:qFormat/>
    <w:uiPriority w:val="0"/>
    <w:pPr>
      <w:spacing w:line="520" w:lineRule="exact"/>
      <w:ind w:firstLine="480"/>
      <w:jc w:val="left"/>
    </w:pPr>
    <w:rPr>
      <w:rFonts w:cs="宋体"/>
      <w:color w:val="auto"/>
      <w:szCs w:val="20"/>
    </w:rPr>
  </w:style>
  <w:style w:type="character" w:customStyle="1" w:styleId="353">
    <w:name w:val="文章正文文字 Char Char1"/>
    <w:link w:val="354"/>
    <w:qFormat/>
    <w:uiPriority w:val="0"/>
    <w:rPr>
      <w:rFonts w:eastAsia="宋体"/>
      <w:kern w:val="2"/>
      <w:sz w:val="24"/>
      <w:szCs w:val="24"/>
      <w:lang w:val="en-US" w:eastAsia="zh-CN" w:bidi="ar-SA"/>
    </w:rPr>
  </w:style>
  <w:style w:type="paragraph" w:customStyle="1" w:styleId="354">
    <w:name w:val="文章正文文字 Char"/>
    <w:basedOn w:val="1"/>
    <w:link w:val="353"/>
    <w:semiHidden/>
    <w:qFormat/>
    <w:uiPriority w:val="0"/>
    <w:pPr>
      <w:spacing w:line="520" w:lineRule="exact"/>
      <w:ind w:firstLine="0" w:firstLineChars="0"/>
      <w:jc w:val="left"/>
    </w:pPr>
    <w:rPr>
      <w:rFonts w:ascii="Times New Roman" w:hAnsi="Times New Roman"/>
      <w:color w:val="auto"/>
      <w:szCs w:val="24"/>
    </w:rPr>
  </w:style>
  <w:style w:type="character" w:customStyle="1" w:styleId="355">
    <w:name w:val="文章正文样式 Char2 Char"/>
    <w:link w:val="356"/>
    <w:qFormat/>
    <w:uiPriority w:val="0"/>
    <w:rPr>
      <w:rFonts w:ascii="宋体" w:hAnsi="宋体" w:eastAsia="宋体" w:cs="宋体"/>
      <w:kern w:val="2"/>
      <w:sz w:val="24"/>
      <w:lang w:val="en-US" w:eastAsia="zh-CN" w:bidi="ar-SA"/>
    </w:rPr>
  </w:style>
  <w:style w:type="paragraph" w:customStyle="1" w:styleId="356">
    <w:name w:val="文章正文样式 Char2"/>
    <w:basedOn w:val="1"/>
    <w:link w:val="355"/>
    <w:qFormat/>
    <w:uiPriority w:val="0"/>
    <w:pPr>
      <w:spacing w:line="520" w:lineRule="exact"/>
      <w:ind w:firstLine="480"/>
      <w:jc w:val="left"/>
    </w:pPr>
    <w:rPr>
      <w:rFonts w:cs="宋体"/>
      <w:color w:val="auto"/>
      <w:szCs w:val="20"/>
    </w:rPr>
  </w:style>
  <w:style w:type="character" w:customStyle="1" w:styleId="357">
    <w:name w:val="文章正文样式 Char Char Char1"/>
    <w:link w:val="358"/>
    <w:qFormat/>
    <w:uiPriority w:val="0"/>
    <w:rPr>
      <w:rFonts w:ascii="宋体" w:hAnsi="宋体" w:eastAsia="宋体" w:cs="宋体"/>
      <w:kern w:val="2"/>
      <w:sz w:val="24"/>
      <w:lang w:val="en-US" w:eastAsia="zh-CN" w:bidi="ar-SA"/>
    </w:rPr>
  </w:style>
  <w:style w:type="paragraph" w:customStyle="1" w:styleId="358">
    <w:name w:val="文章正文样式 Char Char3"/>
    <w:basedOn w:val="337"/>
    <w:link w:val="357"/>
    <w:qFormat/>
    <w:uiPriority w:val="0"/>
    <w:pPr>
      <w:ind w:firstLine="480"/>
    </w:pPr>
    <w:rPr>
      <w:rFonts w:cs="宋体"/>
      <w:szCs w:val="20"/>
    </w:rPr>
  </w:style>
  <w:style w:type="character" w:customStyle="1" w:styleId="359">
    <w:name w:val="文章正文样式 Char"/>
    <w:link w:val="360"/>
    <w:qFormat/>
    <w:uiPriority w:val="0"/>
    <w:rPr>
      <w:rFonts w:ascii="宋体" w:hAnsi="宋体" w:eastAsia="宋体" w:cs="宋体"/>
      <w:kern w:val="2"/>
      <w:sz w:val="24"/>
      <w:lang w:val="en-US" w:eastAsia="zh-CN" w:bidi="ar-SA"/>
    </w:rPr>
  </w:style>
  <w:style w:type="paragraph" w:customStyle="1" w:styleId="360">
    <w:name w:val="文章正文样式"/>
    <w:basedOn w:val="337"/>
    <w:link w:val="359"/>
    <w:qFormat/>
    <w:uiPriority w:val="0"/>
    <w:pPr>
      <w:ind w:firstLine="480"/>
    </w:pPr>
    <w:rPr>
      <w:rFonts w:cs="宋体"/>
      <w:szCs w:val="20"/>
    </w:rPr>
  </w:style>
  <w:style w:type="character" w:customStyle="1" w:styleId="361">
    <w:name w:val="表格文字 Char Char Char Char"/>
    <w:qFormat/>
    <w:uiPriority w:val="0"/>
    <w:rPr>
      <w:rFonts w:eastAsia="宋体"/>
      <w:kern w:val="2"/>
      <w:sz w:val="21"/>
      <w:lang w:val="en-US" w:eastAsia="zh-CN" w:bidi="ar-SA"/>
    </w:rPr>
  </w:style>
  <w:style w:type="character" w:customStyle="1" w:styleId="362">
    <w:name w:val="段落文字 Char"/>
    <w:link w:val="363"/>
    <w:qFormat/>
    <w:uiPriority w:val="0"/>
    <w:rPr>
      <w:rFonts w:ascii="宋体" w:hAnsi="宋体" w:eastAsia="宋体"/>
      <w:kern w:val="2"/>
      <w:sz w:val="24"/>
      <w:szCs w:val="24"/>
      <w:lang w:val="en-US" w:eastAsia="zh-CN" w:bidi="ar-SA"/>
    </w:rPr>
  </w:style>
  <w:style w:type="paragraph" w:customStyle="1" w:styleId="363">
    <w:name w:val="段落文字"/>
    <w:basedOn w:val="1"/>
    <w:link w:val="362"/>
    <w:qFormat/>
    <w:uiPriority w:val="0"/>
    <w:pPr>
      <w:adjustRightInd w:val="0"/>
      <w:snapToGrid w:val="0"/>
      <w:ind w:firstLine="480"/>
    </w:pPr>
    <w:rPr>
      <w:color w:val="auto"/>
      <w:szCs w:val="24"/>
    </w:rPr>
  </w:style>
  <w:style w:type="character" w:customStyle="1" w:styleId="364">
    <w:name w:val="样式1 Char Char Char Char"/>
    <w:qFormat/>
    <w:uiPriority w:val="0"/>
    <w:rPr>
      <w:rFonts w:ascii="宋体" w:hAnsi="宋体" w:eastAsia="宋体"/>
      <w:kern w:val="2"/>
      <w:sz w:val="21"/>
      <w:szCs w:val="24"/>
      <w:lang w:val="en-US" w:eastAsia="zh-CN" w:bidi="ar-SA"/>
    </w:rPr>
  </w:style>
  <w:style w:type="character" w:customStyle="1" w:styleId="365">
    <w:name w:val="正1 Char"/>
    <w:link w:val="366"/>
    <w:qFormat/>
    <w:uiPriority w:val="0"/>
    <w:rPr>
      <w:rFonts w:eastAsia="楷体_GB2312"/>
      <w:kern w:val="2"/>
      <w:sz w:val="24"/>
      <w:szCs w:val="24"/>
      <w:lang w:val="en-US" w:eastAsia="zh-CN" w:bidi="ar-SA"/>
    </w:rPr>
  </w:style>
  <w:style w:type="paragraph" w:customStyle="1" w:styleId="366">
    <w:name w:val="正1"/>
    <w:basedOn w:val="1"/>
    <w:link w:val="365"/>
    <w:qFormat/>
    <w:uiPriority w:val="0"/>
    <w:pPr>
      <w:jc w:val="left"/>
    </w:pPr>
    <w:rPr>
      <w:rFonts w:ascii="Times New Roman" w:hAnsi="Times New Roman" w:eastAsia="楷体_GB2312"/>
      <w:color w:val="auto"/>
      <w:szCs w:val="24"/>
    </w:rPr>
  </w:style>
  <w:style w:type="character" w:customStyle="1" w:styleId="367">
    <w:name w:val="Char Char41"/>
    <w:qFormat/>
    <w:uiPriority w:val="0"/>
    <w:rPr>
      <w:rFonts w:ascii="Times New Roman" w:hAnsi="Times New Roman" w:eastAsia="宋体" w:cs="Times New Roman"/>
      <w:sz w:val="18"/>
      <w:szCs w:val="18"/>
    </w:rPr>
  </w:style>
  <w:style w:type="character" w:customStyle="1" w:styleId="368">
    <w:name w:val="二级标题 Char"/>
    <w:qFormat/>
    <w:uiPriority w:val="0"/>
    <w:rPr>
      <w:rFonts w:eastAsia="宋体"/>
      <w:b/>
      <w:kern w:val="2"/>
      <w:sz w:val="28"/>
      <w:szCs w:val="24"/>
      <w:lang w:val="en-US" w:eastAsia="zh-CN" w:bidi="ar-SA"/>
    </w:rPr>
  </w:style>
  <w:style w:type="character" w:customStyle="1" w:styleId="369">
    <w:name w:val="一、 Char"/>
    <w:qFormat/>
    <w:uiPriority w:val="0"/>
    <w:rPr>
      <w:rFonts w:ascii="宋体" w:hAnsi="宋体" w:eastAsia="宋体"/>
      <w:b/>
      <w:bCs/>
      <w:color w:val="000000"/>
      <w:kern w:val="2"/>
      <w:sz w:val="32"/>
      <w:szCs w:val="44"/>
      <w:lang w:val="en-US" w:eastAsia="zh-CN" w:bidi="ar-SA"/>
    </w:rPr>
  </w:style>
  <w:style w:type="character" w:customStyle="1" w:styleId="370">
    <w:name w:val="H2 Char"/>
    <w:qFormat/>
    <w:uiPriority w:val="0"/>
    <w:rPr>
      <w:rFonts w:ascii="宋体" w:hAnsi="Arial" w:eastAsia="宋体"/>
      <w:b/>
      <w:bCs/>
      <w:color w:val="000000"/>
      <w:kern w:val="2"/>
      <w:sz w:val="30"/>
      <w:szCs w:val="32"/>
      <w:lang w:val="en-US" w:eastAsia="zh-CN" w:bidi="ar-SA"/>
    </w:rPr>
  </w:style>
  <w:style w:type="character" w:customStyle="1" w:styleId="371">
    <w:name w:val="H3 Char"/>
    <w:qFormat/>
    <w:uiPriority w:val="0"/>
    <w:rPr>
      <w:rFonts w:ascii="宋体" w:hAnsi="宋体" w:eastAsia="宋体"/>
      <w:b/>
      <w:bCs/>
      <w:color w:val="000000"/>
      <w:kern w:val="2"/>
      <w:sz w:val="28"/>
      <w:szCs w:val="32"/>
      <w:lang w:val="en-US" w:eastAsia="zh-CN" w:bidi="ar-SA"/>
    </w:rPr>
  </w:style>
  <w:style w:type="character" w:customStyle="1" w:styleId="372">
    <w:name w:val="Char Char6"/>
    <w:qFormat/>
    <w:uiPriority w:val="0"/>
    <w:rPr>
      <w:rFonts w:ascii="宋体" w:hAnsi="Arial" w:eastAsia="宋体"/>
      <w:bCs/>
      <w:color w:val="000000"/>
      <w:kern w:val="2"/>
      <w:sz w:val="24"/>
      <w:szCs w:val="28"/>
      <w:lang w:val="en-US" w:eastAsia="zh-CN" w:bidi="ar-SA"/>
    </w:rPr>
  </w:style>
  <w:style w:type="character" w:customStyle="1" w:styleId="373">
    <w:name w:val="Char Char51"/>
    <w:qFormat/>
    <w:uiPriority w:val="0"/>
    <w:rPr>
      <w:rFonts w:eastAsia="宋体"/>
      <w:b/>
      <w:bCs/>
      <w:kern w:val="2"/>
      <w:sz w:val="24"/>
      <w:szCs w:val="24"/>
      <w:lang w:val="en-US" w:eastAsia="zh-CN" w:bidi="ar-SA"/>
    </w:rPr>
  </w:style>
  <w:style w:type="character" w:customStyle="1" w:styleId="374">
    <w:name w:val="Char Char4"/>
    <w:qFormat/>
    <w:uiPriority w:val="0"/>
    <w:rPr>
      <w:rFonts w:eastAsia="宋体"/>
      <w:kern w:val="2"/>
      <w:sz w:val="21"/>
      <w:szCs w:val="24"/>
      <w:lang w:val="en-US" w:eastAsia="zh-CN" w:bidi="ar-SA"/>
    </w:rPr>
  </w:style>
  <w:style w:type="character" w:customStyle="1" w:styleId="375">
    <w:name w:val="Char Char31"/>
    <w:qFormat/>
    <w:uiPriority w:val="0"/>
    <w:rPr>
      <w:rFonts w:eastAsia="宋体"/>
      <w:kern w:val="2"/>
      <w:sz w:val="21"/>
      <w:szCs w:val="24"/>
      <w:lang w:val="en-US" w:eastAsia="zh-CN" w:bidi="ar-SA"/>
    </w:rPr>
  </w:style>
  <w:style w:type="character" w:customStyle="1" w:styleId="376">
    <w:name w:val="纯文本 Char Char Char1"/>
    <w:qFormat/>
    <w:uiPriority w:val="0"/>
    <w:rPr>
      <w:rFonts w:ascii="宋体" w:hAnsi="Courier New" w:eastAsia="宋体" w:cs="Courier New"/>
      <w:kern w:val="2"/>
      <w:sz w:val="21"/>
      <w:szCs w:val="21"/>
      <w:lang w:val="en-US" w:eastAsia="zh-CN" w:bidi="ar-SA"/>
    </w:rPr>
  </w:style>
  <w:style w:type="character" w:customStyle="1" w:styleId="377">
    <w:name w:val="Char Char2"/>
    <w:qFormat/>
    <w:locked/>
    <w:uiPriority w:val="0"/>
    <w:rPr>
      <w:rFonts w:eastAsia="仿宋_GB2312"/>
      <w:kern w:val="2"/>
      <w:sz w:val="28"/>
      <w:szCs w:val="24"/>
    </w:rPr>
  </w:style>
  <w:style w:type="character" w:customStyle="1" w:styleId="378">
    <w:name w:val="Char1 Char Char1"/>
    <w:qFormat/>
    <w:uiPriority w:val="0"/>
    <w:rPr>
      <w:rFonts w:eastAsia="宋体"/>
      <w:kern w:val="2"/>
      <w:sz w:val="21"/>
      <w:szCs w:val="24"/>
      <w:lang w:val="en-US" w:eastAsia="zh-CN" w:bidi="ar-SA"/>
    </w:rPr>
  </w:style>
  <w:style w:type="character" w:customStyle="1" w:styleId="379">
    <w:name w:val="Char Char1"/>
    <w:qFormat/>
    <w:uiPriority w:val="0"/>
    <w:rPr>
      <w:rFonts w:ascii="宋体" w:hAnsi="宋体" w:eastAsia="宋体"/>
      <w:color w:val="000000"/>
      <w:kern w:val="2"/>
      <w:sz w:val="18"/>
      <w:szCs w:val="18"/>
      <w:lang w:val="en-US" w:eastAsia="zh-CN" w:bidi="ar-SA"/>
    </w:rPr>
  </w:style>
  <w:style w:type="character" w:customStyle="1" w:styleId="380">
    <w:name w:val="页眉1 Char1"/>
    <w:qFormat/>
    <w:uiPriority w:val="0"/>
    <w:rPr>
      <w:kern w:val="2"/>
      <w:sz w:val="18"/>
      <w:szCs w:val="18"/>
    </w:rPr>
  </w:style>
  <w:style w:type="character" w:customStyle="1" w:styleId="381">
    <w:name w:val="Char Char"/>
    <w:qFormat/>
    <w:uiPriority w:val="0"/>
    <w:rPr>
      <w:rFonts w:ascii="Arial" w:hAnsi="Arial" w:cs="Arial"/>
      <w:sz w:val="21"/>
      <w:szCs w:val="21"/>
    </w:rPr>
  </w:style>
  <w:style w:type="character" w:customStyle="1" w:styleId="382">
    <w:name w:val="正文文本缩进 Char1 Char"/>
    <w:qFormat/>
    <w:uiPriority w:val="0"/>
    <w:rPr>
      <w:rFonts w:eastAsia="宋体"/>
      <w:kern w:val="2"/>
      <w:sz w:val="21"/>
      <w:szCs w:val="24"/>
      <w:lang w:val="en-US" w:eastAsia="zh-CN" w:bidi="ar-SA"/>
    </w:rPr>
  </w:style>
  <w:style w:type="character" w:customStyle="1" w:styleId="383">
    <w:name w:val="样式13 Char"/>
    <w:link w:val="384"/>
    <w:qFormat/>
    <w:uiPriority w:val="0"/>
    <w:rPr>
      <w:rFonts w:eastAsia="宋体"/>
      <w:b/>
      <w:kern w:val="2"/>
      <w:sz w:val="24"/>
      <w:szCs w:val="24"/>
      <w:lang w:val="en-US" w:eastAsia="zh-CN" w:bidi="ar-SA"/>
    </w:rPr>
  </w:style>
  <w:style w:type="paragraph" w:customStyle="1" w:styleId="384">
    <w:name w:val="样式13"/>
    <w:basedOn w:val="5"/>
    <w:link w:val="383"/>
    <w:qFormat/>
    <w:uiPriority w:val="0"/>
    <w:pPr>
      <w:tabs>
        <w:tab w:val="left" w:pos="864"/>
        <w:tab w:val="left" w:pos="1247"/>
      </w:tabs>
      <w:spacing w:before="280" w:after="290" w:line="312" w:lineRule="auto"/>
      <w:ind w:left="964" w:hanging="964"/>
      <w:jc w:val="both"/>
    </w:pPr>
    <w:rPr>
      <w:rFonts w:ascii="Times New Roman" w:hAnsi="Times New Roman"/>
      <w:b/>
      <w:bCs w:val="0"/>
      <w:color w:val="auto"/>
      <w:szCs w:val="24"/>
    </w:rPr>
  </w:style>
  <w:style w:type="character" w:customStyle="1" w:styleId="385">
    <w:name w:val="标题 3 Char3 Char1"/>
    <w:qFormat/>
    <w:uiPriority w:val="0"/>
    <w:rPr>
      <w:rFonts w:ascii="宋体" w:hAnsi="宋体" w:eastAsia="宋体"/>
      <w:b/>
      <w:bCs/>
      <w:color w:val="000000"/>
      <w:kern w:val="2"/>
      <w:sz w:val="28"/>
      <w:szCs w:val="32"/>
      <w:lang w:val="en-US" w:eastAsia="zh-CN" w:bidi="ar-SA"/>
    </w:rPr>
  </w:style>
  <w:style w:type="paragraph" w:customStyle="1" w:styleId="386">
    <w:name w:val="样式 标题 3 + 加粗 段前: 3.9 磅 段后: 3.9 磅 行距: 多倍行距 1.35 字行2"/>
    <w:basedOn w:val="4"/>
    <w:qFormat/>
    <w:uiPriority w:val="0"/>
    <w:pPr>
      <w:adjustRightInd w:val="0"/>
      <w:snapToGrid w:val="0"/>
      <w:spacing w:beforeLines="0" w:after="78" w:line="324" w:lineRule="auto"/>
      <w:ind w:left="850" w:hanging="425"/>
      <w:jc w:val="both"/>
    </w:pPr>
    <w:rPr>
      <w:rFonts w:ascii="仿宋_GB2312" w:hAnsi="Times New Roman" w:eastAsia="仿宋_GB2312"/>
      <w:color w:val="auto"/>
      <w:szCs w:val="20"/>
    </w:rPr>
  </w:style>
  <w:style w:type="paragraph" w:customStyle="1" w:styleId="387">
    <w:name w:val="四级标题"/>
    <w:basedOn w:val="1"/>
    <w:qFormat/>
    <w:uiPriority w:val="0"/>
    <w:pPr>
      <w:spacing w:before="60" w:line="460" w:lineRule="exact"/>
      <w:ind w:firstLine="0" w:firstLineChars="0"/>
    </w:pPr>
    <w:rPr>
      <w:rFonts w:ascii="Times New Roman" w:hAnsi="Times New Roman"/>
      <w:color w:val="auto"/>
      <w:szCs w:val="24"/>
    </w:rPr>
  </w:style>
  <w:style w:type="paragraph" w:customStyle="1" w:styleId="388">
    <w:name w:val="正文缩进1"/>
    <w:basedOn w:val="1"/>
    <w:qFormat/>
    <w:uiPriority w:val="0"/>
    <w:pPr>
      <w:ind w:firstLine="0" w:firstLineChars="0"/>
      <w:jc w:val="center"/>
    </w:pPr>
    <w:rPr>
      <w:rFonts w:ascii="Times New Roman" w:hAnsi="Times New Roman"/>
      <w:color w:val="auto"/>
      <w:szCs w:val="24"/>
    </w:rPr>
  </w:style>
  <w:style w:type="paragraph" w:customStyle="1" w:styleId="389">
    <w:name w:val="流程图文字"/>
    <w:basedOn w:val="1"/>
    <w:qFormat/>
    <w:uiPriority w:val="0"/>
    <w:pPr>
      <w:spacing w:before="100" w:after="40" w:line="240" w:lineRule="auto"/>
      <w:ind w:firstLine="0" w:firstLineChars="0"/>
      <w:jc w:val="center"/>
    </w:pPr>
    <w:rPr>
      <w:rFonts w:ascii="Times New Roman" w:hAnsi="Times New Roman"/>
      <w:color w:val="auto"/>
      <w:sz w:val="21"/>
      <w:szCs w:val="20"/>
    </w:rPr>
  </w:style>
  <w:style w:type="paragraph" w:customStyle="1" w:styleId="390">
    <w:name w:val="默认段落字体 Para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391">
    <w:name w:val="图框"/>
    <w:basedOn w:val="1"/>
    <w:qFormat/>
    <w:uiPriority w:val="0"/>
    <w:pPr>
      <w:spacing w:line="240" w:lineRule="auto"/>
      <w:ind w:firstLine="0" w:firstLineChars="0"/>
      <w:jc w:val="center"/>
    </w:pPr>
    <w:rPr>
      <w:rFonts w:hint="eastAsia" w:ascii="仿宋_GB2312" w:hAnsi="Times New Roman" w:eastAsia="仿宋_GB2312"/>
      <w:color w:val="auto"/>
      <w:sz w:val="20"/>
      <w:szCs w:val="24"/>
    </w:rPr>
  </w:style>
  <w:style w:type="paragraph" w:customStyle="1" w:styleId="392">
    <w:name w:val="lsw表格文字"/>
    <w:basedOn w:val="1"/>
    <w:next w:val="1"/>
    <w:qFormat/>
    <w:uiPriority w:val="0"/>
    <w:pPr>
      <w:widowControl/>
      <w:spacing w:line="360" w:lineRule="exact"/>
      <w:ind w:left="-111" w:right="-92" w:firstLine="0" w:firstLineChars="0"/>
      <w:jc w:val="center"/>
    </w:pPr>
    <w:rPr>
      <w:rFonts w:ascii="Times New Roman" w:hAnsi="Times New Roman"/>
      <w:szCs w:val="20"/>
    </w:rPr>
  </w:style>
  <w:style w:type="paragraph" w:customStyle="1" w:styleId="393">
    <w:name w:val="MFS正文 Char Char"/>
    <w:basedOn w:val="81"/>
    <w:qFormat/>
    <w:uiPriority w:val="0"/>
    <w:pPr>
      <w:adjustRightInd w:val="0"/>
      <w:snapToGrid w:val="0"/>
      <w:spacing w:before="93" w:line="360" w:lineRule="auto"/>
      <w:ind w:firstLine="487" w:firstLineChars="200"/>
    </w:pPr>
    <w:rPr>
      <w:rFonts w:eastAsia="楷体_GB2312"/>
    </w:rPr>
  </w:style>
  <w:style w:type="paragraph" w:customStyle="1" w:styleId="394">
    <w:name w:val="三级无标题条"/>
    <w:basedOn w:val="1"/>
    <w:qFormat/>
    <w:uiPriority w:val="0"/>
    <w:pPr>
      <w:tabs>
        <w:tab w:val="left" w:pos="780"/>
      </w:tabs>
      <w:spacing w:line="240" w:lineRule="auto"/>
      <w:ind w:left="780" w:leftChars="200" w:hanging="360" w:hangingChars="200"/>
    </w:pPr>
    <w:rPr>
      <w:rFonts w:ascii="Times New Roman" w:hAnsi="Times New Roman"/>
      <w:color w:val="auto"/>
      <w:sz w:val="21"/>
      <w:szCs w:val="24"/>
    </w:rPr>
  </w:style>
  <w:style w:type="paragraph" w:customStyle="1" w:styleId="395">
    <w:name w:val="0001"/>
    <w:basedOn w:val="187"/>
    <w:next w:val="81"/>
    <w:qFormat/>
    <w:uiPriority w:val="0"/>
    <w:pPr>
      <w:widowControl w:val="0"/>
      <w:spacing w:after="120" w:line="360" w:lineRule="auto"/>
      <w:ind w:left="420" w:leftChars="200" w:firstLine="0" w:firstLineChars="0"/>
      <w:jc w:val="both"/>
    </w:pPr>
    <w:rPr>
      <w:rFonts w:ascii="Times New Roman" w:hAnsi="Times New Roman" w:cs="Times New Roman"/>
    </w:rPr>
  </w:style>
  <w:style w:type="paragraph" w:customStyle="1" w:styleId="396">
    <w:name w:val="文本框图"/>
    <w:basedOn w:val="397"/>
    <w:qFormat/>
    <w:uiPriority w:val="0"/>
    <w:pPr>
      <w:autoSpaceDE w:val="0"/>
      <w:autoSpaceDN w:val="0"/>
      <w:snapToGrid/>
      <w:spacing w:line="240" w:lineRule="auto"/>
      <w:jc w:val="left"/>
    </w:pPr>
    <w:rPr>
      <w:rFonts w:ascii="宋体" w:hAnsi="宋体" w:cs="宋体"/>
      <w:color w:val="000000"/>
      <w:kern w:val="0"/>
      <w:sz w:val="21"/>
      <w:szCs w:val="21"/>
      <w:lang w:val="zh-CN"/>
    </w:rPr>
  </w:style>
  <w:style w:type="paragraph" w:customStyle="1" w:styleId="397">
    <w:name w:val="文本框"/>
    <w:basedOn w:val="1"/>
    <w:qFormat/>
    <w:uiPriority w:val="0"/>
    <w:pPr>
      <w:adjustRightInd w:val="0"/>
      <w:snapToGrid w:val="0"/>
      <w:spacing w:line="300" w:lineRule="exact"/>
      <w:ind w:firstLine="0" w:firstLineChars="0"/>
      <w:jc w:val="center"/>
    </w:pPr>
    <w:rPr>
      <w:rFonts w:ascii="Times New Roman" w:hAnsi="Times New Roman"/>
      <w:color w:val="auto"/>
      <w:szCs w:val="24"/>
    </w:rPr>
  </w:style>
  <w:style w:type="paragraph" w:customStyle="1" w:styleId="398">
    <w:name w:val="表格1"/>
    <w:basedOn w:val="1"/>
    <w:next w:val="1"/>
    <w:qFormat/>
    <w:uiPriority w:val="0"/>
    <w:pPr>
      <w:ind w:firstLine="0" w:firstLineChars="0"/>
      <w:jc w:val="center"/>
    </w:pPr>
    <w:rPr>
      <w:rFonts w:hAnsi="Times New Roman"/>
      <w:color w:val="auto"/>
      <w:szCs w:val="20"/>
    </w:rPr>
  </w:style>
  <w:style w:type="paragraph" w:customStyle="1" w:styleId="399">
    <w:name w:val="body 1"/>
    <w:basedOn w:val="1"/>
    <w:qFormat/>
    <w:uiPriority w:val="0"/>
    <w:pPr>
      <w:adjustRightInd w:val="0"/>
      <w:spacing w:line="360" w:lineRule="atLeast"/>
      <w:ind w:firstLine="0" w:firstLineChars="0"/>
      <w:textAlignment w:val="baseline"/>
    </w:pPr>
    <w:rPr>
      <w:rFonts w:ascii="華康中楷體" w:hAnsi="Times New Roman" w:eastAsia="華康中楷體"/>
      <w:color w:val="auto"/>
      <w:spacing w:val="60"/>
      <w:kern w:val="0"/>
      <w:szCs w:val="20"/>
      <w:lang w:eastAsia="zh-TW"/>
    </w:rPr>
  </w:style>
  <w:style w:type="paragraph" w:customStyle="1" w:styleId="400">
    <w:name w:val="二号标题样式 Char"/>
    <w:basedOn w:val="401"/>
    <w:uiPriority w:val="0"/>
    <w:pPr>
      <w:spacing w:beforeLines="50" w:afterLines="50"/>
    </w:pPr>
    <w:rPr>
      <w:bCs w:val="0"/>
      <w:szCs w:val="20"/>
    </w:rPr>
  </w:style>
  <w:style w:type="paragraph" w:customStyle="1" w:styleId="401">
    <w:name w:val="二号标题"/>
    <w:basedOn w:val="1"/>
    <w:qFormat/>
    <w:uiPriority w:val="0"/>
    <w:pPr>
      <w:keepNext/>
      <w:keepLines/>
      <w:spacing w:beforeLines="100" w:afterLines="100" w:line="520" w:lineRule="exact"/>
      <w:ind w:firstLine="0" w:firstLineChars="0"/>
      <w:outlineLvl w:val="2"/>
    </w:pPr>
    <w:rPr>
      <w:rFonts w:ascii="Arial" w:hAnsi="Arial" w:eastAsia="黑体" w:cs="宋体"/>
      <w:bCs/>
      <w:color w:val="auto"/>
      <w:sz w:val="28"/>
      <w:szCs w:val="28"/>
    </w:rPr>
  </w:style>
  <w:style w:type="paragraph" w:customStyle="1" w:styleId="402">
    <w:name w:val="zz"/>
    <w:basedOn w:val="81"/>
    <w:next w:val="81"/>
    <w:qFormat/>
    <w:uiPriority w:val="0"/>
    <w:pPr>
      <w:spacing w:after="0" w:line="360" w:lineRule="auto"/>
      <w:ind w:left="1680" w:leftChars="100" w:right="100" w:rightChars="100"/>
    </w:pPr>
    <w:rPr>
      <w:szCs w:val="20"/>
    </w:rPr>
  </w:style>
  <w:style w:type="paragraph" w:customStyle="1" w:styleId="403">
    <w:name w:val="新正文样式"/>
    <w:basedOn w:val="1"/>
    <w:uiPriority w:val="0"/>
    <w:pPr>
      <w:tabs>
        <w:tab w:val="left" w:pos="567"/>
      </w:tabs>
      <w:ind w:firstLine="567" w:firstLineChars="0"/>
    </w:pPr>
    <w:rPr>
      <w:rFonts w:ascii="Times New Roman" w:hAnsi="Times New Roman"/>
      <w:color w:val="auto"/>
      <w:spacing w:val="20"/>
      <w:szCs w:val="20"/>
    </w:rPr>
  </w:style>
  <w:style w:type="paragraph" w:customStyle="1" w:styleId="404">
    <w:name w:val="项目编号"/>
    <w:basedOn w:val="1"/>
    <w:next w:val="1"/>
    <w:qFormat/>
    <w:uiPriority w:val="0"/>
    <w:pPr>
      <w:spacing w:before="120" w:after="120"/>
      <w:ind w:firstLine="0" w:firstLineChars="0"/>
    </w:pPr>
    <w:rPr>
      <w:rFonts w:ascii="Times New Roman" w:hAnsi="Times New Roman"/>
      <w:color w:val="auto"/>
      <w:szCs w:val="20"/>
    </w:rPr>
  </w:style>
  <w:style w:type="paragraph" w:customStyle="1" w:styleId="405">
    <w:name w:val="样式 表格 + 行距: 单倍行距"/>
    <w:basedOn w:val="1"/>
    <w:qFormat/>
    <w:uiPriority w:val="0"/>
    <w:pPr>
      <w:spacing w:line="240" w:lineRule="auto"/>
      <w:ind w:firstLine="0" w:firstLineChars="0"/>
      <w:jc w:val="center"/>
    </w:pPr>
    <w:rPr>
      <w:rFonts w:ascii="Times New Roman"/>
      <w:kern w:val="0"/>
      <w:sz w:val="21"/>
      <w:szCs w:val="20"/>
    </w:rPr>
  </w:style>
  <w:style w:type="paragraph" w:customStyle="1" w:styleId="406">
    <w:name w:val="b22"/>
    <w:basedOn w:val="3"/>
    <w:next w:val="3"/>
    <w:uiPriority w:val="0"/>
    <w:pPr>
      <w:spacing w:beforeLines="0" w:after="360" w:line="480" w:lineRule="auto"/>
      <w:ind w:left="0" w:firstLine="0"/>
      <w:jc w:val="both"/>
    </w:pPr>
    <w:rPr>
      <w:rFonts w:ascii="Arial"/>
      <w:color w:val="auto"/>
      <w:sz w:val="32"/>
    </w:rPr>
  </w:style>
  <w:style w:type="paragraph" w:customStyle="1" w:styleId="407">
    <w:name w:val="font6"/>
    <w:basedOn w:val="1"/>
    <w:qFormat/>
    <w:uiPriority w:val="0"/>
    <w:pPr>
      <w:widowControl/>
      <w:spacing w:before="100" w:beforeAutospacing="1" w:after="100" w:afterAutospacing="1" w:line="240" w:lineRule="auto"/>
      <w:ind w:firstLine="0" w:firstLineChars="0"/>
      <w:jc w:val="left"/>
    </w:pPr>
    <w:rPr>
      <w:rFonts w:hint="eastAsia"/>
      <w:color w:val="auto"/>
      <w:kern w:val="0"/>
      <w:sz w:val="20"/>
      <w:szCs w:val="20"/>
    </w:rPr>
  </w:style>
  <w:style w:type="paragraph" w:customStyle="1" w:styleId="408">
    <w:name w:val="样式 标题 1 + (符号) 宋体 居中"/>
    <w:basedOn w:val="2"/>
    <w:qFormat/>
    <w:uiPriority w:val="0"/>
    <w:pPr>
      <w:tabs>
        <w:tab w:val="left" w:pos="0"/>
        <w:tab w:val="clear" w:pos="432"/>
      </w:tabs>
      <w:ind w:left="0" w:firstLine="0"/>
      <w:jc w:val="center"/>
    </w:pPr>
    <w:rPr>
      <w:rFonts w:cs="宋体"/>
      <w:color w:val="auto"/>
      <w:sz w:val="24"/>
      <w:szCs w:val="20"/>
    </w:rPr>
  </w:style>
  <w:style w:type="paragraph" w:customStyle="1" w:styleId="409">
    <w:name w:val="样式 标题 1 + (中文) 宋体 小三 行距: 多倍行距 1.35 字行"/>
    <w:basedOn w:val="1"/>
    <w:uiPriority w:val="0"/>
    <w:pPr>
      <w:spacing w:line="240" w:lineRule="auto"/>
      <w:ind w:firstLine="0" w:firstLineChars="0"/>
    </w:pPr>
    <w:rPr>
      <w:rFonts w:ascii="Times New Roman" w:hAnsi="Times New Roman"/>
      <w:color w:val="auto"/>
      <w:sz w:val="21"/>
      <w:szCs w:val="24"/>
    </w:rPr>
  </w:style>
  <w:style w:type="paragraph" w:customStyle="1" w:styleId="410">
    <w:name w:val="标题3 Char Char Char Char"/>
    <w:basedOn w:val="1"/>
    <w:qFormat/>
    <w:uiPriority w:val="0"/>
    <w:pPr>
      <w:spacing w:afterLines="50" w:line="560" w:lineRule="exact"/>
      <w:ind w:firstLine="0" w:firstLineChars="0"/>
    </w:pPr>
    <w:rPr>
      <w:rFonts w:ascii="Times New Roman" w:hAnsi="Times New Roman" w:eastAsia="黑体"/>
      <w:color w:val="auto"/>
      <w:sz w:val="30"/>
      <w:szCs w:val="30"/>
    </w:rPr>
  </w:style>
  <w:style w:type="paragraph" w:customStyle="1" w:styleId="411">
    <w:name w:val="Char Char Char2 Char"/>
    <w:basedOn w:val="1"/>
    <w:qFormat/>
    <w:uiPriority w:val="0"/>
    <w:pPr>
      <w:tabs>
        <w:tab w:val="left" w:pos="432"/>
      </w:tabs>
      <w:spacing w:line="240" w:lineRule="auto"/>
      <w:ind w:left="432" w:hanging="432" w:firstLineChars="0"/>
    </w:pPr>
    <w:rPr>
      <w:rFonts w:ascii="Times New Roman" w:hAnsi="Times New Roman"/>
      <w:color w:val="auto"/>
      <w:sz w:val="21"/>
      <w:szCs w:val="24"/>
    </w:rPr>
  </w:style>
  <w:style w:type="paragraph" w:customStyle="1" w:styleId="412">
    <w:name w:val="表名"/>
    <w:basedOn w:val="1"/>
    <w:uiPriority w:val="0"/>
    <w:pPr>
      <w:overflowPunct w:val="0"/>
      <w:spacing w:before="120" w:line="240" w:lineRule="auto"/>
      <w:ind w:firstLine="0" w:firstLineChars="0"/>
      <w:textAlignment w:val="baseline"/>
    </w:pPr>
    <w:rPr>
      <w:rFonts w:ascii="Arial" w:hAnsi="Arial" w:eastAsia="黑体"/>
      <w:color w:val="auto"/>
      <w:szCs w:val="20"/>
    </w:rPr>
  </w:style>
  <w:style w:type="paragraph" w:customStyle="1" w:styleId="413">
    <w:name w:val="样式 标题 1-*+章标题 11.标题 1h11st levelSection Headl1b1H1Head..."/>
    <w:basedOn w:val="2"/>
    <w:uiPriority w:val="0"/>
    <w:pPr>
      <w:numPr>
        <w:ilvl w:val="0"/>
        <w:numId w:val="1"/>
      </w:numPr>
      <w:tabs>
        <w:tab w:val="clear" w:pos="432"/>
      </w:tabs>
      <w:spacing w:beforeLines="100" w:line="480" w:lineRule="auto"/>
      <w:jc w:val="center"/>
    </w:pPr>
    <w:rPr>
      <w:rFonts w:ascii="Times New Roman" w:hAnsi="Times New Roman"/>
      <w:color w:val="auto"/>
      <w:sz w:val="36"/>
      <w:szCs w:val="36"/>
    </w:rPr>
  </w:style>
  <w:style w:type="paragraph" w:customStyle="1" w:styleId="414">
    <w:name w:val="表题"/>
    <w:basedOn w:val="1"/>
    <w:qFormat/>
    <w:uiPriority w:val="0"/>
    <w:pPr>
      <w:snapToGrid w:val="0"/>
      <w:spacing w:line="240" w:lineRule="auto"/>
      <w:ind w:firstLine="0" w:firstLineChars="0"/>
      <w:jc w:val="center"/>
    </w:pPr>
    <w:rPr>
      <w:rFonts w:ascii="Times New Roman" w:hAnsi="Times New Roman" w:eastAsia="黑体"/>
      <w:color w:val="auto"/>
      <w:szCs w:val="20"/>
    </w:rPr>
  </w:style>
  <w:style w:type="paragraph" w:customStyle="1" w:styleId="415">
    <w:name w:val="Plain Text1"/>
    <w:basedOn w:val="1"/>
    <w:qFormat/>
    <w:uiPriority w:val="0"/>
    <w:pPr>
      <w:autoSpaceDE w:val="0"/>
      <w:autoSpaceDN w:val="0"/>
      <w:adjustRightInd w:val="0"/>
      <w:spacing w:line="240" w:lineRule="auto"/>
      <w:ind w:firstLine="0" w:firstLineChars="0"/>
      <w:textAlignment w:val="baseline"/>
    </w:pPr>
    <w:rPr>
      <w:rFonts w:hAnsi="Tms Rmn"/>
      <w:color w:val="auto"/>
      <w:kern w:val="0"/>
      <w:sz w:val="21"/>
      <w:szCs w:val="20"/>
    </w:rPr>
  </w:style>
  <w:style w:type="paragraph" w:customStyle="1" w:styleId="416">
    <w:name w:val="样式 标题 3 + 行距: 1.5 倍行距"/>
    <w:basedOn w:val="4"/>
    <w:uiPriority w:val="0"/>
    <w:pPr>
      <w:spacing w:beforeLines="0" w:after="240"/>
      <w:jc w:val="both"/>
    </w:pPr>
    <w:rPr>
      <w:rFonts w:ascii="Times New Roman" w:hAnsi="Times New Roman" w:cs="宋体"/>
      <w:color w:val="auto"/>
      <w:sz w:val="24"/>
      <w:szCs w:val="20"/>
    </w:rPr>
  </w:style>
  <w:style w:type="paragraph" w:customStyle="1" w:styleId="417">
    <w:name w:val="EIA正文"/>
    <w:basedOn w:val="1"/>
    <w:qFormat/>
    <w:uiPriority w:val="0"/>
    <w:pPr>
      <w:ind w:firstLine="578" w:firstLineChars="0"/>
    </w:pPr>
    <w:rPr>
      <w:color w:val="auto"/>
      <w:szCs w:val="24"/>
    </w:rPr>
  </w:style>
  <w:style w:type="paragraph" w:customStyle="1" w:styleId="418">
    <w:name w:val="Char11"/>
    <w:basedOn w:val="1"/>
    <w:qFormat/>
    <w:uiPriority w:val="0"/>
    <w:pPr>
      <w:ind w:firstLine="0" w:firstLineChars="0"/>
      <w:jc w:val="center"/>
    </w:pPr>
    <w:rPr>
      <w:rFonts w:hAnsi="Times New Roman"/>
      <w:b/>
      <w:color w:val="auto"/>
      <w:szCs w:val="24"/>
    </w:rPr>
  </w:style>
  <w:style w:type="paragraph" w:customStyle="1" w:styleId="419">
    <w:name w:val="图文"/>
    <w:basedOn w:val="1"/>
    <w:uiPriority w:val="0"/>
    <w:pPr>
      <w:spacing w:line="500" w:lineRule="exact"/>
      <w:ind w:firstLine="0" w:firstLineChars="0"/>
      <w:jc w:val="center"/>
    </w:pPr>
    <w:rPr>
      <w:rFonts w:ascii="Times New Roman" w:hAnsi="Times New Roman"/>
      <w:color w:val="auto"/>
      <w:sz w:val="28"/>
      <w:szCs w:val="20"/>
    </w:rPr>
  </w:style>
  <w:style w:type="paragraph" w:customStyle="1" w:styleId="420">
    <w:name w:val="zzzz"/>
    <w:basedOn w:val="81"/>
    <w:next w:val="81"/>
    <w:qFormat/>
    <w:uiPriority w:val="0"/>
    <w:pPr>
      <w:spacing w:line="360" w:lineRule="auto"/>
      <w:ind w:left="210"/>
    </w:pPr>
    <w:rPr>
      <w:szCs w:val="20"/>
    </w:rPr>
  </w:style>
  <w:style w:type="paragraph" w:customStyle="1" w:styleId="421">
    <w:name w:val="Document Map1"/>
    <w:basedOn w:val="1"/>
    <w:qFormat/>
    <w:uiPriority w:val="0"/>
    <w:pPr>
      <w:shd w:val="clear" w:color="auto" w:fill="000080"/>
      <w:adjustRightInd w:val="0"/>
      <w:spacing w:line="240" w:lineRule="auto"/>
      <w:ind w:firstLine="0" w:firstLineChars="0"/>
      <w:textAlignment w:val="baseline"/>
    </w:pPr>
    <w:rPr>
      <w:rFonts w:hAnsi="Times New Roman"/>
      <w:color w:val="auto"/>
      <w:kern w:val="0"/>
      <w:sz w:val="21"/>
      <w:szCs w:val="20"/>
    </w:rPr>
  </w:style>
  <w:style w:type="paragraph" w:customStyle="1" w:styleId="422">
    <w:name w:val="报告书表格"/>
    <w:basedOn w:val="1"/>
    <w:uiPriority w:val="0"/>
    <w:pPr>
      <w:adjustRightInd w:val="0"/>
      <w:spacing w:line="240" w:lineRule="atLeast"/>
      <w:ind w:firstLine="0" w:firstLineChars="0"/>
      <w:jc w:val="center"/>
      <w:textAlignment w:val="baseline"/>
    </w:pPr>
    <w:rPr>
      <w:rFonts w:ascii="Times New Roman" w:hAnsi="Times New Roman"/>
      <w:color w:val="auto"/>
      <w:kern w:val="0"/>
      <w:szCs w:val="20"/>
    </w:rPr>
  </w:style>
  <w:style w:type="paragraph" w:customStyle="1" w:styleId="423">
    <w:name w:val="默认段落字体 Para Char Char Char Char Char Char Char Char Char Char Char Char Char Char Char Char Char Char Char Char Char Char Char Char Char Char Char Char1 Char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424">
    <w:name w:val="表号"/>
    <w:basedOn w:val="1"/>
    <w:qFormat/>
    <w:uiPriority w:val="0"/>
    <w:pPr>
      <w:spacing w:line="240" w:lineRule="auto"/>
      <w:ind w:firstLine="0" w:firstLineChars="0"/>
    </w:pPr>
    <w:rPr>
      <w:rFonts w:ascii="Times New Roman" w:hAnsi="Times New Roman"/>
      <w:color w:val="auto"/>
      <w:sz w:val="21"/>
      <w:szCs w:val="20"/>
    </w:rPr>
  </w:style>
  <w:style w:type="paragraph" w:customStyle="1" w:styleId="425">
    <w:name w:val="报告1"/>
    <w:basedOn w:val="426"/>
    <w:uiPriority w:val="0"/>
    <w:pPr>
      <w:overflowPunct/>
      <w:autoSpaceDE/>
      <w:autoSpaceDN/>
      <w:spacing w:before="0" w:after="0" w:line="360" w:lineRule="auto"/>
      <w:ind w:left="0" w:leftChars="0" w:firstLine="505"/>
      <w:textAlignment w:val="auto"/>
    </w:pPr>
    <w:rPr>
      <w:rFonts w:ascii="TimesNewRoman" w:hAnsi="TimesNewRoman"/>
      <w:kern w:val="24"/>
    </w:rPr>
  </w:style>
  <w:style w:type="paragraph" w:customStyle="1" w:styleId="426">
    <w:name w:val="报告"/>
    <w:basedOn w:val="1"/>
    <w:qFormat/>
    <w:uiPriority w:val="0"/>
    <w:pPr>
      <w:overflowPunct w:val="0"/>
      <w:autoSpaceDE w:val="0"/>
      <w:autoSpaceDN w:val="0"/>
      <w:adjustRightInd w:val="0"/>
      <w:spacing w:before="120" w:after="120" w:line="400" w:lineRule="atLeast"/>
      <w:ind w:left="840" w:leftChars="400" w:firstLine="0" w:firstLineChars="0"/>
      <w:textAlignment w:val="baseline"/>
    </w:pPr>
    <w:rPr>
      <w:rFonts w:ascii="Times New Roman" w:hAnsi="Times New Roman"/>
      <w:color w:val="auto"/>
      <w:kern w:val="0"/>
      <w:szCs w:val="20"/>
    </w:rPr>
  </w:style>
  <w:style w:type="paragraph" w:customStyle="1" w:styleId="427">
    <w:name w:val="君邦目录"/>
    <w:qFormat/>
    <w:uiPriority w:val="0"/>
    <w:pPr>
      <w:pBdr>
        <w:bottom w:val="single" w:color="auto" w:sz="12" w:space="1"/>
      </w:pBdr>
      <w:spacing w:before="960" w:after="960" w:line="360" w:lineRule="auto"/>
      <w:ind w:left="567" w:hanging="567"/>
      <w:jc w:val="right"/>
      <w:outlineLvl w:val="1"/>
    </w:pPr>
    <w:rPr>
      <w:rFonts w:ascii="Times New Roman" w:hAnsi="Times New Roman" w:eastAsia="黑体" w:cs="Times New Roman"/>
      <w:b/>
      <w:sz w:val="32"/>
      <w:lang w:val="en-US" w:eastAsia="zh-CN" w:bidi="ar-SA"/>
    </w:rPr>
  </w:style>
  <w:style w:type="paragraph" w:customStyle="1" w:styleId="428">
    <w:name w:val="zhang正文"/>
    <w:basedOn w:val="32"/>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429">
    <w:name w:val="正文 1"/>
    <w:basedOn w:val="1"/>
    <w:qFormat/>
    <w:uiPriority w:val="0"/>
    <w:pPr>
      <w:adjustRightInd w:val="0"/>
      <w:spacing w:line="480" w:lineRule="exact"/>
      <w:ind w:firstLine="567" w:firstLineChars="0"/>
      <w:textAlignment w:val="baseline"/>
    </w:pPr>
    <w:rPr>
      <w:rFonts w:ascii="Times New Roman" w:hAnsi="Times New Roman"/>
      <w:color w:val="auto"/>
      <w:kern w:val="0"/>
      <w:sz w:val="28"/>
      <w:szCs w:val="20"/>
    </w:rPr>
  </w:style>
  <w:style w:type="paragraph" w:customStyle="1" w:styleId="430">
    <w:name w:val="Char Char Char Char Char Char Char Char Char Char Char Char1 Char"/>
    <w:basedOn w:val="1"/>
    <w:qFormat/>
    <w:uiPriority w:val="0"/>
    <w:pPr>
      <w:spacing w:line="240" w:lineRule="auto"/>
      <w:ind w:firstLine="0" w:firstLineChars="0"/>
    </w:pPr>
    <w:rPr>
      <w:rFonts w:ascii="Times New Roman" w:hAnsi="Times New Roman"/>
      <w:color w:val="auto"/>
      <w:sz w:val="21"/>
      <w:szCs w:val="24"/>
    </w:rPr>
  </w:style>
  <w:style w:type="paragraph" w:customStyle="1" w:styleId="431">
    <w:name w:val="文本框图片"/>
    <w:basedOn w:val="1"/>
    <w:uiPriority w:val="0"/>
    <w:pPr>
      <w:autoSpaceDE w:val="0"/>
      <w:autoSpaceDN w:val="0"/>
      <w:adjustRightInd w:val="0"/>
      <w:spacing w:line="240" w:lineRule="auto"/>
      <w:ind w:firstLine="0" w:firstLineChars="0"/>
      <w:jc w:val="left"/>
    </w:pPr>
    <w:rPr>
      <w:rFonts w:cs="宋体"/>
      <w:bCs/>
      <w:kern w:val="0"/>
      <w:sz w:val="21"/>
      <w:lang w:val="zh-CN"/>
    </w:rPr>
  </w:style>
  <w:style w:type="paragraph" w:customStyle="1" w:styleId="432">
    <w:name w:val="注："/>
    <w:next w:val="433"/>
    <w:qFormat/>
    <w:uiPriority w:val="0"/>
    <w:pPr>
      <w:widowControl w:val="0"/>
      <w:autoSpaceDE w:val="0"/>
      <w:autoSpaceDN w:val="0"/>
      <w:spacing w:line="360" w:lineRule="auto"/>
      <w:ind w:left="836" w:hanging="425"/>
      <w:jc w:val="both"/>
    </w:pPr>
    <w:rPr>
      <w:rFonts w:ascii="宋体" w:hAnsi="Times New Roman" w:eastAsia="宋体" w:cs="Times New Roman"/>
      <w:sz w:val="18"/>
      <w:lang w:val="en-US" w:eastAsia="zh-CN" w:bidi="ar-SA"/>
    </w:rPr>
  </w:style>
  <w:style w:type="paragraph" w:customStyle="1" w:styleId="433">
    <w:name w:val="段"/>
    <w:qFormat/>
    <w:uiPriority w:val="0"/>
    <w:pPr>
      <w:autoSpaceDE w:val="0"/>
      <w:autoSpaceDN w:val="0"/>
      <w:spacing w:line="360" w:lineRule="auto"/>
      <w:ind w:firstLine="200" w:firstLineChars="200"/>
      <w:jc w:val="both"/>
    </w:pPr>
    <w:rPr>
      <w:rFonts w:ascii="宋体" w:hAnsi="Times New Roman" w:eastAsia="宋体" w:cs="Times New Roman"/>
      <w:sz w:val="21"/>
      <w:lang w:val="en-US" w:eastAsia="zh-CN" w:bidi="ar-SA"/>
    </w:rPr>
  </w:style>
  <w:style w:type="paragraph" w:customStyle="1" w:styleId="434">
    <w:name w:val="条"/>
    <w:basedOn w:val="4"/>
    <w:next w:val="31"/>
    <w:qFormat/>
    <w:uiPriority w:val="0"/>
    <w:pPr>
      <w:keepNext w:val="0"/>
      <w:keepLines w:val="0"/>
      <w:tabs>
        <w:tab w:val="left" w:pos="1260"/>
        <w:tab w:val="clear" w:pos="0"/>
      </w:tabs>
      <w:adjustRightInd w:val="0"/>
      <w:snapToGrid w:val="0"/>
      <w:ind w:left="1260" w:hanging="720"/>
      <w:jc w:val="both"/>
    </w:pPr>
    <w:rPr>
      <w:rFonts w:hAnsi="Times New Roman"/>
      <w:b w:val="0"/>
      <w:color w:val="auto"/>
    </w:rPr>
  </w:style>
  <w:style w:type="paragraph" w:customStyle="1" w:styleId="435">
    <w:name w:val="1文章"/>
    <w:basedOn w:val="1"/>
    <w:qFormat/>
    <w:uiPriority w:val="0"/>
    <w:pPr>
      <w:snapToGrid w:val="0"/>
      <w:spacing w:line="420" w:lineRule="auto"/>
      <w:ind w:firstLine="454" w:firstLineChars="0"/>
      <w:outlineLvl w:val="4"/>
    </w:pPr>
    <w:rPr>
      <w:rFonts w:ascii="Times New Roman" w:hAnsi="Times New Roman"/>
      <w:color w:val="auto"/>
      <w:spacing w:val="4"/>
      <w:szCs w:val="24"/>
    </w:rPr>
  </w:style>
  <w:style w:type="paragraph" w:customStyle="1" w:styleId="436">
    <w:name w:val="样式 样式 首行缩进:  2 字符 + 首行缩进:  2 字符1"/>
    <w:basedOn w:val="1"/>
    <w:uiPriority w:val="0"/>
    <w:pPr>
      <w:ind w:firstLine="562"/>
    </w:pPr>
    <w:rPr>
      <w:rFonts w:hint="eastAsia"/>
      <w:bCs/>
      <w:color w:val="auto"/>
      <w:sz w:val="28"/>
      <w:szCs w:val="20"/>
    </w:rPr>
  </w:style>
  <w:style w:type="paragraph" w:customStyle="1" w:styleId="437">
    <w:name w:val="标题01"/>
    <w:basedOn w:val="2"/>
    <w:next w:val="1"/>
    <w:qFormat/>
    <w:uiPriority w:val="0"/>
    <w:pPr>
      <w:spacing w:before="340" w:after="320" w:line="480" w:lineRule="auto"/>
      <w:ind w:left="0" w:firstLine="0"/>
      <w:jc w:val="both"/>
    </w:pPr>
    <w:rPr>
      <w:rFonts w:ascii="Times New Roman" w:hAnsi="Times New Roman"/>
      <w:bCs w:val="0"/>
      <w:color w:val="auto"/>
      <w:kern w:val="44"/>
      <w:sz w:val="44"/>
      <w:szCs w:val="20"/>
    </w:rPr>
  </w:style>
  <w:style w:type="paragraph" w:customStyle="1" w:styleId="438">
    <w:name w:val="样式18"/>
    <w:basedOn w:val="413"/>
    <w:qFormat/>
    <w:uiPriority w:val="0"/>
    <w:pPr>
      <w:numPr>
        <w:numId w:val="2"/>
      </w:numPr>
      <w:spacing w:before="100"/>
    </w:pPr>
  </w:style>
  <w:style w:type="paragraph" w:customStyle="1" w:styleId="439">
    <w:name w:val="样式 (符号) 宋体 小四 居中 行距: 1.5 倍行距"/>
    <w:basedOn w:val="1"/>
    <w:uiPriority w:val="0"/>
    <w:pPr>
      <w:ind w:firstLine="0" w:firstLineChars="0"/>
      <w:jc w:val="center"/>
    </w:pPr>
    <w:rPr>
      <w:rFonts w:ascii="Times New Roman" w:cs="宋体"/>
      <w:color w:val="auto"/>
      <w:szCs w:val="20"/>
    </w:rPr>
  </w:style>
  <w:style w:type="paragraph" w:customStyle="1" w:styleId="440">
    <w:name w:val="样式 标题 3 + 段前: 0.3 行 段后: 0.3 行1"/>
    <w:basedOn w:val="4"/>
    <w:qFormat/>
    <w:uiPriority w:val="0"/>
    <w:pPr>
      <w:spacing w:beforeLines="30" w:afterLines="30"/>
      <w:jc w:val="both"/>
    </w:pPr>
    <w:rPr>
      <w:rFonts w:ascii="Times New Roman" w:hAnsi="Times New Roman" w:eastAsia="Times New Roman" w:cs="宋体"/>
      <w:color w:val="auto"/>
      <w:sz w:val="30"/>
      <w:szCs w:val="20"/>
    </w:rPr>
  </w:style>
  <w:style w:type="paragraph" w:customStyle="1" w:styleId="441">
    <w:name w:val="久不通函，至以为念。"/>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442">
    <w:name w:val="附录一级条标题"/>
    <w:basedOn w:val="443"/>
    <w:next w:val="433"/>
    <w:uiPriority w:val="0"/>
    <w:pPr>
      <w:tabs>
        <w:tab w:val="left" w:pos="576"/>
        <w:tab w:val="left" w:pos="720"/>
        <w:tab w:val="left" w:pos="828"/>
        <w:tab w:val="left" w:pos="1560"/>
      </w:tabs>
      <w:autoSpaceDN w:val="0"/>
      <w:spacing w:beforeLines="0" w:afterLines="0"/>
      <w:ind w:left="828" w:hanging="240"/>
      <w:outlineLvl w:val="2"/>
    </w:pPr>
  </w:style>
  <w:style w:type="paragraph" w:customStyle="1" w:styleId="443">
    <w:name w:val="附录章标题"/>
    <w:next w:val="433"/>
    <w:qFormat/>
    <w:uiPriority w:val="0"/>
    <w:pPr>
      <w:tabs>
        <w:tab w:val="left" w:pos="576"/>
      </w:tabs>
      <w:wordWrap w:val="0"/>
      <w:overflowPunct w:val="0"/>
      <w:autoSpaceDE w:val="0"/>
      <w:spacing w:beforeLines="50" w:afterLines="50" w:line="360" w:lineRule="auto"/>
      <w:ind w:left="576" w:hanging="576"/>
      <w:jc w:val="both"/>
      <w:textAlignment w:val="baseline"/>
      <w:outlineLvl w:val="1"/>
    </w:pPr>
    <w:rPr>
      <w:rFonts w:ascii="黑体" w:hAnsi="Times New Roman" w:eastAsia="黑体" w:cs="Times New Roman"/>
      <w:kern w:val="21"/>
      <w:sz w:val="21"/>
      <w:lang w:val="en-US" w:eastAsia="zh-CN" w:bidi="ar-SA"/>
    </w:rPr>
  </w:style>
  <w:style w:type="paragraph" w:customStyle="1" w:styleId="444">
    <w:name w:val="样式 标题 3小标题小节标题头 + 首行缩进:  1 字符"/>
    <w:basedOn w:val="4"/>
    <w:uiPriority w:val="0"/>
    <w:pPr>
      <w:spacing w:beforeLines="0"/>
      <w:jc w:val="both"/>
    </w:pPr>
    <w:rPr>
      <w:rFonts w:ascii="Times New Roman" w:hAnsi="Times New Roman" w:cs="宋体"/>
      <w:bCs w:val="0"/>
      <w:color w:val="auto"/>
      <w:szCs w:val="20"/>
    </w:rPr>
  </w:style>
  <w:style w:type="paragraph" w:customStyle="1" w:styleId="445">
    <w:name w:val="样式 标题 2节节标题 1.1H2（一）Underrubrik1prop2Heading 2 HiddenHea..."/>
    <w:basedOn w:val="3"/>
    <w:qFormat/>
    <w:uiPriority w:val="0"/>
    <w:pPr>
      <w:ind w:left="0" w:firstLine="0"/>
    </w:pPr>
    <w:rPr>
      <w:rFonts w:cs="宋体"/>
      <w:szCs w:val="20"/>
    </w:rPr>
  </w:style>
  <w:style w:type="paragraph" w:customStyle="1" w:styleId="446">
    <w:name w:val="四级无标题条"/>
    <w:basedOn w:val="1"/>
    <w:qFormat/>
    <w:uiPriority w:val="0"/>
    <w:pPr>
      <w:tabs>
        <w:tab w:val="left" w:pos="780"/>
      </w:tabs>
      <w:spacing w:line="240" w:lineRule="auto"/>
      <w:ind w:left="780" w:leftChars="200" w:hanging="360" w:hangingChars="200"/>
    </w:pPr>
    <w:rPr>
      <w:rFonts w:ascii="Times New Roman" w:hAnsi="Times New Roman"/>
      <w:color w:val="auto"/>
      <w:sz w:val="21"/>
      <w:szCs w:val="24"/>
    </w:rPr>
  </w:style>
  <w:style w:type="paragraph" w:customStyle="1" w:styleId="447">
    <w:name w:val="lily's 正文"/>
    <w:basedOn w:val="1"/>
    <w:qFormat/>
    <w:uiPriority w:val="0"/>
    <w:pPr>
      <w:ind w:firstLine="480"/>
    </w:pPr>
    <w:rPr>
      <w:rFonts w:ascii="Times New Roman" w:hAnsi="Times New Roman" w:eastAsia="楷体_GB2312"/>
      <w:color w:val="auto"/>
      <w:szCs w:val="24"/>
    </w:rPr>
  </w:style>
  <w:style w:type="paragraph" w:customStyle="1" w:styleId="448">
    <w:name w:val="xl2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color w:val="auto"/>
      <w:kern w:val="0"/>
      <w:sz w:val="18"/>
      <w:szCs w:val="18"/>
    </w:rPr>
  </w:style>
  <w:style w:type="paragraph" w:customStyle="1" w:styleId="449">
    <w:name w:val="表格内容格式"/>
    <w:basedOn w:val="1"/>
    <w:qFormat/>
    <w:uiPriority w:val="0"/>
    <w:pPr>
      <w:spacing w:line="240" w:lineRule="auto"/>
      <w:ind w:firstLine="0" w:firstLineChars="0"/>
      <w:jc w:val="center"/>
    </w:pPr>
    <w:rPr>
      <w:rFonts w:ascii="Times New Roman" w:cs="宋体"/>
      <w:color w:val="auto"/>
      <w:sz w:val="21"/>
    </w:rPr>
  </w:style>
  <w:style w:type="paragraph" w:customStyle="1" w:styleId="450">
    <w:name w:val="样式6"/>
    <w:basedOn w:val="4"/>
    <w:uiPriority w:val="0"/>
    <w:pPr>
      <w:tabs>
        <w:tab w:val="left" w:pos="1589"/>
        <w:tab w:val="clear" w:pos="0"/>
      </w:tabs>
      <w:adjustRightInd w:val="0"/>
      <w:snapToGrid w:val="0"/>
      <w:spacing w:beforeLines="0" w:after="260" w:line="312" w:lineRule="auto"/>
      <w:ind w:left="1589" w:hanging="1021"/>
    </w:pPr>
    <w:rPr>
      <w:rFonts w:ascii="仿宋_GB2312" w:hAnsi="Times New Roman" w:eastAsia="仿宋_GB2312"/>
      <w:snapToGrid w:val="0"/>
      <w:color w:val="FF0000"/>
      <w:szCs w:val="28"/>
    </w:rPr>
  </w:style>
  <w:style w:type="paragraph" w:customStyle="1" w:styleId="451">
    <w:name w:val="正文 + 宋体"/>
    <w:basedOn w:val="1"/>
    <w:qFormat/>
    <w:uiPriority w:val="0"/>
    <w:pPr>
      <w:ind w:firstLine="480"/>
    </w:pPr>
    <w:rPr>
      <w:rFonts w:ascii="Times New Roman" w:hAnsi="Times New Roman"/>
      <w:bCs/>
      <w:color w:val="auto"/>
      <w:szCs w:val="24"/>
    </w:rPr>
  </w:style>
  <w:style w:type="paragraph" w:customStyle="1" w:styleId="452">
    <w:name w:val="表格式"/>
    <w:basedOn w:val="62"/>
    <w:qFormat/>
    <w:uiPriority w:val="0"/>
    <w:pPr>
      <w:spacing w:beforeLines="50" w:afterLines="50" w:line="240" w:lineRule="exact"/>
    </w:pPr>
    <w:rPr>
      <w:rFonts w:ascii="Times New Roman" w:eastAsia="宋体"/>
      <w:sz w:val="26"/>
    </w:rPr>
  </w:style>
  <w:style w:type="paragraph" w:customStyle="1" w:styleId="453">
    <w:name w:val="样式 2级标题 + 段前: 0.5 行"/>
    <w:basedOn w:val="1"/>
    <w:qFormat/>
    <w:uiPriority w:val="0"/>
    <w:pPr>
      <w:spacing w:beforeLines="50" w:line="460" w:lineRule="exact"/>
      <w:ind w:firstLine="0" w:firstLineChars="0"/>
      <w:jc w:val="left"/>
      <w:outlineLvl w:val="0"/>
    </w:pPr>
    <w:rPr>
      <w:rFonts w:ascii="Arial" w:hAnsi="Arial" w:eastAsia="仿宋_GB2312" w:cs="宋体"/>
      <w:b/>
      <w:bCs/>
      <w:color w:val="auto"/>
      <w:sz w:val="28"/>
      <w:szCs w:val="28"/>
    </w:rPr>
  </w:style>
  <w:style w:type="paragraph" w:customStyle="1" w:styleId="454">
    <w:name w:val="xl31"/>
    <w:basedOn w:val="1"/>
    <w:qFormat/>
    <w:uiPriority w:val="0"/>
    <w:pPr>
      <w:widowControl/>
      <w:spacing w:before="100" w:beforeAutospacing="1" w:after="100" w:afterAutospacing="1" w:line="240" w:lineRule="auto"/>
      <w:ind w:firstLine="0" w:firstLineChars="0"/>
      <w:jc w:val="left"/>
    </w:pPr>
    <w:rPr>
      <w:rFonts w:ascii="Times New Roman" w:hAnsi="Times New Roman" w:eastAsia="Arial Unicode MS"/>
      <w:b/>
      <w:bCs/>
      <w:color w:val="auto"/>
      <w:kern w:val="0"/>
      <w:szCs w:val="24"/>
    </w:rPr>
  </w:style>
  <w:style w:type="paragraph" w:customStyle="1" w:styleId="455">
    <w:name w:val="xl38"/>
    <w:basedOn w:val="1"/>
    <w:qFormat/>
    <w:uiPriority w:val="0"/>
    <w:pPr>
      <w:widowControl/>
      <w:spacing w:before="100" w:beforeAutospacing="1" w:after="100" w:afterAutospacing="1" w:line="240" w:lineRule="auto"/>
      <w:ind w:firstLine="0" w:firstLineChars="0"/>
      <w:jc w:val="left"/>
    </w:pPr>
    <w:rPr>
      <w:rFonts w:ascii="Arial Unicode MS" w:hAnsi="Arial Unicode MS" w:eastAsia="Arial Unicode MS"/>
      <w:color w:val="auto"/>
      <w:kern w:val="0"/>
      <w:sz w:val="20"/>
      <w:szCs w:val="20"/>
    </w:rPr>
  </w:style>
  <w:style w:type="paragraph" w:customStyle="1" w:styleId="456">
    <w:name w:val="p0"/>
    <w:basedOn w:val="1"/>
    <w:qFormat/>
    <w:uiPriority w:val="0"/>
    <w:pPr>
      <w:widowControl/>
      <w:spacing w:line="240" w:lineRule="auto"/>
      <w:ind w:firstLine="0" w:firstLineChars="0"/>
    </w:pPr>
    <w:rPr>
      <w:rFonts w:cs="宋体"/>
      <w:color w:val="auto"/>
      <w:kern w:val="0"/>
      <w:sz w:val="21"/>
    </w:rPr>
  </w:style>
  <w:style w:type="paragraph" w:customStyle="1" w:styleId="457">
    <w:name w:val="xl29"/>
    <w:basedOn w:val="1"/>
    <w:qFormat/>
    <w:uiPriority w:val="0"/>
    <w:pPr>
      <w:widowControl/>
      <w:spacing w:before="100" w:beforeAutospacing="1" w:after="100" w:afterAutospacing="1" w:line="240" w:lineRule="auto"/>
      <w:ind w:firstLine="0" w:firstLineChars="0"/>
      <w:jc w:val="left"/>
    </w:pPr>
    <w:rPr>
      <w:rFonts w:ascii="Times New Roman" w:hAnsi="Times New Roman" w:eastAsia="Arial Unicode MS"/>
      <w:b/>
      <w:bCs/>
      <w:color w:val="auto"/>
      <w:kern w:val="0"/>
      <w:sz w:val="20"/>
      <w:szCs w:val="20"/>
    </w:rPr>
  </w:style>
  <w:style w:type="paragraph" w:customStyle="1" w:styleId="458">
    <w:name w:val="魏秀珍   正文"/>
    <w:basedOn w:val="19"/>
    <w:qFormat/>
    <w:uiPriority w:val="0"/>
    <w:pPr>
      <w:spacing w:line="360" w:lineRule="auto"/>
      <w:ind w:firstLine="480"/>
      <w:jc w:val="left"/>
    </w:pPr>
    <w:rPr>
      <w:rFonts w:ascii="Times New Roman" w:eastAsia="宋体" w:cs="宋体"/>
      <w:kern w:val="0"/>
      <w:sz w:val="24"/>
      <w:szCs w:val="20"/>
      <w:lang w:val="en-GB"/>
    </w:rPr>
  </w:style>
  <w:style w:type="paragraph" w:customStyle="1" w:styleId="459">
    <w:name w:val="表头样式1"/>
    <w:basedOn w:val="1"/>
    <w:qFormat/>
    <w:uiPriority w:val="0"/>
    <w:pPr>
      <w:spacing w:after="80" w:line="480" w:lineRule="atLeast"/>
      <w:ind w:firstLine="0" w:firstLineChars="0"/>
      <w:jc w:val="center"/>
    </w:pPr>
    <w:rPr>
      <w:rFonts w:ascii="Times New Roman" w:hAnsi="Times New Roman" w:eastAsia="黑体"/>
      <w:b/>
      <w:color w:val="auto"/>
      <w:szCs w:val="20"/>
    </w:rPr>
  </w:style>
  <w:style w:type="paragraph" w:customStyle="1" w:styleId="460">
    <w:name w:val="MFS正文 Char"/>
    <w:basedOn w:val="81"/>
    <w:qFormat/>
    <w:uiPriority w:val="0"/>
    <w:pPr>
      <w:adjustRightInd w:val="0"/>
      <w:snapToGrid w:val="0"/>
      <w:spacing w:before="93" w:line="360" w:lineRule="auto"/>
      <w:ind w:firstLine="200" w:firstLineChars="200"/>
    </w:pPr>
    <w:rPr>
      <w:rFonts w:eastAsia="楷体_GB2312"/>
    </w:rPr>
  </w:style>
  <w:style w:type="paragraph" w:customStyle="1" w:styleId="461">
    <w:name w:val="reader-word-layer reader-word-s9-15"/>
    <w:basedOn w:val="1"/>
    <w:qFormat/>
    <w:uiPriority w:val="0"/>
    <w:pPr>
      <w:widowControl/>
      <w:spacing w:before="100" w:beforeAutospacing="1" w:after="100" w:afterAutospacing="1" w:line="240" w:lineRule="auto"/>
      <w:ind w:firstLine="0" w:firstLineChars="0"/>
      <w:jc w:val="left"/>
    </w:pPr>
    <w:rPr>
      <w:rFonts w:cs="宋体"/>
      <w:color w:val="auto"/>
      <w:kern w:val="0"/>
      <w:szCs w:val="24"/>
    </w:rPr>
  </w:style>
  <w:style w:type="paragraph" w:customStyle="1" w:styleId="462">
    <w:name w:val="表头1"/>
    <w:basedOn w:val="1"/>
    <w:qFormat/>
    <w:uiPriority w:val="0"/>
    <w:pPr>
      <w:spacing w:before="120" w:after="120" w:line="240" w:lineRule="auto"/>
      <w:ind w:firstLine="0" w:firstLineChars="0"/>
      <w:jc w:val="center"/>
    </w:pPr>
    <w:rPr>
      <w:rFonts w:ascii="Times New Roman" w:hAnsi="Times New Roman" w:eastAsia="黑体"/>
      <w:color w:val="auto"/>
      <w:szCs w:val="20"/>
    </w:rPr>
  </w:style>
  <w:style w:type="paragraph" w:customStyle="1" w:styleId="463">
    <w:name w:val="p15"/>
    <w:basedOn w:val="1"/>
    <w:qFormat/>
    <w:uiPriority w:val="0"/>
    <w:pPr>
      <w:widowControl/>
      <w:spacing w:after="120" w:line="240" w:lineRule="auto"/>
      <w:ind w:firstLine="0" w:firstLineChars="0"/>
    </w:pPr>
    <w:rPr>
      <w:rFonts w:cs="宋体"/>
      <w:kern w:val="0"/>
      <w:sz w:val="21"/>
    </w:rPr>
  </w:style>
  <w:style w:type="paragraph" w:customStyle="1" w:styleId="464">
    <w:name w:val="表格内容"/>
    <w:basedOn w:val="1"/>
    <w:qFormat/>
    <w:uiPriority w:val="0"/>
    <w:pPr>
      <w:overflowPunct w:val="0"/>
      <w:adjustRightInd w:val="0"/>
      <w:spacing w:before="40" w:after="60" w:line="200" w:lineRule="atLeast"/>
      <w:ind w:firstLine="0" w:firstLineChars="0"/>
      <w:textAlignment w:val="baseline"/>
    </w:pPr>
    <w:rPr>
      <w:rFonts w:ascii="Arial" w:hAnsi="Arial" w:eastAsia="仿宋_GB2312"/>
      <w:color w:val="auto"/>
      <w:kern w:val="0"/>
      <w:szCs w:val="20"/>
    </w:rPr>
  </w:style>
  <w:style w:type="paragraph" w:customStyle="1" w:styleId="465">
    <w:name w:val="正文B"/>
    <w:basedOn w:val="1"/>
    <w:qFormat/>
    <w:uiPriority w:val="0"/>
    <w:pPr>
      <w:adjustRightInd w:val="0"/>
      <w:spacing w:line="390" w:lineRule="exact"/>
      <w:ind w:firstLine="601" w:firstLineChars="0"/>
      <w:textAlignment w:val="baseline"/>
    </w:pPr>
    <w:rPr>
      <w:rFonts w:ascii="Times New Roman" w:hAnsi="Times New Roman" w:eastAsia="楷体_GB2312"/>
      <w:color w:val="auto"/>
      <w:spacing w:val="8"/>
      <w:kern w:val="0"/>
      <w:sz w:val="28"/>
      <w:szCs w:val="20"/>
    </w:rPr>
  </w:style>
  <w:style w:type="paragraph" w:customStyle="1" w:styleId="466">
    <w:name w:val="pic-info"/>
    <w:basedOn w:val="1"/>
    <w:qFormat/>
    <w:uiPriority w:val="0"/>
    <w:pPr>
      <w:widowControl/>
      <w:spacing w:before="100" w:beforeAutospacing="1" w:after="100" w:afterAutospacing="1" w:line="240" w:lineRule="auto"/>
      <w:ind w:firstLine="0" w:firstLineChars="0"/>
      <w:jc w:val="left"/>
    </w:pPr>
    <w:rPr>
      <w:rFonts w:cs="宋体"/>
      <w:color w:val="auto"/>
      <w:kern w:val="0"/>
      <w:szCs w:val="24"/>
    </w:rPr>
  </w:style>
  <w:style w:type="paragraph" w:customStyle="1" w:styleId="467">
    <w:name w:val="表头"/>
    <w:basedOn w:val="1"/>
    <w:qFormat/>
    <w:uiPriority w:val="0"/>
    <w:pPr>
      <w:adjustRightInd w:val="0"/>
      <w:spacing w:line="320" w:lineRule="atLeast"/>
      <w:ind w:firstLine="0" w:firstLineChars="0"/>
      <w:jc w:val="center"/>
      <w:textAlignment w:val="baseline"/>
    </w:pPr>
    <w:rPr>
      <w:rFonts w:ascii="Times New Roman" w:hAnsi="Times New Roman" w:eastAsia="黑体"/>
      <w:spacing w:val="-10"/>
      <w:kern w:val="0"/>
      <w:sz w:val="21"/>
      <w:szCs w:val="20"/>
    </w:rPr>
  </w:style>
  <w:style w:type="paragraph" w:customStyle="1" w:styleId="468">
    <w:name w:val="Body Text 22"/>
    <w:basedOn w:val="1"/>
    <w:qFormat/>
    <w:uiPriority w:val="0"/>
    <w:pPr>
      <w:adjustRightInd w:val="0"/>
      <w:spacing w:line="440" w:lineRule="atLeast"/>
      <w:ind w:firstLine="480" w:firstLineChars="0"/>
      <w:textAlignment w:val="baseline"/>
    </w:pPr>
    <w:rPr>
      <w:rFonts w:ascii="Times New Roman" w:hAnsi="Times New Roman" w:eastAsia="仿宋_GB2312"/>
      <w:color w:val="auto"/>
      <w:szCs w:val="20"/>
    </w:rPr>
  </w:style>
  <w:style w:type="paragraph" w:customStyle="1" w:styleId="469">
    <w:name w:val="正文首行缩进1"/>
    <w:basedOn w:val="31"/>
    <w:qFormat/>
    <w:uiPriority w:val="0"/>
    <w:pPr>
      <w:adjustRightInd w:val="0"/>
      <w:spacing w:line="312" w:lineRule="atLeast"/>
      <w:ind w:firstLine="420"/>
      <w:textAlignment w:val="baseline"/>
    </w:pPr>
    <w:rPr>
      <w:kern w:val="0"/>
      <w:sz w:val="27"/>
      <w:szCs w:val="20"/>
    </w:rPr>
  </w:style>
  <w:style w:type="paragraph" w:customStyle="1" w:styleId="470">
    <w:name w:val="样式2"/>
    <w:basedOn w:val="5"/>
    <w:qFormat/>
    <w:uiPriority w:val="0"/>
    <w:pPr>
      <w:tabs>
        <w:tab w:val="left" w:pos="0"/>
      </w:tabs>
    </w:pPr>
  </w:style>
  <w:style w:type="paragraph" w:customStyle="1" w:styleId="471">
    <w:name w:val="1.1.1"/>
    <w:basedOn w:val="1"/>
    <w:qFormat/>
    <w:uiPriority w:val="0"/>
    <w:pPr>
      <w:spacing w:line="240" w:lineRule="auto"/>
      <w:ind w:firstLine="0" w:firstLineChars="0"/>
    </w:pPr>
    <w:rPr>
      <w:rFonts w:ascii="黑体" w:hAnsi="Times New Roman"/>
      <w:color w:val="auto"/>
      <w:szCs w:val="24"/>
    </w:rPr>
  </w:style>
  <w:style w:type="paragraph" w:customStyle="1" w:styleId="472">
    <w:name w:val="标准文本 首行缩进:2 字符 行距1倍"/>
    <w:basedOn w:val="1"/>
    <w:qFormat/>
    <w:uiPriority w:val="0"/>
    <w:pPr>
      <w:adjustRightInd w:val="0"/>
      <w:snapToGrid w:val="0"/>
      <w:spacing w:line="480" w:lineRule="exact"/>
      <w:ind w:firstLine="540" w:firstLineChars="225"/>
      <w:textAlignment w:val="center"/>
    </w:pPr>
    <w:rPr>
      <w:rFonts w:ascii="Times New Roman" w:hAnsi="Times New Roman" w:cs="宋体"/>
      <w:color w:val="auto"/>
      <w:szCs w:val="20"/>
    </w:rPr>
  </w:style>
  <w:style w:type="paragraph" w:customStyle="1" w:styleId="473">
    <w:name w:val="Body Text 21"/>
    <w:basedOn w:val="1"/>
    <w:qFormat/>
    <w:uiPriority w:val="0"/>
    <w:pPr>
      <w:adjustRightInd w:val="0"/>
      <w:spacing w:line="240" w:lineRule="auto"/>
      <w:ind w:firstLine="0" w:firstLineChars="0"/>
      <w:textAlignment w:val="baseline"/>
    </w:pPr>
    <w:rPr>
      <w:rFonts w:ascii="Times New Roman" w:hAnsi="Times New Roman" w:eastAsia="仿宋体"/>
      <w:color w:val="auto"/>
      <w:szCs w:val="20"/>
    </w:rPr>
  </w:style>
  <w:style w:type="paragraph" w:customStyle="1" w:styleId="474">
    <w:name w:val="二级无标题条"/>
    <w:basedOn w:val="1"/>
    <w:qFormat/>
    <w:uiPriority w:val="0"/>
    <w:pPr>
      <w:spacing w:line="240" w:lineRule="auto"/>
      <w:ind w:firstLine="0" w:firstLineChars="0"/>
    </w:pPr>
    <w:rPr>
      <w:rFonts w:ascii="Times New Roman" w:hAnsi="Times New Roman"/>
      <w:color w:val="auto"/>
      <w:sz w:val="21"/>
      <w:szCs w:val="24"/>
    </w:rPr>
  </w:style>
  <w:style w:type="paragraph" w:customStyle="1" w:styleId="475">
    <w:name w:val="標準（日本語）"/>
    <w:basedOn w:val="1"/>
    <w:qFormat/>
    <w:uiPriority w:val="0"/>
    <w:pPr>
      <w:overflowPunct w:val="0"/>
      <w:adjustRightInd w:val="0"/>
      <w:spacing w:afterLines="50" w:line="240" w:lineRule="auto"/>
      <w:ind w:firstLine="0" w:firstLineChars="0"/>
    </w:pPr>
    <w:rPr>
      <w:rFonts w:ascii="Times New Roman" w:hAnsi="Times New Roman" w:eastAsia="MS Mincho"/>
      <w:snapToGrid w:val="0"/>
      <w:color w:val="auto"/>
      <w:kern w:val="0"/>
      <w:szCs w:val="28"/>
      <w:lang w:eastAsia="ja-JP"/>
    </w:rPr>
  </w:style>
  <w:style w:type="paragraph" w:customStyle="1" w:styleId="476">
    <w:name w:val="Char Char Char Char Char Char Char Char Char Char Char Char Char Char Char Char"/>
    <w:basedOn w:val="1"/>
    <w:next w:val="1"/>
    <w:qFormat/>
    <w:uiPriority w:val="0"/>
    <w:pPr>
      <w:keepNext/>
      <w:keepLines/>
      <w:widowControl/>
      <w:adjustRightInd w:val="0"/>
      <w:spacing w:before="40" w:after="40"/>
      <w:ind w:firstLine="482"/>
      <w:textAlignment w:val="baseline"/>
    </w:pPr>
    <w:rPr>
      <w:rFonts w:ascii="Times New Roman" w:hAnsi="Times New Roman" w:cs="宋体"/>
      <w:b/>
      <w:color w:val="auto"/>
      <w:kern w:val="0"/>
      <w:szCs w:val="28"/>
    </w:rPr>
  </w:style>
  <w:style w:type="paragraph" w:customStyle="1" w:styleId="477">
    <w:name w:val="Char Char Char Char Char Char Char Char Char Char Char"/>
    <w:qFormat/>
    <w:uiPriority w:val="0"/>
    <w:pPr>
      <w:widowControl w:val="0"/>
      <w:spacing w:line="300" w:lineRule="auto"/>
      <w:ind w:firstLine="480" w:firstLineChars="200"/>
      <w:jc w:val="both"/>
    </w:pPr>
    <w:rPr>
      <w:rFonts w:ascii="Times New Roman" w:hAnsi="Times New Roman" w:eastAsia="宋体" w:cs="Times New Roman"/>
      <w:lang w:val="en-US" w:eastAsia="zh-CN" w:bidi="ar-SA"/>
    </w:rPr>
  </w:style>
  <w:style w:type="paragraph" w:customStyle="1" w:styleId="478">
    <w:name w:val="7表格(治)"/>
    <w:qFormat/>
    <w:uiPriority w:val="0"/>
    <w:pPr>
      <w:spacing w:line="360" w:lineRule="auto"/>
      <w:jc w:val="center"/>
    </w:pPr>
    <w:rPr>
      <w:rFonts w:ascii="Times New Roman" w:hAnsi="Times New Roman" w:eastAsia="楷体_GB2312" w:cs="Times New Roman"/>
      <w:sz w:val="21"/>
      <w:lang w:val="en-US" w:eastAsia="zh-CN" w:bidi="ar-SA"/>
    </w:rPr>
  </w:style>
  <w:style w:type="paragraph" w:customStyle="1" w:styleId="479">
    <w:name w:val="示例"/>
    <w:next w:val="433"/>
    <w:qFormat/>
    <w:uiPriority w:val="0"/>
    <w:pPr>
      <w:tabs>
        <w:tab w:val="left" w:pos="816"/>
      </w:tabs>
      <w:spacing w:line="360" w:lineRule="auto"/>
      <w:ind w:left="840" w:firstLine="419" w:firstLineChars="233"/>
      <w:jc w:val="both"/>
    </w:pPr>
    <w:rPr>
      <w:rFonts w:ascii="宋体" w:hAnsi="Times New Roman" w:eastAsia="宋体" w:cs="Times New Roman"/>
      <w:sz w:val="18"/>
      <w:lang w:val="en-US" w:eastAsia="zh-CN" w:bidi="ar-SA"/>
    </w:rPr>
  </w:style>
  <w:style w:type="paragraph" w:customStyle="1" w:styleId="480">
    <w:name w:val="7"/>
    <w:basedOn w:val="1"/>
    <w:next w:val="42"/>
    <w:qFormat/>
    <w:uiPriority w:val="0"/>
    <w:pPr>
      <w:spacing w:line="240" w:lineRule="auto"/>
      <w:ind w:firstLine="0" w:firstLineChars="0"/>
    </w:pPr>
    <w:rPr>
      <w:rFonts w:hAnsi="Courier New"/>
      <w:color w:val="auto"/>
      <w:sz w:val="21"/>
      <w:szCs w:val="20"/>
    </w:rPr>
  </w:style>
  <w:style w:type="paragraph" w:customStyle="1" w:styleId="481">
    <w:name w:val="Char Char5 Char Char Char Char"/>
    <w:basedOn w:val="1"/>
    <w:qFormat/>
    <w:uiPriority w:val="0"/>
    <w:pPr>
      <w:widowControl/>
      <w:adjustRightInd w:val="0"/>
      <w:spacing w:line="240" w:lineRule="exact"/>
      <w:ind w:firstLine="0" w:firstLineChars="0"/>
      <w:jc w:val="left"/>
      <w:textAlignment w:val="baseline"/>
    </w:pPr>
    <w:rPr>
      <w:rFonts w:ascii="Tahoma" w:hAnsi="Tahoma"/>
      <w:color w:val="auto"/>
      <w:sz w:val="21"/>
      <w:szCs w:val="24"/>
    </w:rPr>
  </w:style>
  <w:style w:type="paragraph" w:customStyle="1" w:styleId="482">
    <w:name w:val="表格文字2"/>
    <w:basedOn w:val="1"/>
    <w:qFormat/>
    <w:uiPriority w:val="0"/>
    <w:pPr>
      <w:tabs>
        <w:tab w:val="left" w:pos="-265"/>
        <w:tab w:val="left" w:pos="363"/>
        <w:tab w:val="left" w:pos="991"/>
        <w:tab w:val="left" w:pos="2517"/>
      </w:tabs>
      <w:autoSpaceDE w:val="0"/>
      <w:autoSpaceDN w:val="0"/>
      <w:adjustRightInd w:val="0"/>
      <w:spacing w:before="100" w:beforeAutospacing="1" w:after="100" w:afterAutospacing="1" w:line="280" w:lineRule="exact"/>
      <w:ind w:firstLine="0" w:firstLineChars="0"/>
      <w:jc w:val="center"/>
      <w:textAlignment w:val="baseline"/>
    </w:pPr>
    <w:rPr>
      <w:rFonts w:ascii="Times New Roman" w:hAnsi="Times New Roman"/>
      <w:bCs/>
      <w:color w:val="auto"/>
      <w:sz w:val="21"/>
      <w:szCs w:val="24"/>
    </w:rPr>
  </w:style>
  <w:style w:type="paragraph" w:customStyle="1" w:styleId="483">
    <w:name w:val="ST20_1"/>
    <w:basedOn w:val="1"/>
    <w:qFormat/>
    <w:uiPriority w:val="0"/>
    <w:pPr>
      <w:adjustRightInd w:val="0"/>
      <w:spacing w:line="240" w:lineRule="auto"/>
      <w:ind w:firstLine="0" w:firstLineChars="0"/>
      <w:jc w:val="center"/>
      <w:textAlignment w:val="baseline"/>
    </w:pPr>
    <w:rPr>
      <w:rFonts w:hAnsi="Times New Roman"/>
      <w:color w:val="auto"/>
      <w:kern w:val="0"/>
      <w:sz w:val="21"/>
      <w:szCs w:val="20"/>
    </w:rPr>
  </w:style>
  <w:style w:type="paragraph" w:customStyle="1" w:styleId="484">
    <w:name w:val="环正文"/>
    <w:basedOn w:val="1"/>
    <w:qFormat/>
    <w:uiPriority w:val="0"/>
    <w:pPr>
      <w:widowControl/>
      <w:suppressAutoHyphens/>
      <w:ind w:firstLine="480"/>
      <w:textAlignment w:val="baseline"/>
    </w:pPr>
    <w:rPr>
      <w:color w:val="auto"/>
      <w:szCs w:val="24"/>
    </w:rPr>
  </w:style>
  <w:style w:type="paragraph" w:customStyle="1" w:styleId="485">
    <w:name w:val="项目编号文字"/>
    <w:basedOn w:val="1"/>
    <w:next w:val="19"/>
    <w:qFormat/>
    <w:uiPriority w:val="0"/>
    <w:pPr>
      <w:spacing w:before="120" w:after="120"/>
      <w:ind w:left="1077" w:firstLine="0" w:firstLineChars="0"/>
    </w:pPr>
    <w:rPr>
      <w:rFonts w:ascii="Times New Roman" w:hAnsi="Times New Roman"/>
      <w:color w:val="auto"/>
      <w:szCs w:val="20"/>
    </w:rPr>
  </w:style>
  <w:style w:type="paragraph" w:customStyle="1" w:styleId="486">
    <w:name w:val="前言、引言标题"/>
    <w:next w:val="1"/>
    <w:qFormat/>
    <w:uiPriority w:val="0"/>
    <w:pPr>
      <w:shd w:val="clear" w:color="FFFFFF" w:fill="FFFFFF"/>
      <w:tabs>
        <w:tab w:val="left" w:pos="903"/>
      </w:tabs>
      <w:spacing w:before="640" w:after="560" w:line="360" w:lineRule="auto"/>
      <w:ind w:left="903" w:hanging="315"/>
      <w:jc w:val="center"/>
      <w:outlineLvl w:val="0"/>
    </w:pPr>
    <w:rPr>
      <w:rFonts w:ascii="黑体" w:hAnsi="Times New Roman" w:eastAsia="黑体" w:cs="Times New Roman"/>
      <w:sz w:val="32"/>
      <w:lang w:val="en-US" w:eastAsia="zh-CN" w:bidi="ar-SA"/>
    </w:rPr>
  </w:style>
  <w:style w:type="paragraph" w:customStyle="1" w:styleId="487">
    <w:name w:val="样式 标题 2 + Times New Roman 非加粗 段前: 0 磅 段后: 0 磅 行距: 固定值 26 磅"/>
    <w:basedOn w:val="3"/>
    <w:qFormat/>
    <w:uiPriority w:val="0"/>
    <w:pPr>
      <w:pBdr>
        <w:bottom w:val="single" w:color="auto" w:sz="12" w:space="1"/>
      </w:pBdr>
      <w:spacing w:beforeLines="0" w:line="520" w:lineRule="exact"/>
      <w:ind w:left="0" w:firstLine="0"/>
    </w:pPr>
    <w:rPr>
      <w:rFonts w:hAnsi="宋体" w:eastAsia="仿宋_GB2312"/>
      <w:szCs w:val="20"/>
    </w:rPr>
  </w:style>
  <w:style w:type="paragraph" w:customStyle="1" w:styleId="488">
    <w:name w:val="标题04"/>
    <w:basedOn w:val="5"/>
    <w:next w:val="1"/>
    <w:qFormat/>
    <w:uiPriority w:val="0"/>
    <w:pPr>
      <w:spacing w:before="320" w:after="280" w:line="400" w:lineRule="exact"/>
      <w:jc w:val="both"/>
    </w:pPr>
    <w:rPr>
      <w:rFonts w:ascii="Arial" w:eastAsia="黑体"/>
      <w:b/>
      <w:color w:val="auto"/>
      <w:sz w:val="28"/>
    </w:rPr>
  </w:style>
  <w:style w:type="paragraph" w:customStyle="1" w:styleId="489">
    <w:name w:val="文章表头文字"/>
    <w:basedOn w:val="1"/>
    <w:qFormat/>
    <w:uiPriority w:val="0"/>
    <w:pPr>
      <w:spacing w:beforeLines="50" w:line="520" w:lineRule="exact"/>
      <w:ind w:firstLine="0" w:firstLineChars="0"/>
      <w:jc w:val="center"/>
    </w:pPr>
    <w:rPr>
      <w:rFonts w:ascii="Arial" w:hAnsi="Arial" w:eastAsia="黑体"/>
      <w:color w:val="auto"/>
      <w:szCs w:val="24"/>
    </w:rPr>
  </w:style>
  <w:style w:type="paragraph" w:customStyle="1" w:styleId="490">
    <w:name w:val="表格名称"/>
    <w:basedOn w:val="1"/>
    <w:qFormat/>
    <w:uiPriority w:val="0"/>
    <w:pPr>
      <w:keepNext/>
      <w:keepLines/>
      <w:tabs>
        <w:tab w:val="left" w:pos="720"/>
      </w:tabs>
      <w:spacing w:beforeLines="20" w:afterLines="20" w:line="240" w:lineRule="auto"/>
      <w:ind w:firstLine="0" w:firstLineChars="0"/>
      <w:jc w:val="center"/>
    </w:pPr>
    <w:rPr>
      <w:rFonts w:ascii="Times New Roman" w:hAnsi="Times New Roman" w:eastAsia="黑体"/>
      <w:color w:val="auto"/>
      <w:szCs w:val="20"/>
    </w:rPr>
  </w:style>
  <w:style w:type="paragraph" w:customStyle="1" w:styleId="491">
    <w:name w:val="xl54"/>
    <w:basedOn w:val="1"/>
    <w:qFormat/>
    <w:uiPriority w:val="0"/>
    <w:pPr>
      <w:widowControl/>
      <w:spacing w:before="100" w:beforeAutospacing="1" w:after="100" w:afterAutospacing="1" w:line="240" w:lineRule="auto"/>
      <w:ind w:firstLine="0" w:firstLineChars="0"/>
      <w:jc w:val="center"/>
    </w:pPr>
    <w:rPr>
      <w:rFonts w:ascii="Times New Roman" w:hAnsi="Times New Roman" w:eastAsia="Arial Unicode MS"/>
      <w:b/>
      <w:bCs/>
      <w:color w:val="auto"/>
      <w:kern w:val="0"/>
      <w:sz w:val="36"/>
      <w:szCs w:val="36"/>
    </w:rPr>
  </w:style>
  <w:style w:type="paragraph" w:customStyle="1" w:styleId="492">
    <w:name w:val="宏福正文"/>
    <w:basedOn w:val="31"/>
    <w:qFormat/>
    <w:uiPriority w:val="0"/>
    <w:pPr>
      <w:adjustRightInd w:val="0"/>
      <w:snapToGrid w:val="0"/>
      <w:spacing w:before="240" w:after="0" w:line="400" w:lineRule="atLeast"/>
      <w:ind w:firstLine="624"/>
      <w:jc w:val="center"/>
    </w:pPr>
    <w:rPr>
      <w:snapToGrid w:val="0"/>
      <w:spacing w:val="12"/>
      <w:kern w:val="28"/>
      <w:sz w:val="28"/>
      <w:szCs w:val="20"/>
    </w:rPr>
  </w:style>
  <w:style w:type="paragraph" w:customStyle="1" w:styleId="493">
    <w:name w:val="Char1 Char Char Char"/>
    <w:basedOn w:val="1"/>
    <w:qFormat/>
    <w:uiPriority w:val="0"/>
    <w:rPr>
      <w:rFonts w:cs="宋体"/>
      <w:color w:val="auto"/>
      <w:szCs w:val="24"/>
    </w:rPr>
  </w:style>
  <w:style w:type="paragraph" w:customStyle="1" w:styleId="494">
    <w:name w:val="样式 正文1 + 段前: 0.1 行"/>
    <w:basedOn w:val="110"/>
    <w:qFormat/>
    <w:uiPriority w:val="0"/>
    <w:pPr>
      <w:widowControl w:val="0"/>
      <w:snapToGrid w:val="0"/>
      <w:spacing w:beforeLines="10" w:line="440" w:lineRule="atLeast"/>
      <w:ind w:left="0" w:firstLine="567" w:firstLineChars="218"/>
      <w:jc w:val="both"/>
    </w:pPr>
    <w:rPr>
      <w:rFonts w:ascii="Times New Roman" w:hAnsi="Times New Roman" w:cs="Times New Roman"/>
      <w:snapToGrid/>
      <w:color w:val="auto"/>
      <w:kern w:val="2"/>
      <w:sz w:val="26"/>
      <w:szCs w:val="20"/>
    </w:rPr>
  </w:style>
  <w:style w:type="paragraph" w:customStyle="1" w:styleId="495">
    <w:name w:val="Char Char Char Char Char Char1"/>
    <w:basedOn w:val="1"/>
    <w:qFormat/>
    <w:uiPriority w:val="0"/>
    <w:pPr>
      <w:spacing w:line="240" w:lineRule="auto"/>
      <w:ind w:firstLine="0" w:firstLineChars="0"/>
    </w:pPr>
    <w:rPr>
      <w:rFonts w:ascii="Times New Roman" w:hAnsi="Times New Roman"/>
      <w:color w:val="auto"/>
      <w:szCs w:val="24"/>
    </w:rPr>
  </w:style>
  <w:style w:type="paragraph" w:customStyle="1" w:styleId="496">
    <w:name w:val="xl35"/>
    <w:basedOn w:val="1"/>
    <w:qFormat/>
    <w:uiPriority w:val="0"/>
    <w:pPr>
      <w:widowControl/>
      <w:spacing w:before="100" w:beforeAutospacing="1" w:after="100" w:afterAutospacing="1" w:line="240" w:lineRule="auto"/>
      <w:ind w:firstLine="0" w:firstLineChars="0"/>
      <w:jc w:val="center"/>
    </w:pPr>
    <w:rPr>
      <w:rFonts w:ascii="Times New Roman" w:hAnsi="Times New Roman" w:eastAsia="Arial Unicode MS"/>
      <w:b/>
      <w:bCs/>
      <w:color w:val="auto"/>
      <w:kern w:val="0"/>
      <w:sz w:val="20"/>
      <w:szCs w:val="20"/>
    </w:rPr>
  </w:style>
  <w:style w:type="paragraph" w:customStyle="1" w:styleId="497">
    <w:name w:val="五级条标题"/>
    <w:basedOn w:val="498"/>
    <w:next w:val="1"/>
    <w:qFormat/>
    <w:uiPriority w:val="0"/>
    <w:pPr>
      <w:tabs>
        <w:tab w:val="left" w:pos="360"/>
        <w:tab w:val="left" w:pos="903"/>
      </w:tabs>
      <w:ind w:left="44"/>
      <w:outlineLvl w:val="6"/>
    </w:pPr>
  </w:style>
  <w:style w:type="paragraph" w:customStyle="1" w:styleId="498">
    <w:name w:val="四级条标题"/>
    <w:basedOn w:val="499"/>
    <w:next w:val="1"/>
    <w:qFormat/>
    <w:uiPriority w:val="0"/>
    <w:pPr>
      <w:tabs>
        <w:tab w:val="left" w:pos="360"/>
        <w:tab w:val="left" w:pos="903"/>
      </w:tabs>
      <w:outlineLvl w:val="5"/>
    </w:pPr>
  </w:style>
  <w:style w:type="paragraph" w:customStyle="1" w:styleId="499">
    <w:name w:val="三级条标题"/>
    <w:basedOn w:val="500"/>
    <w:next w:val="1"/>
    <w:qFormat/>
    <w:uiPriority w:val="0"/>
    <w:pPr>
      <w:tabs>
        <w:tab w:val="left" w:pos="360"/>
        <w:tab w:val="left" w:pos="903"/>
      </w:tabs>
      <w:outlineLvl w:val="4"/>
    </w:pPr>
  </w:style>
  <w:style w:type="paragraph" w:customStyle="1" w:styleId="500">
    <w:name w:val="二级条标题"/>
    <w:basedOn w:val="501"/>
    <w:next w:val="1"/>
    <w:qFormat/>
    <w:uiPriority w:val="0"/>
    <w:pPr>
      <w:tabs>
        <w:tab w:val="left" w:pos="360"/>
        <w:tab w:val="left" w:pos="903"/>
      </w:tabs>
      <w:outlineLvl w:val="3"/>
    </w:pPr>
  </w:style>
  <w:style w:type="paragraph" w:customStyle="1" w:styleId="501">
    <w:name w:val="一级条标题"/>
    <w:basedOn w:val="502"/>
    <w:next w:val="1"/>
    <w:qFormat/>
    <w:uiPriority w:val="0"/>
    <w:pPr>
      <w:tabs>
        <w:tab w:val="left" w:pos="360"/>
        <w:tab w:val="left" w:pos="903"/>
      </w:tabs>
      <w:spacing w:before="0" w:after="0"/>
      <w:ind w:left="0" w:firstLine="0"/>
      <w:outlineLvl w:val="2"/>
    </w:pPr>
  </w:style>
  <w:style w:type="paragraph" w:customStyle="1" w:styleId="502">
    <w:name w:val="章标题"/>
    <w:next w:val="1"/>
    <w:qFormat/>
    <w:uiPriority w:val="0"/>
    <w:pPr>
      <w:tabs>
        <w:tab w:val="left" w:pos="903"/>
      </w:tabs>
      <w:spacing w:before="50" w:after="50" w:line="360" w:lineRule="auto"/>
      <w:ind w:left="903" w:hanging="315"/>
      <w:jc w:val="both"/>
      <w:outlineLvl w:val="1"/>
    </w:pPr>
    <w:rPr>
      <w:rFonts w:ascii="黑体" w:hAnsi="Times New Roman" w:eastAsia="黑体" w:cs="Times New Roman"/>
      <w:sz w:val="21"/>
      <w:lang w:val="en-US" w:eastAsia="zh-CN" w:bidi="ar-SA"/>
    </w:rPr>
  </w:style>
  <w:style w:type="paragraph" w:customStyle="1" w:styleId="503">
    <w:name w:val="样式 四号 首行缩进:  2 字符"/>
    <w:basedOn w:val="1"/>
    <w:qFormat/>
    <w:uiPriority w:val="0"/>
    <w:pPr>
      <w:spacing w:line="480" w:lineRule="atLeast"/>
    </w:pPr>
    <w:rPr>
      <w:rFonts w:ascii="Times New Roman" w:hAnsi="Times New Roman"/>
      <w:color w:val="auto"/>
      <w:szCs w:val="24"/>
    </w:rPr>
  </w:style>
  <w:style w:type="paragraph" w:customStyle="1" w:styleId="504">
    <w:name w:val="xl67"/>
    <w:basedOn w:val="1"/>
    <w:qFormat/>
    <w:uiPriority w:val="0"/>
    <w:pPr>
      <w:widowControl/>
      <w:pBdr>
        <w:left w:val="single" w:color="auto" w:sz="4" w:space="0"/>
      </w:pBdr>
      <w:spacing w:before="100" w:beforeAutospacing="1" w:after="100" w:afterAutospacing="1" w:line="240" w:lineRule="auto"/>
      <w:ind w:firstLine="0" w:firstLineChars="0"/>
      <w:jc w:val="center"/>
    </w:pPr>
    <w:rPr>
      <w:rFonts w:hint="eastAsia" w:ascii="仿宋_GB2312" w:eastAsia="仿宋_GB2312"/>
      <w:color w:val="auto"/>
      <w:kern w:val="0"/>
      <w:szCs w:val="24"/>
    </w:rPr>
  </w:style>
  <w:style w:type="paragraph" w:customStyle="1" w:styleId="505">
    <w:name w:val="Char Char Char Char Char Char Char Char Char2 Char Char Char Char"/>
    <w:basedOn w:val="1"/>
    <w:qFormat/>
    <w:uiPriority w:val="0"/>
    <w:pPr>
      <w:spacing w:line="240" w:lineRule="auto"/>
      <w:ind w:firstLine="0" w:firstLineChars="0"/>
    </w:pPr>
    <w:rPr>
      <w:rFonts w:ascii="Tahoma" w:hAnsi="Tahoma"/>
      <w:color w:val="auto"/>
      <w:szCs w:val="24"/>
    </w:rPr>
  </w:style>
  <w:style w:type="paragraph" w:customStyle="1" w:styleId="506">
    <w:name w:val="2.2.1"/>
    <w:basedOn w:val="5"/>
    <w:qFormat/>
    <w:uiPriority w:val="0"/>
    <w:pPr>
      <w:tabs>
        <w:tab w:val="left" w:pos="0"/>
      </w:tabs>
    </w:pPr>
  </w:style>
  <w:style w:type="paragraph" w:customStyle="1" w:styleId="507">
    <w:name w:val="Char1"/>
    <w:basedOn w:val="1"/>
    <w:qFormat/>
    <w:uiPriority w:val="0"/>
    <w:pPr>
      <w:spacing w:line="240" w:lineRule="auto"/>
      <w:ind w:firstLine="0" w:firstLineChars="0"/>
    </w:pPr>
    <w:rPr>
      <w:rFonts w:ascii="Times New Roman" w:hAnsi="Times New Roman"/>
      <w:color w:val="auto"/>
      <w:szCs w:val="24"/>
    </w:rPr>
  </w:style>
  <w:style w:type="paragraph" w:customStyle="1" w:styleId="508">
    <w:name w:val="标题21"/>
    <w:basedOn w:val="2"/>
    <w:qFormat/>
    <w:uiPriority w:val="0"/>
    <w:pPr>
      <w:spacing w:before="340" w:after="330" w:line="576" w:lineRule="auto"/>
      <w:ind w:left="0" w:firstLine="0"/>
      <w:jc w:val="both"/>
    </w:pPr>
    <w:rPr>
      <w:rFonts w:ascii="Times New Roman" w:hAnsi="Times New Roman"/>
      <w:color w:val="auto"/>
      <w:kern w:val="44"/>
      <w:sz w:val="28"/>
    </w:rPr>
  </w:style>
  <w:style w:type="paragraph" w:customStyle="1" w:styleId="509">
    <w:name w:val="样式 标题 4 + (西文) Times New Roman (中文) 宋体 小四"/>
    <w:basedOn w:val="1"/>
    <w:qFormat/>
    <w:uiPriority w:val="0"/>
    <w:pPr>
      <w:spacing w:line="240" w:lineRule="auto"/>
      <w:ind w:firstLine="0" w:firstLineChars="0"/>
    </w:pPr>
    <w:rPr>
      <w:rFonts w:ascii="Times New Roman" w:hAnsi="Times New Roman"/>
      <w:color w:val="auto"/>
      <w:sz w:val="21"/>
      <w:szCs w:val="24"/>
    </w:rPr>
  </w:style>
  <w:style w:type="paragraph" w:customStyle="1" w:styleId="510">
    <w:name w:val="表格样式1"/>
    <w:qFormat/>
    <w:uiPriority w:val="0"/>
    <w:pPr>
      <w:tabs>
        <w:tab w:val="center" w:pos="546"/>
      </w:tabs>
      <w:spacing w:line="440" w:lineRule="exact"/>
      <w:jc w:val="center"/>
    </w:pPr>
    <w:rPr>
      <w:rFonts w:ascii="Times New Roman" w:hAnsi="Times New Roman" w:eastAsia="仿宋_GB2312" w:cs="Times New Roman"/>
      <w:iCs/>
      <w:sz w:val="21"/>
      <w:lang w:val="en-US" w:eastAsia="zh-CN" w:bidi="ar-SA"/>
    </w:rPr>
  </w:style>
  <w:style w:type="paragraph" w:customStyle="1" w:styleId="511">
    <w:name w:val="xl27"/>
    <w:basedOn w:val="1"/>
    <w:qFormat/>
    <w:uiPriority w:val="0"/>
    <w:pPr>
      <w:widowControl/>
      <w:pBdr>
        <w:bottom w:val="single" w:color="auto" w:sz="12" w:space="0"/>
      </w:pBdr>
      <w:spacing w:before="100" w:after="100" w:line="240" w:lineRule="auto"/>
      <w:ind w:firstLine="0" w:firstLineChars="0"/>
      <w:jc w:val="center"/>
    </w:pPr>
    <w:rPr>
      <w:color w:val="auto"/>
      <w:kern w:val="0"/>
      <w:sz w:val="21"/>
      <w:szCs w:val="20"/>
    </w:rPr>
  </w:style>
  <w:style w:type="paragraph" w:customStyle="1" w:styleId="512">
    <w:name w:val="单元格"/>
    <w:basedOn w:val="1"/>
    <w:qFormat/>
    <w:uiPriority w:val="0"/>
    <w:pPr>
      <w:spacing w:line="240" w:lineRule="auto"/>
      <w:ind w:firstLine="0" w:firstLineChars="0"/>
      <w:jc w:val="center"/>
    </w:pPr>
    <w:rPr>
      <w:rFonts w:ascii="楷体_GB2312" w:hAnsi="Times New Roman" w:eastAsia="楷体_GB2312"/>
      <w:color w:val="auto"/>
      <w:sz w:val="21"/>
      <w:szCs w:val="20"/>
    </w:rPr>
  </w:style>
  <w:style w:type="paragraph" w:customStyle="1" w:styleId="513">
    <w:name w:val="Char1 Char Char Char Char Char Char Char Char Char Char Char Char"/>
    <w:basedOn w:val="1"/>
    <w:next w:val="1"/>
    <w:qFormat/>
    <w:uiPriority w:val="0"/>
    <w:pPr>
      <w:keepNext/>
      <w:keepLines/>
      <w:widowControl/>
      <w:adjustRightInd w:val="0"/>
      <w:spacing w:before="40" w:after="40"/>
      <w:textAlignment w:val="baseline"/>
    </w:pPr>
    <w:rPr>
      <w:rFonts w:ascii="Times New Roman" w:hAnsi="Times New Roman" w:cs="宋体"/>
      <w:color w:val="auto"/>
      <w:kern w:val="0"/>
      <w:szCs w:val="28"/>
    </w:rPr>
  </w:style>
  <w:style w:type="paragraph" w:customStyle="1" w:styleId="514">
    <w:name w:val="2 Char Char Char Char Char Char Char Char Char Char"/>
    <w:basedOn w:val="1"/>
    <w:next w:val="1"/>
    <w:qFormat/>
    <w:uiPriority w:val="0"/>
    <w:pPr>
      <w:pBdr>
        <w:right w:val="single" w:color="auto" w:sz="12" w:space="4"/>
      </w:pBdr>
    </w:pPr>
    <w:rPr>
      <w:rFonts w:ascii="Times New Roman" w:hAnsi="Times New Roman"/>
      <w:color w:val="auto"/>
      <w:sz w:val="21"/>
      <w:szCs w:val="20"/>
    </w:rPr>
  </w:style>
  <w:style w:type="paragraph" w:customStyle="1" w:styleId="515">
    <w:name w:val="正文图标题"/>
    <w:next w:val="433"/>
    <w:qFormat/>
    <w:uiPriority w:val="0"/>
    <w:pPr>
      <w:spacing w:line="360" w:lineRule="auto"/>
      <w:ind w:left="832" w:hanging="420"/>
      <w:jc w:val="center"/>
    </w:pPr>
    <w:rPr>
      <w:rFonts w:ascii="黑体" w:hAnsi="Times New Roman" w:eastAsia="黑体" w:cs="Times New Roman"/>
      <w:sz w:val="21"/>
      <w:lang w:val="en-US" w:eastAsia="zh-CN" w:bidi="ar-SA"/>
    </w:rPr>
  </w:style>
  <w:style w:type="paragraph" w:customStyle="1" w:styleId="516">
    <w:name w:val="T表格"/>
    <w:qFormat/>
    <w:uiPriority w:val="0"/>
    <w:pPr>
      <w:spacing w:line="360" w:lineRule="auto"/>
      <w:jc w:val="center"/>
    </w:pPr>
    <w:rPr>
      <w:rFonts w:ascii="Times New Roman" w:hAnsi="Times New Roman" w:eastAsia="宋体" w:cs="Times New Roman"/>
      <w:sz w:val="21"/>
      <w:lang w:val="en-US" w:eastAsia="zh-CN" w:bidi="ar-SA"/>
    </w:rPr>
  </w:style>
  <w:style w:type="paragraph" w:customStyle="1" w:styleId="517">
    <w:name w:val="font9"/>
    <w:basedOn w:val="1"/>
    <w:qFormat/>
    <w:uiPriority w:val="0"/>
    <w:pPr>
      <w:widowControl/>
      <w:spacing w:before="100" w:beforeAutospacing="1" w:after="100" w:afterAutospacing="1" w:line="240" w:lineRule="auto"/>
      <w:ind w:firstLine="0" w:firstLineChars="0"/>
      <w:jc w:val="left"/>
    </w:pPr>
    <w:rPr>
      <w:rFonts w:ascii="Times New Roman" w:hAnsi="Times New Roman" w:eastAsia="Arial Unicode MS"/>
      <w:b/>
      <w:bCs/>
      <w:i/>
      <w:iCs/>
      <w:color w:val="auto"/>
      <w:kern w:val="0"/>
      <w:sz w:val="20"/>
      <w:szCs w:val="20"/>
    </w:rPr>
  </w:style>
  <w:style w:type="paragraph" w:customStyle="1" w:styleId="518">
    <w:name w:val="君邦正文"/>
    <w:qFormat/>
    <w:uiPriority w:val="0"/>
    <w:pPr>
      <w:spacing w:after="60" w:line="360" w:lineRule="auto"/>
      <w:ind w:firstLine="200" w:firstLineChars="200"/>
      <w:jc w:val="both"/>
    </w:pPr>
    <w:rPr>
      <w:rFonts w:ascii="Times New Roman" w:hAnsi="Times New Roman" w:eastAsia="宋体" w:cs="Times New Roman"/>
      <w:bCs/>
      <w:snapToGrid w:val="0"/>
      <w:sz w:val="24"/>
      <w:lang w:val="en-US" w:eastAsia="zh-CN" w:bidi="ar-SA"/>
    </w:rPr>
  </w:style>
  <w:style w:type="paragraph" w:customStyle="1" w:styleId="519">
    <w:name w:val="小四表文左齐"/>
    <w:basedOn w:val="1"/>
    <w:qFormat/>
    <w:uiPriority w:val="0"/>
    <w:pPr>
      <w:spacing w:line="240" w:lineRule="auto"/>
      <w:ind w:firstLine="0" w:firstLineChars="0"/>
      <w:jc w:val="center"/>
    </w:pPr>
    <w:rPr>
      <w:rFonts w:ascii="仿宋_GB2312" w:eastAsia="仿宋_GB2312"/>
      <w:color w:val="auto"/>
      <w:sz w:val="21"/>
      <w:szCs w:val="24"/>
    </w:rPr>
  </w:style>
  <w:style w:type="paragraph" w:customStyle="1" w:styleId="520">
    <w:name w:val="表头名称"/>
    <w:basedOn w:val="1"/>
    <w:qFormat/>
    <w:uiPriority w:val="0"/>
    <w:pPr>
      <w:autoSpaceDE w:val="0"/>
      <w:autoSpaceDN w:val="0"/>
      <w:adjustRightInd w:val="0"/>
      <w:ind w:firstLine="0" w:firstLineChars="0"/>
      <w:jc w:val="center"/>
    </w:pPr>
    <w:rPr>
      <w:rFonts w:ascii="Times New Roman"/>
      <w:color w:val="auto"/>
      <w:kern w:val="0"/>
      <w:szCs w:val="20"/>
    </w:rPr>
  </w:style>
  <w:style w:type="paragraph" w:customStyle="1" w:styleId="521">
    <w:name w:val="列项——"/>
    <w:qFormat/>
    <w:uiPriority w:val="0"/>
    <w:pPr>
      <w:widowControl w:val="0"/>
      <w:tabs>
        <w:tab w:val="left" w:pos="425"/>
        <w:tab w:val="left" w:pos="854"/>
      </w:tabs>
      <w:spacing w:line="360" w:lineRule="auto"/>
      <w:ind w:left="425" w:leftChars="200" w:hanging="425" w:hangingChars="200"/>
      <w:jc w:val="both"/>
    </w:pPr>
    <w:rPr>
      <w:rFonts w:ascii="宋体" w:hAnsi="Times New Roman" w:eastAsia="宋体" w:cs="Times New Roman"/>
      <w:sz w:val="21"/>
      <w:lang w:val="en-US" w:eastAsia="zh-CN" w:bidi="ar-SA"/>
    </w:rPr>
  </w:style>
  <w:style w:type="paragraph" w:customStyle="1" w:styleId="522">
    <w:name w:val="首行缩进"/>
    <w:basedOn w:val="1"/>
    <w:qFormat/>
    <w:uiPriority w:val="0"/>
    <w:pPr>
      <w:spacing w:line="540" w:lineRule="exact"/>
      <w:ind w:firstLine="0" w:firstLineChars="0"/>
    </w:pPr>
    <w:rPr>
      <w:rFonts w:ascii="Times New Roman" w:hAnsi="Times New Roman"/>
      <w:color w:val="auto"/>
      <w:sz w:val="28"/>
      <w:szCs w:val="24"/>
    </w:rPr>
  </w:style>
  <w:style w:type="paragraph" w:customStyle="1" w:styleId="523">
    <w:name w:val="textfont"/>
    <w:basedOn w:val="1"/>
    <w:qFormat/>
    <w:uiPriority w:val="0"/>
    <w:pPr>
      <w:widowControl/>
      <w:spacing w:before="100" w:beforeAutospacing="1" w:after="100" w:afterAutospacing="1" w:line="240" w:lineRule="auto"/>
      <w:ind w:firstLine="0" w:firstLineChars="0"/>
      <w:jc w:val="left"/>
    </w:pPr>
    <w:rPr>
      <w:color w:val="auto"/>
      <w:kern w:val="0"/>
      <w:szCs w:val="24"/>
    </w:rPr>
  </w:style>
  <w:style w:type="paragraph" w:customStyle="1" w:styleId="524">
    <w:name w:val="表文"/>
    <w:basedOn w:val="1"/>
    <w:qFormat/>
    <w:uiPriority w:val="0"/>
    <w:pPr>
      <w:overflowPunct w:val="0"/>
      <w:spacing w:line="240" w:lineRule="auto"/>
      <w:ind w:firstLine="0" w:firstLineChars="0"/>
      <w:jc w:val="center"/>
      <w:textAlignment w:val="baseline"/>
    </w:pPr>
    <w:rPr>
      <w:rFonts w:hAnsi="Courier New"/>
      <w:color w:val="auto"/>
      <w:sz w:val="26"/>
      <w:szCs w:val="20"/>
    </w:rPr>
  </w:style>
  <w:style w:type="paragraph" w:customStyle="1" w:styleId="525">
    <w:name w:val="样式5"/>
    <w:basedOn w:val="4"/>
    <w:qFormat/>
    <w:uiPriority w:val="0"/>
    <w:pPr>
      <w:tabs>
        <w:tab w:val="left" w:pos="1589"/>
        <w:tab w:val="clear" w:pos="0"/>
      </w:tabs>
      <w:adjustRightInd w:val="0"/>
      <w:snapToGrid w:val="0"/>
      <w:spacing w:beforeLines="0" w:after="260" w:line="312" w:lineRule="auto"/>
      <w:ind w:left="1589" w:hanging="1021"/>
    </w:pPr>
    <w:rPr>
      <w:rFonts w:ascii="仿宋_GB2312" w:hAnsi="Times New Roman" w:eastAsia="仿宋_GB2312"/>
      <w:snapToGrid w:val="0"/>
      <w:color w:val="FF0000"/>
    </w:rPr>
  </w:style>
  <w:style w:type="paragraph" w:customStyle="1" w:styleId="526">
    <w:name w:val="5文章(治)"/>
    <w:basedOn w:val="1"/>
    <w:qFormat/>
    <w:uiPriority w:val="0"/>
    <w:pPr>
      <w:ind w:firstLine="480"/>
      <w:jc w:val="left"/>
    </w:pPr>
    <w:rPr>
      <w:rFonts w:ascii="Arial" w:hAnsi="Arial" w:cs="Tahoma"/>
      <w:snapToGrid w:val="0"/>
      <w:color w:val="auto"/>
      <w:kern w:val="0"/>
    </w:rPr>
  </w:style>
  <w:style w:type="paragraph" w:customStyle="1" w:styleId="527">
    <w:name w:val="xl33"/>
    <w:basedOn w:val="1"/>
    <w:qFormat/>
    <w:uiPriority w:val="0"/>
    <w:pPr>
      <w:widowControl/>
      <w:spacing w:before="100" w:beforeAutospacing="1" w:after="100" w:afterAutospacing="1" w:line="240" w:lineRule="auto"/>
      <w:ind w:firstLine="0" w:firstLineChars="0"/>
      <w:jc w:val="left"/>
    </w:pPr>
    <w:rPr>
      <w:rFonts w:ascii="Times New Roman" w:hAnsi="Times New Roman" w:eastAsia="Arial Unicode MS"/>
      <w:b/>
      <w:bCs/>
      <w:color w:val="auto"/>
      <w:kern w:val="0"/>
      <w:sz w:val="20"/>
      <w:szCs w:val="20"/>
    </w:rPr>
  </w:style>
  <w:style w:type="paragraph" w:customStyle="1" w:styleId="528">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529">
    <w:name w:val="文字"/>
    <w:basedOn w:val="1"/>
    <w:qFormat/>
    <w:uiPriority w:val="0"/>
    <w:pPr>
      <w:ind w:firstLine="482" w:firstLineChars="0"/>
    </w:pPr>
    <w:rPr>
      <w:rFonts w:ascii="Arial" w:hAnsi="Arial"/>
      <w:snapToGrid w:val="0"/>
      <w:color w:val="auto"/>
      <w:kern w:val="28"/>
      <w:szCs w:val="20"/>
    </w:rPr>
  </w:style>
  <w:style w:type="paragraph" w:customStyle="1" w:styleId="530">
    <w:name w:val="IDC A-Head (2nd Line)"/>
    <w:basedOn w:val="1"/>
    <w:next w:val="1"/>
    <w:qFormat/>
    <w:uiPriority w:val="0"/>
    <w:pPr>
      <w:widowControl/>
      <w:spacing w:line="240" w:lineRule="auto"/>
      <w:ind w:firstLine="0" w:firstLineChars="0"/>
      <w:jc w:val="center"/>
    </w:pPr>
    <w:rPr>
      <w:rFonts w:ascii="Times New Roman" w:hAnsi="Times New Roman"/>
      <w:caps/>
      <w:color w:val="auto"/>
      <w:kern w:val="0"/>
      <w:szCs w:val="20"/>
    </w:rPr>
  </w:style>
  <w:style w:type="paragraph" w:customStyle="1" w:styleId="531">
    <w:name w:val="缩进"/>
    <w:basedOn w:val="1"/>
    <w:qFormat/>
    <w:uiPriority w:val="0"/>
    <w:pPr>
      <w:autoSpaceDE w:val="0"/>
      <w:autoSpaceDN w:val="0"/>
      <w:adjustRightInd w:val="0"/>
      <w:spacing w:line="400" w:lineRule="atLeast"/>
      <w:ind w:firstLine="425" w:firstLineChars="0"/>
      <w:textAlignment w:val="baseline"/>
    </w:pPr>
    <w:rPr>
      <w:rFonts w:ascii="Times New Roman" w:hAnsi="Times New Roman"/>
      <w:color w:val="auto"/>
      <w:kern w:val="0"/>
      <w:szCs w:val="20"/>
    </w:rPr>
  </w:style>
  <w:style w:type="paragraph" w:customStyle="1" w:styleId="532">
    <w:name w:val="2.2.1.1"/>
    <w:basedOn w:val="1"/>
    <w:qFormat/>
    <w:uiPriority w:val="0"/>
    <w:pPr>
      <w:tabs>
        <w:tab w:val="left" w:pos="0"/>
      </w:tabs>
      <w:ind w:firstLine="0"/>
    </w:pPr>
  </w:style>
  <w:style w:type="paragraph" w:customStyle="1" w:styleId="533">
    <w:name w:val="Char Char1 Char Char Char Char Char Char Char Char Char Char Char Char Char Char Char Char Char Char Char Char Char Char1"/>
    <w:basedOn w:val="1"/>
    <w:qFormat/>
    <w:uiPriority w:val="0"/>
    <w:pPr>
      <w:widowControl/>
      <w:spacing w:after="160" w:line="240" w:lineRule="exact"/>
      <w:ind w:firstLine="0" w:firstLineChars="0"/>
      <w:jc w:val="left"/>
    </w:pPr>
    <w:rPr>
      <w:rFonts w:ascii="Verdana" w:hAnsi="Verdana"/>
      <w:color w:val="auto"/>
      <w:kern w:val="0"/>
      <w:sz w:val="20"/>
      <w:szCs w:val="20"/>
      <w:lang w:eastAsia="en-US"/>
    </w:rPr>
  </w:style>
  <w:style w:type="paragraph" w:customStyle="1" w:styleId="534">
    <w:name w:val="xl34"/>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olor w:val="auto"/>
      <w:kern w:val="0"/>
      <w:szCs w:val="24"/>
    </w:rPr>
  </w:style>
  <w:style w:type="paragraph" w:customStyle="1" w:styleId="535">
    <w:name w:val="小五"/>
    <w:basedOn w:val="1"/>
    <w:qFormat/>
    <w:uiPriority w:val="0"/>
    <w:pPr>
      <w:autoSpaceDE w:val="0"/>
      <w:autoSpaceDN w:val="0"/>
      <w:adjustRightInd w:val="0"/>
      <w:snapToGrid w:val="0"/>
      <w:spacing w:line="240" w:lineRule="auto"/>
      <w:ind w:firstLine="0" w:firstLineChars="0"/>
      <w:jc w:val="center"/>
    </w:pPr>
    <w:rPr>
      <w:color w:val="auto"/>
      <w:kern w:val="0"/>
      <w:sz w:val="18"/>
      <w:szCs w:val="18"/>
    </w:rPr>
  </w:style>
  <w:style w:type="paragraph" w:customStyle="1" w:styleId="536">
    <w:name w:val="Definition Term"/>
    <w:basedOn w:val="1"/>
    <w:next w:val="1"/>
    <w:qFormat/>
    <w:uiPriority w:val="0"/>
    <w:pPr>
      <w:autoSpaceDE w:val="0"/>
      <w:autoSpaceDN w:val="0"/>
      <w:adjustRightInd w:val="0"/>
      <w:spacing w:line="240" w:lineRule="auto"/>
      <w:ind w:firstLine="0" w:firstLineChars="0"/>
      <w:jc w:val="left"/>
    </w:pPr>
    <w:rPr>
      <w:rFonts w:ascii="Times New Roman" w:hAnsi="Times New Roman"/>
      <w:color w:val="auto"/>
      <w:kern w:val="0"/>
      <w:szCs w:val="20"/>
    </w:rPr>
  </w:style>
  <w:style w:type="paragraph" w:customStyle="1" w:styleId="537">
    <w:name w:val="xl22"/>
    <w:basedOn w:val="1"/>
    <w:qFormat/>
    <w:uiPriority w:val="0"/>
    <w:pPr>
      <w:widowControl/>
      <w:spacing w:before="100" w:after="100" w:line="240" w:lineRule="auto"/>
      <w:ind w:firstLine="0" w:firstLineChars="0"/>
      <w:jc w:val="center"/>
      <w:textAlignment w:val="center"/>
    </w:pPr>
    <w:rPr>
      <w:rFonts w:hint="eastAsia" w:ascii="仿宋_GB2312" w:eastAsia="仿宋_GB2312"/>
      <w:color w:val="auto"/>
      <w:kern w:val="0"/>
      <w:szCs w:val="20"/>
    </w:rPr>
  </w:style>
  <w:style w:type="paragraph" w:customStyle="1" w:styleId="538">
    <w:name w:val="章"/>
    <w:basedOn w:val="1"/>
    <w:qFormat/>
    <w:uiPriority w:val="0"/>
    <w:pPr>
      <w:ind w:firstLine="0" w:firstLineChars="0"/>
    </w:pPr>
    <w:rPr>
      <w:rFonts w:ascii="Times New Roman" w:hAnsi="Times New Roman"/>
      <w:color w:val="auto"/>
      <w:sz w:val="21"/>
      <w:szCs w:val="20"/>
    </w:rPr>
  </w:style>
  <w:style w:type="paragraph" w:customStyle="1" w:styleId="539">
    <w:name w:val="Char Char Char"/>
    <w:basedOn w:val="1"/>
    <w:qFormat/>
    <w:uiPriority w:val="0"/>
    <w:pPr>
      <w:spacing w:line="240" w:lineRule="auto"/>
      <w:ind w:firstLine="0" w:firstLineChars="0"/>
    </w:pPr>
    <w:rPr>
      <w:rFonts w:ascii="Times New Roman" w:hAnsi="Times New Roman"/>
      <w:color w:val="auto"/>
      <w:sz w:val="21"/>
      <w:szCs w:val="20"/>
    </w:rPr>
  </w:style>
  <w:style w:type="paragraph" w:customStyle="1" w:styleId="540">
    <w:name w:val="列出段落1"/>
    <w:basedOn w:val="1"/>
    <w:qFormat/>
    <w:uiPriority w:val="34"/>
    <w:pPr>
      <w:ind w:firstLine="420"/>
    </w:pPr>
  </w:style>
  <w:style w:type="paragraph" w:customStyle="1" w:styleId="541">
    <w:name w:val="BGBT"/>
    <w:basedOn w:val="20"/>
    <w:qFormat/>
    <w:uiPriority w:val="0"/>
    <w:pPr>
      <w:jc w:val="center"/>
    </w:pPr>
    <w:rPr>
      <w:rFonts w:ascii="Times New Roman" w:hAnsi="Times New Roman" w:eastAsia="宋体" w:cs="宋体"/>
      <w:b/>
      <w:bCs/>
      <w:sz w:val="24"/>
      <w:szCs w:val="24"/>
    </w:rPr>
  </w:style>
  <w:style w:type="paragraph" w:customStyle="1" w:styleId="542">
    <w:name w:val="Char Char Char Char Char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543">
    <w:name w:val="附录五级条标题"/>
    <w:basedOn w:val="544"/>
    <w:next w:val="433"/>
    <w:qFormat/>
    <w:uiPriority w:val="0"/>
    <w:pPr>
      <w:tabs>
        <w:tab w:val="left" w:pos="360"/>
        <w:tab w:val="left" w:pos="435"/>
        <w:tab w:val="left" w:pos="576"/>
        <w:tab w:val="left" w:pos="864"/>
        <w:tab w:val="left" w:pos="960"/>
        <w:tab w:val="left" w:pos="1068"/>
        <w:tab w:val="left" w:pos="1152"/>
        <w:tab w:val="left" w:pos="1296"/>
        <w:tab w:val="left" w:pos="1440"/>
        <w:tab w:val="left" w:pos="1680"/>
        <w:tab w:val="left" w:pos="2100"/>
        <w:tab w:val="left" w:pos="2520"/>
        <w:tab w:val="left" w:pos="2940"/>
      </w:tabs>
      <w:ind w:left="435" w:hanging="165"/>
      <w:outlineLvl w:val="6"/>
    </w:pPr>
  </w:style>
  <w:style w:type="paragraph" w:customStyle="1" w:styleId="544">
    <w:name w:val="附录四级条标题"/>
    <w:basedOn w:val="545"/>
    <w:next w:val="433"/>
    <w:qFormat/>
    <w:uiPriority w:val="0"/>
    <w:pPr>
      <w:tabs>
        <w:tab w:val="left" w:pos="360"/>
        <w:tab w:val="left" w:pos="576"/>
        <w:tab w:val="left" w:pos="864"/>
        <w:tab w:val="left" w:pos="960"/>
        <w:tab w:val="left" w:pos="1068"/>
        <w:tab w:val="left" w:pos="1152"/>
        <w:tab w:val="left" w:pos="1440"/>
        <w:tab w:val="left" w:pos="1680"/>
        <w:tab w:val="left" w:pos="2100"/>
        <w:tab w:val="left" w:pos="2520"/>
      </w:tabs>
      <w:ind w:left="960" w:hanging="1152"/>
      <w:outlineLvl w:val="5"/>
    </w:pPr>
  </w:style>
  <w:style w:type="paragraph" w:customStyle="1" w:styleId="545">
    <w:name w:val="附录三级条标题"/>
    <w:basedOn w:val="546"/>
    <w:next w:val="433"/>
    <w:qFormat/>
    <w:uiPriority w:val="0"/>
    <w:pPr>
      <w:tabs>
        <w:tab w:val="left" w:pos="360"/>
        <w:tab w:val="left" w:pos="576"/>
        <w:tab w:val="left" w:pos="864"/>
        <w:tab w:val="left" w:pos="1068"/>
        <w:tab w:val="left" w:pos="1440"/>
        <w:tab w:val="left" w:pos="1680"/>
        <w:tab w:val="left" w:pos="2100"/>
      </w:tabs>
      <w:ind w:left="1068" w:hanging="1008"/>
      <w:outlineLvl w:val="4"/>
    </w:pPr>
  </w:style>
  <w:style w:type="paragraph" w:customStyle="1" w:styleId="546">
    <w:name w:val="附录二级条标题"/>
    <w:basedOn w:val="442"/>
    <w:next w:val="433"/>
    <w:qFormat/>
    <w:uiPriority w:val="0"/>
    <w:pPr>
      <w:tabs>
        <w:tab w:val="left" w:pos="360"/>
        <w:tab w:val="left" w:pos="864"/>
        <w:tab w:val="left" w:pos="1680"/>
        <w:tab w:val="clear" w:pos="720"/>
        <w:tab w:val="clear" w:pos="828"/>
        <w:tab w:val="clear" w:pos="1560"/>
      </w:tabs>
      <w:ind w:left="360" w:hanging="864"/>
      <w:outlineLvl w:val="3"/>
    </w:pPr>
  </w:style>
  <w:style w:type="paragraph" w:customStyle="1" w:styleId="547">
    <w:name w:val="2级标题"/>
    <w:basedOn w:val="1"/>
    <w:qFormat/>
    <w:uiPriority w:val="0"/>
    <w:pPr>
      <w:spacing w:before="60" w:line="460" w:lineRule="exact"/>
      <w:ind w:firstLine="0" w:firstLineChars="0"/>
      <w:outlineLvl w:val="1"/>
    </w:pPr>
    <w:rPr>
      <w:rFonts w:ascii="Times New Roman" w:hAnsi="Times New Roman"/>
      <w:b/>
      <w:color w:val="auto"/>
      <w:sz w:val="28"/>
      <w:szCs w:val="24"/>
    </w:rPr>
  </w:style>
  <w:style w:type="paragraph" w:customStyle="1" w:styleId="548">
    <w:name w:val="字元"/>
    <w:basedOn w:val="1"/>
    <w:qFormat/>
    <w:uiPriority w:val="0"/>
    <w:pPr>
      <w:spacing w:line="240" w:lineRule="auto"/>
      <w:ind w:firstLine="0" w:firstLineChars="0"/>
    </w:pPr>
    <w:rPr>
      <w:rFonts w:ascii="Times New Roman" w:hAnsi="Times New Roman"/>
      <w:color w:val="auto"/>
      <w:szCs w:val="24"/>
    </w:rPr>
  </w:style>
  <w:style w:type="paragraph" w:customStyle="1" w:styleId="549">
    <w:name w:val="xl32"/>
    <w:basedOn w:val="1"/>
    <w:qFormat/>
    <w:uiPriority w:val="0"/>
    <w:pPr>
      <w:widowControl/>
      <w:spacing w:before="100" w:beforeAutospacing="1" w:after="100" w:afterAutospacing="1" w:line="240" w:lineRule="auto"/>
      <w:ind w:firstLine="0" w:firstLineChars="0"/>
      <w:jc w:val="left"/>
    </w:pPr>
    <w:rPr>
      <w:rFonts w:ascii="Times New Roman" w:hAnsi="Times New Roman" w:eastAsia="Arial Unicode MS"/>
      <w:i/>
      <w:iCs/>
      <w:color w:val="auto"/>
      <w:kern w:val="0"/>
      <w:sz w:val="20"/>
      <w:szCs w:val="20"/>
    </w:rPr>
  </w:style>
  <w:style w:type="paragraph" w:customStyle="1" w:styleId="550">
    <w:name w:val="3级标题"/>
    <w:basedOn w:val="79"/>
    <w:qFormat/>
    <w:uiPriority w:val="0"/>
    <w:pPr>
      <w:adjustRightInd/>
      <w:snapToGrid/>
      <w:spacing w:before="0" w:after="0" w:line="460" w:lineRule="exact"/>
    </w:pPr>
    <w:rPr>
      <w:rFonts w:ascii="Times New Roman" w:hAnsi="Times New Roman"/>
      <w:sz w:val="24"/>
      <w:szCs w:val="24"/>
    </w:rPr>
  </w:style>
  <w:style w:type="paragraph" w:customStyle="1" w:styleId="551">
    <w:name w:val="样式 楷体_GB2312 居中"/>
    <w:basedOn w:val="1"/>
    <w:qFormat/>
    <w:uiPriority w:val="0"/>
    <w:pPr>
      <w:ind w:firstLine="0" w:firstLineChars="0"/>
      <w:jc w:val="center"/>
    </w:pPr>
    <w:rPr>
      <w:rFonts w:ascii="楷体_GB2312" w:hAnsi="Times New Roman" w:eastAsia="楷体_GB2312"/>
      <w:color w:val="auto"/>
      <w:sz w:val="21"/>
      <w:szCs w:val="20"/>
    </w:rPr>
  </w:style>
  <w:style w:type="paragraph" w:customStyle="1" w:styleId="552">
    <w:name w:val="Char Char Char Char Char Char Char Char Char Char Char Char1 Char Char Char Char"/>
    <w:basedOn w:val="1"/>
    <w:qFormat/>
    <w:uiPriority w:val="0"/>
    <w:rPr>
      <w:rFonts w:cs="宋体"/>
      <w:color w:val="auto"/>
      <w:szCs w:val="24"/>
    </w:rPr>
  </w:style>
  <w:style w:type="paragraph" w:customStyle="1" w:styleId="553">
    <w:name w:val="前言"/>
    <w:basedOn w:val="1"/>
    <w:qFormat/>
    <w:uiPriority w:val="0"/>
    <w:pPr>
      <w:tabs>
        <w:tab w:val="left" w:pos="432"/>
      </w:tabs>
      <w:ind w:left="432" w:hanging="432" w:firstLineChars="0"/>
      <w:jc w:val="center"/>
    </w:pPr>
    <w:rPr>
      <w:rFonts w:hAnsi="Times New Roman"/>
      <w:b/>
      <w:color w:val="auto"/>
      <w:szCs w:val="24"/>
    </w:rPr>
  </w:style>
  <w:style w:type="paragraph" w:customStyle="1" w:styleId="554">
    <w:name w:val="样式 标题 3 + 加粗 行距: 1.5 倍行距"/>
    <w:basedOn w:val="4"/>
    <w:qFormat/>
    <w:uiPriority w:val="0"/>
    <w:pPr>
      <w:keepLines w:val="0"/>
      <w:spacing w:beforeLines="0"/>
      <w:jc w:val="both"/>
    </w:pPr>
    <w:rPr>
      <w:rFonts w:ascii="Times New Roman" w:hAnsi="Times New Roman" w:cs="宋体"/>
      <w:b w:val="0"/>
      <w:color w:val="auto"/>
      <w:sz w:val="24"/>
      <w:szCs w:val="20"/>
    </w:rPr>
  </w:style>
  <w:style w:type="paragraph" w:customStyle="1" w:styleId="555">
    <w:name w:val="样式 样式 首行缩进:  2 字符 + 首行缩进:  2 字符"/>
    <w:basedOn w:val="1"/>
    <w:qFormat/>
    <w:uiPriority w:val="0"/>
    <w:pPr>
      <w:spacing w:line="500" w:lineRule="exact"/>
    </w:pPr>
    <w:rPr>
      <w:rFonts w:ascii="Times New Roman" w:hAnsi="Times New Roman" w:cs="宋体"/>
      <w:color w:val="auto"/>
      <w:spacing w:val="30"/>
      <w:sz w:val="28"/>
      <w:szCs w:val="20"/>
    </w:rPr>
  </w:style>
  <w:style w:type="paragraph" w:customStyle="1" w:styleId="556">
    <w:name w:val="zzz"/>
    <w:basedOn w:val="81"/>
    <w:next w:val="81"/>
    <w:qFormat/>
    <w:uiPriority w:val="0"/>
    <w:pPr>
      <w:spacing w:before="120" w:after="240" w:line="360" w:lineRule="auto"/>
      <w:ind w:left="1260" w:leftChars="100" w:right="210" w:rightChars="100" w:firstLine="240"/>
    </w:pPr>
    <w:rPr>
      <w:szCs w:val="20"/>
    </w:rPr>
  </w:style>
  <w:style w:type="paragraph" w:customStyle="1" w:styleId="557">
    <w:name w:val="新标题样式"/>
    <w:basedOn w:val="1"/>
    <w:qFormat/>
    <w:uiPriority w:val="0"/>
    <w:pPr>
      <w:tabs>
        <w:tab w:val="left" w:pos="567"/>
      </w:tabs>
      <w:ind w:firstLine="0" w:firstLineChars="0"/>
    </w:pPr>
    <w:rPr>
      <w:rFonts w:ascii="Times New Roman" w:hAnsi="Times New Roman" w:eastAsia="黑体"/>
      <w:b/>
      <w:color w:val="auto"/>
      <w:spacing w:val="20"/>
      <w:szCs w:val="20"/>
    </w:rPr>
  </w:style>
  <w:style w:type="paragraph" w:customStyle="1" w:styleId="558">
    <w:name w:val="样式 表格正文 + 左 行距: 最小值 12 磅"/>
    <w:basedOn w:val="1"/>
    <w:qFormat/>
    <w:uiPriority w:val="0"/>
    <w:pPr>
      <w:spacing w:line="280" w:lineRule="exact"/>
      <w:ind w:firstLine="0" w:firstLineChars="0"/>
      <w:jc w:val="center"/>
    </w:pPr>
    <w:rPr>
      <w:rFonts w:ascii="Times New Roman" w:hAnsi="Times New Roman" w:cs="宋体"/>
      <w:color w:val="auto"/>
      <w:kern w:val="0"/>
      <w:sz w:val="21"/>
      <w:szCs w:val="20"/>
    </w:rPr>
  </w:style>
  <w:style w:type="paragraph" w:customStyle="1" w:styleId="559">
    <w:name w:val="普通(网站)1"/>
    <w:basedOn w:val="1"/>
    <w:qFormat/>
    <w:uiPriority w:val="0"/>
    <w:pPr>
      <w:widowControl/>
      <w:adjustRightInd w:val="0"/>
      <w:spacing w:before="100" w:after="100" w:line="240" w:lineRule="auto"/>
      <w:ind w:firstLine="0" w:firstLineChars="0"/>
      <w:jc w:val="left"/>
      <w:textAlignment w:val="baseline"/>
    </w:pPr>
    <w:rPr>
      <w:color w:val="auto"/>
      <w:kern w:val="0"/>
      <w:szCs w:val="20"/>
    </w:rPr>
  </w:style>
  <w:style w:type="paragraph" w:customStyle="1" w:styleId="560">
    <w:name w:val="Plain Text2"/>
    <w:basedOn w:val="1"/>
    <w:uiPriority w:val="0"/>
    <w:pPr>
      <w:tabs>
        <w:tab w:val="left" w:pos="-1276"/>
      </w:tabs>
      <w:autoSpaceDE w:val="0"/>
      <w:autoSpaceDN w:val="0"/>
      <w:adjustRightInd w:val="0"/>
      <w:spacing w:line="240" w:lineRule="auto"/>
      <w:ind w:firstLine="0" w:firstLineChars="0"/>
      <w:textAlignment w:val="baseline"/>
    </w:pPr>
    <w:rPr>
      <w:rFonts w:hAnsi="Tms Rmn"/>
      <w:color w:val="auto"/>
      <w:kern w:val="0"/>
      <w:sz w:val="21"/>
      <w:szCs w:val="20"/>
    </w:rPr>
  </w:style>
  <w:style w:type="paragraph" w:customStyle="1" w:styleId="561">
    <w:name w:val="图表名"/>
    <w:basedOn w:val="1"/>
    <w:qFormat/>
    <w:uiPriority w:val="0"/>
    <w:pPr>
      <w:spacing w:beforeLines="30" w:afterLines="20" w:line="440" w:lineRule="exact"/>
      <w:ind w:firstLine="480" w:firstLineChars="0"/>
      <w:jc w:val="center"/>
    </w:pPr>
    <w:rPr>
      <w:rFonts w:ascii="Times New Roman" w:hAnsi="Times New Roman" w:eastAsia="黑体"/>
      <w:color w:val="auto"/>
      <w:szCs w:val="24"/>
    </w:rPr>
  </w:style>
  <w:style w:type="paragraph" w:customStyle="1" w:styleId="562">
    <w:name w:val="目录B"/>
    <w:basedOn w:val="1"/>
    <w:qFormat/>
    <w:uiPriority w:val="0"/>
    <w:pPr>
      <w:spacing w:line="480" w:lineRule="exact"/>
      <w:ind w:firstLine="0" w:firstLineChars="0"/>
      <w:outlineLvl w:val="1"/>
    </w:pPr>
    <w:rPr>
      <w:rFonts w:ascii="黑体" w:hAnsi="Times New Roman" w:eastAsia="黑体"/>
      <w:color w:val="auto"/>
      <w:sz w:val="28"/>
      <w:szCs w:val="28"/>
    </w:rPr>
  </w:style>
  <w:style w:type="paragraph" w:customStyle="1" w:styleId="563">
    <w:name w:val="报告表正文"/>
    <w:basedOn w:val="1"/>
    <w:uiPriority w:val="0"/>
    <w:pPr>
      <w:adjustRightInd w:val="0"/>
      <w:spacing w:line="312" w:lineRule="auto"/>
      <w:ind w:left="113" w:right="113" w:firstLine="482" w:firstLineChars="0"/>
    </w:pPr>
    <w:rPr>
      <w:rFonts w:ascii="Times New Roman" w:hAnsi="Times New Roman"/>
      <w:color w:val="auto"/>
      <w:kern w:val="0"/>
      <w:szCs w:val="20"/>
    </w:rPr>
  </w:style>
  <w:style w:type="paragraph" w:customStyle="1" w:styleId="564">
    <w:name w:val="默认段落字体 Para Char Char Char Char Char Char Char Char Char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565">
    <w:name w:val="样式 样式 首行缩进:  2 字符1 + 首行缩进:  2 字符"/>
    <w:basedOn w:val="1"/>
    <w:qFormat/>
    <w:uiPriority w:val="0"/>
    <w:pPr>
      <w:spacing w:line="480" w:lineRule="exact"/>
    </w:pPr>
    <w:rPr>
      <w:rFonts w:ascii="Times New Roman" w:hAnsi="Times New Roman" w:eastAsia="楷体_GB2312"/>
      <w:color w:val="auto"/>
      <w:szCs w:val="20"/>
    </w:rPr>
  </w:style>
  <w:style w:type="paragraph" w:customStyle="1" w:styleId="566">
    <w:name w:val="列表1"/>
    <w:basedOn w:val="1"/>
    <w:next w:val="62"/>
    <w:uiPriority w:val="0"/>
    <w:pPr>
      <w:spacing w:before="60" w:line="240" w:lineRule="exact"/>
      <w:ind w:firstLine="0" w:firstLineChars="0"/>
      <w:jc w:val="center"/>
    </w:pPr>
    <w:rPr>
      <w:color w:val="auto"/>
      <w:szCs w:val="20"/>
    </w:rPr>
  </w:style>
  <w:style w:type="paragraph" w:customStyle="1" w:styleId="567">
    <w:name w:val="Char Char Char Char"/>
    <w:basedOn w:val="1"/>
    <w:qFormat/>
    <w:uiPriority w:val="0"/>
    <w:pPr>
      <w:spacing w:line="240" w:lineRule="auto"/>
      <w:ind w:firstLine="0" w:firstLineChars="0"/>
    </w:pPr>
    <w:rPr>
      <w:rFonts w:ascii="Times New Roman" w:hAnsi="Times New Roman"/>
      <w:color w:val="auto"/>
      <w:sz w:val="21"/>
      <w:szCs w:val="24"/>
    </w:rPr>
  </w:style>
  <w:style w:type="paragraph" w:customStyle="1" w:styleId="568">
    <w:name w:val="Char Char1 Char Char Char Char Char Char Char Char Char Char Char Char Char Char Char Char Char Char Char Char1 Char"/>
    <w:basedOn w:val="1"/>
    <w:qFormat/>
    <w:uiPriority w:val="0"/>
    <w:rPr>
      <w:rFonts w:ascii="Times New Roman" w:hAnsi="Times New Roman" w:cs="宋体"/>
      <w:color w:val="auto"/>
      <w:szCs w:val="24"/>
    </w:rPr>
  </w:style>
  <w:style w:type="paragraph" w:customStyle="1" w:styleId="569">
    <w:name w:val="块引用"/>
    <w:basedOn w:val="1"/>
    <w:uiPriority w:val="0"/>
    <w:pPr>
      <w:widowControl/>
      <w:pBdr>
        <w:top w:val="single" w:color="auto" w:sz="6" w:space="14"/>
        <w:left w:val="single" w:color="auto" w:sz="6" w:space="10"/>
        <w:bottom w:val="single" w:color="auto" w:sz="6" w:space="14"/>
        <w:right w:val="single" w:color="auto" w:sz="6" w:space="10"/>
      </w:pBdr>
      <w:spacing w:before="100" w:beforeAutospacing="1" w:after="100" w:afterAutospacing="1"/>
      <w:ind w:left="210" w:leftChars="100" w:right="210" w:rightChars="100" w:firstLine="480"/>
    </w:pPr>
    <w:rPr>
      <w:rFonts w:ascii="Garamond" w:hAnsi="Garamond"/>
      <w:color w:val="auto"/>
      <w:kern w:val="0"/>
      <w:szCs w:val="20"/>
      <w:lang w:bidi="he-IL"/>
    </w:rPr>
  </w:style>
  <w:style w:type="paragraph" w:customStyle="1" w:styleId="570">
    <w:name w:val="BGWZ1"/>
    <w:basedOn w:val="1"/>
    <w:qFormat/>
    <w:uiPriority w:val="0"/>
    <w:pPr>
      <w:snapToGrid w:val="0"/>
      <w:spacing w:line="300" w:lineRule="exact"/>
      <w:ind w:firstLine="0" w:firstLineChars="0"/>
      <w:jc w:val="center"/>
    </w:pPr>
    <w:rPr>
      <w:rFonts w:ascii="Times New Roman" w:hAnsi="Times New Roman"/>
      <w:snapToGrid w:val="0"/>
      <w:color w:val="auto"/>
      <w:kern w:val="0"/>
      <w:sz w:val="21"/>
      <w:lang w:eastAsia="zh-TW"/>
    </w:rPr>
  </w:style>
  <w:style w:type="paragraph" w:customStyle="1" w:styleId="571">
    <w:name w:val="1标题2级"/>
    <w:basedOn w:val="1"/>
    <w:qFormat/>
    <w:uiPriority w:val="0"/>
    <w:pPr>
      <w:snapToGrid w:val="0"/>
      <w:ind w:firstLine="0" w:firstLineChars="0"/>
      <w:outlineLvl w:val="1"/>
    </w:pPr>
    <w:rPr>
      <w:rFonts w:ascii="Times New Roman" w:hAnsi="Times New Roman" w:eastAsia="仿宋_GB2312"/>
      <w:b/>
      <w:color w:val="auto"/>
      <w:sz w:val="32"/>
      <w:szCs w:val="20"/>
    </w:rPr>
  </w:style>
  <w:style w:type="paragraph" w:customStyle="1" w:styleId="572">
    <w:name w:val="小四表格"/>
    <w:basedOn w:val="1"/>
    <w:uiPriority w:val="0"/>
    <w:pPr>
      <w:snapToGrid w:val="0"/>
      <w:spacing w:line="240" w:lineRule="auto"/>
      <w:ind w:firstLine="0" w:firstLineChars="0"/>
      <w:jc w:val="center"/>
    </w:pPr>
    <w:rPr>
      <w:rFonts w:ascii="Times New Roman" w:hAnsi="Times New Roman"/>
      <w:color w:val="auto"/>
      <w:kern w:val="0"/>
      <w:szCs w:val="20"/>
    </w:rPr>
  </w:style>
  <w:style w:type="paragraph" w:customStyle="1" w:styleId="573">
    <w:name w:val="标题 3+"/>
    <w:basedOn w:val="4"/>
    <w:qFormat/>
    <w:uiPriority w:val="0"/>
    <w:pPr>
      <w:keepNext w:val="0"/>
      <w:adjustRightInd w:val="0"/>
      <w:snapToGrid w:val="0"/>
      <w:spacing w:beforeLines="0" w:after="60" w:line="400" w:lineRule="exact"/>
      <w:jc w:val="both"/>
      <w:outlineLvl w:val="3"/>
    </w:pPr>
    <w:rPr>
      <w:color w:val="auto"/>
    </w:rPr>
  </w:style>
  <w:style w:type="paragraph" w:customStyle="1" w:styleId="574">
    <w:name w:val="表前文字"/>
    <w:basedOn w:val="1"/>
    <w:qFormat/>
    <w:uiPriority w:val="0"/>
    <w:pPr>
      <w:spacing w:line="240" w:lineRule="auto"/>
      <w:ind w:firstLine="0" w:firstLineChars="0"/>
      <w:jc w:val="center"/>
    </w:pPr>
    <w:rPr>
      <w:color w:val="auto"/>
    </w:rPr>
  </w:style>
  <w:style w:type="paragraph" w:customStyle="1" w:styleId="575">
    <w:name w:val="Char Char Char Char Char"/>
    <w:basedOn w:val="1"/>
    <w:qFormat/>
    <w:uiPriority w:val="0"/>
    <w:pPr>
      <w:spacing w:line="240" w:lineRule="auto"/>
      <w:ind w:firstLine="0" w:firstLineChars="0"/>
    </w:pPr>
    <w:rPr>
      <w:rFonts w:ascii="Times New Roman" w:hAnsi="Times New Roman"/>
      <w:color w:val="auto"/>
      <w:szCs w:val="20"/>
    </w:rPr>
  </w:style>
  <w:style w:type="paragraph" w:customStyle="1" w:styleId="576">
    <w:name w:val="标题002"/>
    <w:basedOn w:val="1"/>
    <w:qFormat/>
    <w:uiPriority w:val="0"/>
    <w:pPr>
      <w:spacing w:before="60" w:line="460" w:lineRule="exact"/>
      <w:ind w:firstLine="0" w:firstLineChars="0"/>
      <w:outlineLvl w:val="1"/>
    </w:pPr>
    <w:rPr>
      <w:rFonts w:ascii="Times New Roman" w:hAnsi="Times New Roman"/>
      <w:b/>
      <w:color w:val="auto"/>
      <w:sz w:val="28"/>
      <w:szCs w:val="20"/>
    </w:rPr>
  </w:style>
  <w:style w:type="paragraph" w:customStyle="1" w:styleId="577">
    <w:name w:val="Char Char1 Char Char Char Char Char Char Char Char Char Char Char Char Char Char Char Char Char Char"/>
    <w:basedOn w:val="1"/>
    <w:qFormat/>
    <w:uiPriority w:val="0"/>
    <w:rPr>
      <w:rFonts w:cs="宋体"/>
      <w:color w:val="auto"/>
      <w:szCs w:val="24"/>
    </w:rPr>
  </w:style>
  <w:style w:type="paragraph" w:customStyle="1" w:styleId="578">
    <w:name w:val="正文表标题"/>
    <w:next w:val="433"/>
    <w:uiPriority w:val="0"/>
    <w:pPr>
      <w:tabs>
        <w:tab w:val="left" w:pos="840"/>
      </w:tabs>
      <w:spacing w:line="360" w:lineRule="auto"/>
      <w:ind w:left="840" w:hanging="360"/>
      <w:jc w:val="center"/>
    </w:pPr>
    <w:rPr>
      <w:rFonts w:ascii="黑体" w:hAnsi="Times New Roman" w:eastAsia="黑体" w:cs="Times New Roman"/>
      <w:sz w:val="21"/>
      <w:lang w:val="en-US" w:eastAsia="zh-CN" w:bidi="ar-SA"/>
    </w:rPr>
  </w:style>
  <w:style w:type="paragraph" w:customStyle="1" w:styleId="579">
    <w:name w:val="正文文本 31"/>
    <w:basedOn w:val="1"/>
    <w:qFormat/>
    <w:uiPriority w:val="0"/>
    <w:pPr>
      <w:adjustRightInd w:val="0"/>
      <w:spacing w:line="360" w:lineRule="atLeast"/>
      <w:ind w:firstLine="0" w:firstLineChars="0"/>
      <w:jc w:val="center"/>
      <w:textAlignment w:val="baseline"/>
    </w:pPr>
    <w:rPr>
      <w:rFonts w:ascii="仿宋体" w:eastAsia="仿宋体"/>
      <w:color w:val="auto"/>
      <w:kern w:val="0"/>
      <w:szCs w:val="20"/>
    </w:rPr>
  </w:style>
  <w:style w:type="paragraph" w:customStyle="1" w:styleId="580">
    <w:name w:val="图表文字"/>
    <w:basedOn w:val="1"/>
    <w:qFormat/>
    <w:uiPriority w:val="0"/>
    <w:pPr>
      <w:spacing w:line="240" w:lineRule="auto"/>
      <w:ind w:firstLine="0" w:firstLineChars="0"/>
      <w:jc w:val="center"/>
    </w:pPr>
    <w:rPr>
      <w:rFonts w:ascii="仿宋_GB2312" w:hAnsi="Times New Roman" w:eastAsia="仿宋_GB2312"/>
      <w:color w:val="auto"/>
      <w:sz w:val="21"/>
      <w:szCs w:val="24"/>
    </w:rPr>
  </w:style>
  <w:style w:type="paragraph" w:customStyle="1" w:styleId="581">
    <w:name w:val="默认段落字体 Para Char"/>
    <w:basedOn w:val="1"/>
    <w:uiPriority w:val="0"/>
    <w:pPr>
      <w:spacing w:line="240" w:lineRule="auto"/>
      <w:ind w:firstLine="0" w:firstLineChars="0"/>
    </w:pPr>
    <w:rPr>
      <w:rFonts w:ascii="Times New Roman" w:hAnsi="Times New Roman"/>
      <w:color w:val="auto"/>
      <w:szCs w:val="24"/>
    </w:rPr>
  </w:style>
  <w:style w:type="paragraph" w:customStyle="1" w:styleId="582">
    <w:name w:val="Char Char11"/>
    <w:basedOn w:val="1"/>
    <w:qFormat/>
    <w:uiPriority w:val="0"/>
    <w:pPr>
      <w:widowControl/>
      <w:spacing w:after="160" w:line="240" w:lineRule="exact"/>
      <w:ind w:firstLine="0" w:firstLineChars="0"/>
      <w:jc w:val="left"/>
    </w:pPr>
    <w:rPr>
      <w:rFonts w:ascii="Verdana" w:hAnsi="Verdana" w:eastAsia="仿宋_GB2312" w:cs="Verdana"/>
      <w:color w:val="auto"/>
      <w:kern w:val="0"/>
      <w:szCs w:val="24"/>
      <w:lang w:eastAsia="en-US"/>
    </w:rPr>
  </w:style>
  <w:style w:type="paragraph" w:customStyle="1" w:styleId="583">
    <w:name w:val="样式 标题 2节节标题 1.1H2（一）Underrubrik1prop2Heading 2 HiddenHea...2"/>
    <w:basedOn w:val="3"/>
    <w:uiPriority w:val="0"/>
    <w:pPr>
      <w:ind w:left="0" w:firstLine="0"/>
    </w:pPr>
  </w:style>
  <w:style w:type="paragraph" w:customStyle="1" w:styleId="584">
    <w:name w:val="小四表文居中"/>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585">
    <w:name w:val="xl43"/>
    <w:basedOn w:val="1"/>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color w:val="auto"/>
      <w:kern w:val="0"/>
      <w:szCs w:val="24"/>
    </w:rPr>
  </w:style>
  <w:style w:type="paragraph" w:customStyle="1" w:styleId="586">
    <w:name w:val="gray"/>
    <w:basedOn w:val="1"/>
    <w:uiPriority w:val="0"/>
    <w:pPr>
      <w:widowControl/>
      <w:spacing w:before="100" w:beforeAutospacing="1" w:after="100" w:afterAutospacing="1" w:line="301" w:lineRule="atLeast"/>
      <w:ind w:firstLine="0" w:firstLineChars="0"/>
      <w:jc w:val="left"/>
    </w:pPr>
    <w:rPr>
      <w:rFonts w:hint="eastAsia" w:hAnsi="Times New Roman"/>
      <w:color w:val="737373"/>
      <w:kern w:val="0"/>
      <w:sz w:val="20"/>
      <w:szCs w:val="20"/>
    </w:rPr>
  </w:style>
  <w:style w:type="paragraph" w:customStyle="1" w:styleId="587">
    <w:name w:val="EIA标题3"/>
    <w:basedOn w:val="4"/>
    <w:uiPriority w:val="0"/>
    <w:pPr>
      <w:tabs>
        <w:tab w:val="left" w:pos="360"/>
        <w:tab w:val="clear" w:pos="0"/>
      </w:tabs>
      <w:spacing w:beforeLines="0" w:afterLines="50" w:line="440" w:lineRule="exact"/>
      <w:ind w:left="360" w:hanging="360"/>
      <w:jc w:val="both"/>
    </w:pPr>
    <w:rPr>
      <w:rFonts w:ascii="Times New Roman" w:hAnsi="Times New Roman" w:eastAsia="楷体_GB2312"/>
      <w:b w:val="0"/>
      <w:bCs w:val="0"/>
      <w:color w:val="auto"/>
      <w:sz w:val="24"/>
      <w:szCs w:val="24"/>
    </w:rPr>
  </w:style>
  <w:style w:type="paragraph" w:customStyle="1" w:styleId="588">
    <w:name w:val="Char Char Char Char3"/>
    <w:basedOn w:val="1"/>
    <w:uiPriority w:val="0"/>
    <w:pPr>
      <w:spacing w:line="240" w:lineRule="auto"/>
      <w:ind w:firstLine="0" w:firstLineChars="0"/>
    </w:pPr>
    <w:rPr>
      <w:rFonts w:ascii="Times New Roman" w:hAnsi="Times New Roman"/>
      <w:color w:val="auto"/>
      <w:szCs w:val="24"/>
    </w:rPr>
  </w:style>
  <w:style w:type="paragraph" w:customStyle="1" w:styleId="589">
    <w:name w:val="公式"/>
    <w:basedOn w:val="1"/>
    <w:uiPriority w:val="0"/>
    <w:pPr>
      <w:keepLines/>
      <w:wordWrap w:val="0"/>
      <w:topLinePunct/>
      <w:spacing w:line="240" w:lineRule="auto"/>
      <w:ind w:right="-120" w:rightChars="-50"/>
      <w:jc w:val="left"/>
      <w:outlineLvl w:val="2"/>
    </w:pPr>
    <w:rPr>
      <w:rFonts w:ascii="Times New Roman" w:hAnsi="Times New Roman" w:eastAsia="黑体"/>
      <w:bCs/>
      <w:kern w:val="0"/>
      <w:szCs w:val="32"/>
    </w:rPr>
  </w:style>
  <w:style w:type="paragraph" w:customStyle="1" w:styleId="590">
    <w:name w:val="标题003"/>
    <w:basedOn w:val="1"/>
    <w:qFormat/>
    <w:uiPriority w:val="0"/>
    <w:pPr>
      <w:ind w:firstLine="0" w:firstLineChars="0"/>
      <w:outlineLvl w:val="2"/>
    </w:pPr>
    <w:rPr>
      <w:rFonts w:ascii="Times New Roman" w:hAnsi="Times New Roman"/>
      <w:b/>
      <w:sz w:val="28"/>
      <w:szCs w:val="28"/>
    </w:rPr>
  </w:style>
  <w:style w:type="paragraph" w:customStyle="1" w:styleId="591">
    <w:name w:val="bt_content p6 p6"/>
    <w:basedOn w:val="1"/>
    <w:qFormat/>
    <w:uiPriority w:val="0"/>
    <w:pPr>
      <w:widowControl/>
      <w:spacing w:before="100" w:beforeAutospacing="1" w:after="100" w:afterAutospacing="1" w:line="240" w:lineRule="auto"/>
      <w:ind w:firstLine="0" w:firstLineChars="0"/>
      <w:jc w:val="left"/>
    </w:pPr>
    <w:rPr>
      <w:rFonts w:cs="宋体"/>
      <w:color w:val="auto"/>
      <w:kern w:val="0"/>
      <w:szCs w:val="24"/>
    </w:rPr>
  </w:style>
  <w:style w:type="paragraph" w:customStyle="1" w:styleId="592">
    <w:name w:val="样式 标题 2节节标题 1.1H2（一）Underrubrik1prop2Heading 2 HiddenHea...1"/>
    <w:basedOn w:val="3"/>
    <w:qFormat/>
    <w:uiPriority w:val="0"/>
    <w:pPr>
      <w:numPr>
        <w:ilvl w:val="2"/>
        <w:numId w:val="3"/>
      </w:numPr>
      <w:tabs>
        <w:tab w:val="clear" w:pos="576"/>
      </w:tabs>
      <w:spacing w:beforeLines="0"/>
    </w:pPr>
    <w:rPr>
      <w:rFonts w:ascii="Times New Roman" w:hAnsi="Times New Roman"/>
      <w:color w:val="auto"/>
      <w:sz w:val="28"/>
      <w:szCs w:val="28"/>
    </w:rPr>
  </w:style>
  <w:style w:type="paragraph" w:customStyle="1" w:styleId="593">
    <w:name w:val="1 Char Char Char Char Char Char Char Char Char Char Char Char Char Char Char Char Char Char Char Char Char Char"/>
    <w:basedOn w:val="1"/>
    <w:qFormat/>
    <w:uiPriority w:val="0"/>
    <w:pPr>
      <w:spacing w:line="240" w:lineRule="auto"/>
      <w:ind w:firstLine="0" w:firstLineChars="0"/>
    </w:pPr>
    <w:rPr>
      <w:rFonts w:ascii="Times New Roman" w:hAnsi="Times New Roman"/>
      <w:color w:val="auto"/>
      <w:sz w:val="21"/>
      <w:szCs w:val="24"/>
    </w:rPr>
  </w:style>
  <w:style w:type="paragraph" w:customStyle="1" w:styleId="594">
    <w:name w:val="font10"/>
    <w:basedOn w:val="1"/>
    <w:qFormat/>
    <w:uiPriority w:val="0"/>
    <w:pPr>
      <w:widowControl/>
      <w:spacing w:before="100" w:beforeAutospacing="1" w:after="100" w:afterAutospacing="1" w:line="240" w:lineRule="auto"/>
      <w:ind w:firstLine="0" w:firstLineChars="0"/>
      <w:jc w:val="left"/>
    </w:pPr>
    <w:rPr>
      <w:rFonts w:hint="eastAsia"/>
      <w:b/>
      <w:bCs/>
      <w:color w:val="auto"/>
      <w:kern w:val="0"/>
      <w:sz w:val="20"/>
      <w:szCs w:val="20"/>
    </w:rPr>
  </w:style>
  <w:style w:type="paragraph" w:customStyle="1" w:styleId="595">
    <w:name w:val="附录标识"/>
    <w:basedOn w:val="486"/>
    <w:qFormat/>
    <w:uiPriority w:val="0"/>
    <w:pPr>
      <w:tabs>
        <w:tab w:val="left" w:pos="432"/>
        <w:tab w:val="left" w:pos="6405"/>
        <w:tab w:val="clear" w:pos="903"/>
      </w:tabs>
      <w:spacing w:after="200"/>
      <w:ind w:left="432" w:hanging="432"/>
    </w:pPr>
    <w:rPr>
      <w:sz w:val="21"/>
    </w:rPr>
  </w:style>
  <w:style w:type="paragraph" w:customStyle="1" w:styleId="596">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97">
    <w:name w:val="样式 标题 2 + 两端对齐 段前: 0 磅 段后: 0 磅"/>
    <w:basedOn w:val="3"/>
    <w:qFormat/>
    <w:uiPriority w:val="0"/>
    <w:pPr>
      <w:keepNext w:val="0"/>
      <w:keepLines w:val="0"/>
      <w:pBdr>
        <w:bottom w:val="single" w:color="auto" w:sz="12" w:space="1"/>
      </w:pBdr>
      <w:adjustRightInd w:val="0"/>
      <w:spacing w:afterLines="50" w:line="440" w:lineRule="exact"/>
      <w:ind w:left="0" w:firstLine="0"/>
      <w:textAlignment w:val="baseline"/>
    </w:pPr>
    <w:rPr>
      <w:rFonts w:hAnsi="宋体" w:eastAsia="华康简魏碑" w:cs="宋体"/>
      <w:bCs w:val="0"/>
      <w:kern w:val="0"/>
      <w:sz w:val="28"/>
      <w:szCs w:val="20"/>
    </w:rPr>
  </w:style>
  <w:style w:type="paragraph" w:customStyle="1" w:styleId="598">
    <w:name w:val="表中字"/>
    <w:qFormat/>
    <w:uiPriority w:val="0"/>
    <w:pPr>
      <w:widowControl w:val="0"/>
      <w:adjustRightInd w:val="0"/>
      <w:snapToGrid w:val="0"/>
      <w:spacing w:line="360" w:lineRule="auto"/>
      <w:jc w:val="center"/>
    </w:pPr>
    <w:rPr>
      <w:rFonts w:ascii="Times New Roman" w:hAnsi="Times New Roman" w:eastAsia="宋体" w:cs="Times New Roman"/>
      <w:w w:val="90"/>
      <w:sz w:val="21"/>
      <w:lang w:val="en-US" w:eastAsia="zh-CN" w:bidi="ar-SA"/>
    </w:rPr>
  </w:style>
  <w:style w:type="paragraph" w:customStyle="1" w:styleId="599">
    <w:name w:val="新表"/>
    <w:basedOn w:val="1"/>
    <w:qFormat/>
    <w:uiPriority w:val="0"/>
    <w:pPr>
      <w:spacing w:line="360" w:lineRule="exact"/>
      <w:ind w:firstLine="0" w:firstLineChars="0"/>
    </w:pPr>
    <w:rPr>
      <w:rFonts w:ascii="Times New Roman" w:hAnsi="Times New Roman" w:eastAsia="仿宋_GB2312"/>
      <w:bCs/>
      <w:color w:val="auto"/>
      <w:kern w:val="0"/>
      <w:szCs w:val="20"/>
    </w:rPr>
  </w:style>
  <w:style w:type="paragraph" w:customStyle="1" w:styleId="600">
    <w:name w:val="Char Char Char Char Char Char2 Char Char Char Char"/>
    <w:basedOn w:val="1"/>
    <w:qFormat/>
    <w:uiPriority w:val="0"/>
    <w:pPr>
      <w:spacing w:line="240" w:lineRule="auto"/>
      <w:ind w:firstLine="0" w:firstLineChars="0"/>
    </w:pPr>
    <w:rPr>
      <w:rFonts w:ascii="Times New Roman" w:hAnsi="Times New Roman"/>
      <w:color w:val="auto"/>
      <w:sz w:val="21"/>
      <w:szCs w:val="24"/>
    </w:rPr>
  </w:style>
  <w:style w:type="paragraph" w:customStyle="1" w:styleId="601">
    <w:name w:val="标题样式4"/>
    <w:basedOn w:val="1"/>
    <w:next w:val="1"/>
    <w:qFormat/>
    <w:uiPriority w:val="0"/>
    <w:pPr>
      <w:tabs>
        <w:tab w:val="left" w:pos="720"/>
      </w:tabs>
      <w:ind w:left="720" w:hanging="720" w:firstLineChars="0"/>
      <w:textAlignment w:val="baseline"/>
      <w:outlineLvl w:val="3"/>
    </w:pPr>
    <w:rPr>
      <w:rFonts w:ascii="Times New Roman" w:hAnsi="Times New Roman"/>
      <w:color w:val="auto"/>
      <w:szCs w:val="24"/>
    </w:rPr>
  </w:style>
  <w:style w:type="paragraph" w:customStyle="1" w:styleId="602">
    <w:name w:val="表中文字1"/>
    <w:qFormat/>
    <w:uiPriority w:val="0"/>
    <w:pPr>
      <w:widowControl w:val="0"/>
      <w:adjustRightInd w:val="0"/>
      <w:snapToGrid w:val="0"/>
      <w:spacing w:line="360" w:lineRule="auto"/>
      <w:jc w:val="center"/>
    </w:pPr>
    <w:rPr>
      <w:rFonts w:ascii="仿宋_GB2312" w:hAnsi="Times New Roman" w:eastAsia="仿宋_GB2312" w:cs="Times New Roman"/>
      <w:kern w:val="2"/>
      <w:sz w:val="24"/>
      <w:szCs w:val="24"/>
      <w:lang w:val="en-US" w:eastAsia="zh-CN" w:bidi="ar-SA"/>
    </w:rPr>
  </w:style>
  <w:style w:type="paragraph" w:customStyle="1" w:styleId="603">
    <w:name w:val="ZW Char Char Char"/>
    <w:basedOn w:val="1"/>
    <w:qFormat/>
    <w:uiPriority w:val="0"/>
    <w:pPr>
      <w:spacing w:beforeLines="20" w:line="240" w:lineRule="auto"/>
    </w:pPr>
    <w:rPr>
      <w:rFonts w:ascii="Times New Roman" w:hAnsi="Times New Roman"/>
      <w:color w:val="auto"/>
      <w:szCs w:val="24"/>
    </w:rPr>
  </w:style>
  <w:style w:type="paragraph" w:customStyle="1" w:styleId="604">
    <w:name w:val="标准"/>
    <w:basedOn w:val="1"/>
    <w:qFormat/>
    <w:uiPriority w:val="0"/>
    <w:pPr>
      <w:adjustRightInd w:val="0"/>
      <w:spacing w:line="312" w:lineRule="atLeast"/>
      <w:ind w:firstLine="0" w:firstLineChars="0"/>
      <w:textAlignment w:val="baseline"/>
    </w:pPr>
    <w:rPr>
      <w:rFonts w:ascii="Times New Roman" w:hAnsi="Times New Roman"/>
      <w:color w:val="auto"/>
      <w:kern w:val="0"/>
      <w:szCs w:val="20"/>
    </w:rPr>
  </w:style>
  <w:style w:type="paragraph" w:customStyle="1" w:styleId="605">
    <w:name w:val="表格文字两端对齐"/>
    <w:basedOn w:val="1"/>
    <w:qFormat/>
    <w:uiPriority w:val="0"/>
    <w:pPr>
      <w:spacing w:line="300" w:lineRule="auto"/>
      <w:ind w:firstLine="0" w:firstLineChars="0"/>
      <w:jc w:val="center"/>
    </w:pPr>
    <w:rPr>
      <w:rFonts w:ascii="Arial Narrow" w:hAnsi="Arial Narrow" w:eastAsia="仿宋_GB2312"/>
      <w:kern w:val="0"/>
      <w:sz w:val="21"/>
      <w:szCs w:val="24"/>
    </w:rPr>
  </w:style>
  <w:style w:type="paragraph" w:customStyle="1" w:styleId="606">
    <w:name w:val="xl40"/>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olor w:val="auto"/>
      <w:kern w:val="0"/>
      <w:szCs w:val="24"/>
    </w:rPr>
  </w:style>
  <w:style w:type="paragraph" w:customStyle="1" w:styleId="607">
    <w:name w:val="样式12"/>
    <w:basedOn w:val="5"/>
    <w:qFormat/>
    <w:uiPriority w:val="0"/>
    <w:pPr>
      <w:tabs>
        <w:tab w:val="left" w:pos="864"/>
        <w:tab w:val="left" w:pos="1247"/>
      </w:tabs>
      <w:adjustRightInd w:val="0"/>
      <w:snapToGrid w:val="0"/>
      <w:spacing w:before="280" w:after="290" w:line="312" w:lineRule="auto"/>
      <w:ind w:left="1134" w:hanging="1134"/>
      <w:jc w:val="both"/>
    </w:pPr>
    <w:rPr>
      <w:rFonts w:ascii="Times New Roman" w:hAnsi="宋体"/>
      <w:b/>
      <w:color w:val="auto"/>
      <w:szCs w:val="24"/>
    </w:rPr>
  </w:style>
  <w:style w:type="paragraph" w:customStyle="1" w:styleId="608">
    <w:name w:val="样式11"/>
    <w:basedOn w:val="5"/>
    <w:qFormat/>
    <w:uiPriority w:val="0"/>
    <w:pPr>
      <w:tabs>
        <w:tab w:val="left" w:pos="0"/>
        <w:tab w:val="left" w:pos="840"/>
      </w:tabs>
    </w:pPr>
    <w:rPr>
      <w:rFonts w:hAnsi="宋体"/>
      <w:color w:val="auto"/>
      <w:szCs w:val="24"/>
    </w:rPr>
  </w:style>
  <w:style w:type="paragraph" w:customStyle="1" w:styleId="609">
    <w:name w:val="方程式"/>
    <w:basedOn w:val="1"/>
    <w:qFormat/>
    <w:uiPriority w:val="0"/>
    <w:pPr>
      <w:overflowPunct w:val="0"/>
      <w:autoSpaceDE w:val="0"/>
      <w:autoSpaceDN w:val="0"/>
      <w:adjustRightInd w:val="0"/>
      <w:spacing w:before="60" w:after="60" w:line="340" w:lineRule="exact"/>
      <w:ind w:firstLine="0" w:firstLineChars="0"/>
      <w:jc w:val="left"/>
      <w:textAlignment w:val="bottom"/>
    </w:pPr>
    <w:rPr>
      <w:rFonts w:hAnsi="Times New Roman"/>
      <w:color w:val="auto"/>
      <w:kern w:val="0"/>
      <w:szCs w:val="20"/>
    </w:rPr>
  </w:style>
  <w:style w:type="paragraph" w:customStyle="1" w:styleId="610">
    <w:name w:val="样式 标题 1 + 段前: 1 行 段后: 1.5 行"/>
    <w:basedOn w:val="2"/>
    <w:qFormat/>
    <w:uiPriority w:val="0"/>
    <w:pPr>
      <w:tabs>
        <w:tab w:val="left" w:pos="360"/>
        <w:tab w:val="clear" w:pos="432"/>
      </w:tabs>
      <w:adjustRightInd w:val="0"/>
      <w:snapToGrid w:val="0"/>
      <w:spacing w:beforeLines="100" w:afterLines="150" w:line="300" w:lineRule="auto"/>
      <w:ind w:left="360" w:hanging="360" w:hangingChars="200"/>
      <w:jc w:val="both"/>
    </w:pPr>
    <w:rPr>
      <w:rFonts w:ascii="仿宋_GB2312" w:hAnsi="Times New Roman" w:eastAsia="仿宋_GB2312"/>
      <w:color w:val="auto"/>
      <w:kern w:val="44"/>
      <w:szCs w:val="32"/>
    </w:rPr>
  </w:style>
  <w:style w:type="paragraph" w:customStyle="1" w:styleId="611">
    <w:name w:val="表、图名"/>
    <w:basedOn w:val="1"/>
    <w:qFormat/>
    <w:uiPriority w:val="0"/>
    <w:pPr>
      <w:adjustRightInd w:val="0"/>
      <w:snapToGrid w:val="0"/>
      <w:ind w:left="-6" w:firstLine="0" w:firstLineChars="0"/>
      <w:jc w:val="center"/>
    </w:pPr>
    <w:rPr>
      <w:rFonts w:ascii="黑体" w:eastAsia="黑体"/>
      <w:color w:val="auto"/>
      <w:kern w:val="0"/>
      <w:szCs w:val="24"/>
    </w:rPr>
  </w:style>
  <w:style w:type="paragraph" w:customStyle="1" w:styleId="612">
    <w:name w:val="论文正文"/>
    <w:basedOn w:val="19"/>
    <w:qFormat/>
    <w:uiPriority w:val="0"/>
    <w:pPr>
      <w:adjustRightInd/>
      <w:snapToGrid/>
      <w:spacing w:line="240" w:lineRule="auto"/>
      <w:ind w:firstLine="480"/>
    </w:pPr>
    <w:rPr>
      <w:rFonts w:ascii="宋体" w:eastAsia="宋体"/>
    </w:rPr>
  </w:style>
  <w:style w:type="paragraph" w:customStyle="1" w:styleId="613">
    <w:name w:val="xl23"/>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color w:val="auto"/>
      <w:kern w:val="0"/>
      <w:sz w:val="21"/>
    </w:rPr>
  </w:style>
  <w:style w:type="paragraph" w:customStyle="1" w:styleId="614">
    <w:name w:val="Char Char Char1"/>
    <w:basedOn w:val="1"/>
    <w:qFormat/>
    <w:uiPriority w:val="0"/>
    <w:rPr>
      <w:rFonts w:ascii="Times New Roman" w:hAnsi="Times New Roman"/>
      <w:color w:val="auto"/>
      <w:kern w:val="0"/>
      <w:szCs w:val="24"/>
    </w:rPr>
  </w:style>
  <w:style w:type="paragraph" w:customStyle="1" w:styleId="615">
    <w:name w:val="注×："/>
    <w:qFormat/>
    <w:uiPriority w:val="0"/>
    <w:pPr>
      <w:widowControl w:val="0"/>
      <w:tabs>
        <w:tab w:val="left" w:pos="630"/>
      </w:tabs>
      <w:autoSpaceDE w:val="0"/>
      <w:autoSpaceDN w:val="0"/>
      <w:spacing w:line="360" w:lineRule="auto"/>
      <w:ind w:left="737" w:hanging="425"/>
      <w:jc w:val="both"/>
    </w:pPr>
    <w:rPr>
      <w:rFonts w:ascii="宋体" w:hAnsi="Times New Roman" w:eastAsia="宋体" w:cs="Times New Roman"/>
      <w:sz w:val="18"/>
      <w:lang w:val="en-US" w:eastAsia="zh-CN" w:bidi="ar-SA"/>
    </w:rPr>
  </w:style>
  <w:style w:type="paragraph" w:customStyle="1" w:styleId="616">
    <w:name w:val="Char Char1 Char Char Char Char Char Char Char Char Char Char Char Char Char Char Char Char Char Char Char Char Char Char"/>
    <w:basedOn w:val="1"/>
    <w:qFormat/>
    <w:uiPriority w:val="0"/>
    <w:pPr>
      <w:widowControl/>
      <w:spacing w:after="160" w:line="240" w:lineRule="exact"/>
      <w:ind w:firstLine="0" w:firstLineChars="0"/>
      <w:jc w:val="left"/>
    </w:pPr>
    <w:rPr>
      <w:rFonts w:ascii="Verdana" w:hAnsi="Verdana"/>
      <w:color w:val="auto"/>
      <w:kern w:val="0"/>
      <w:sz w:val="20"/>
      <w:szCs w:val="20"/>
      <w:lang w:eastAsia="en-US"/>
    </w:rPr>
  </w:style>
  <w:style w:type="paragraph" w:customStyle="1" w:styleId="617">
    <w:name w:val="样式 样式 文章大标题 + 段前: 0.5 行 段后: 0.5 行 + 段前: 1 行 段后: 1 行"/>
    <w:basedOn w:val="1"/>
    <w:semiHidden/>
    <w:qFormat/>
    <w:uiPriority w:val="0"/>
    <w:pPr>
      <w:spacing w:beforeLines="100" w:afterLines="100" w:line="520" w:lineRule="exact"/>
      <w:ind w:firstLine="0" w:firstLineChars="0"/>
      <w:jc w:val="center"/>
      <w:outlineLvl w:val="0"/>
    </w:pPr>
    <w:rPr>
      <w:rFonts w:ascii="Times New Roman" w:hAnsi="Times New Roman" w:eastAsia="黑体" w:cs="宋体"/>
      <w:color w:val="auto"/>
      <w:sz w:val="36"/>
      <w:szCs w:val="20"/>
    </w:rPr>
  </w:style>
  <w:style w:type="paragraph" w:customStyle="1" w:styleId="618">
    <w:name w:val="表格文字1"/>
    <w:basedOn w:val="1"/>
    <w:qFormat/>
    <w:uiPriority w:val="0"/>
    <w:pPr>
      <w:tabs>
        <w:tab w:val="left" w:pos="0"/>
      </w:tabs>
      <w:autoSpaceDE w:val="0"/>
      <w:autoSpaceDN w:val="0"/>
      <w:adjustRightInd w:val="0"/>
      <w:spacing w:before="60" w:line="240" w:lineRule="auto"/>
      <w:ind w:left="57" w:right="57" w:firstLine="0" w:firstLineChars="0"/>
      <w:jc w:val="center"/>
      <w:textAlignment w:val="baseline"/>
    </w:pPr>
    <w:rPr>
      <w:rFonts w:hint="eastAsia" w:hAnsi="Times New Roman"/>
      <w:color w:val="auto"/>
      <w:sz w:val="21"/>
      <w:szCs w:val="20"/>
    </w:rPr>
  </w:style>
  <w:style w:type="paragraph" w:customStyle="1" w:styleId="619">
    <w:name w:val="font5"/>
    <w:basedOn w:val="1"/>
    <w:qFormat/>
    <w:uiPriority w:val="0"/>
    <w:pPr>
      <w:widowControl/>
      <w:spacing w:before="100" w:beforeAutospacing="1" w:after="100" w:afterAutospacing="1" w:line="240" w:lineRule="auto"/>
      <w:ind w:firstLine="0" w:firstLineChars="0"/>
      <w:jc w:val="left"/>
    </w:pPr>
    <w:rPr>
      <w:rFonts w:hint="eastAsia"/>
      <w:color w:val="auto"/>
      <w:kern w:val="0"/>
      <w:sz w:val="18"/>
      <w:szCs w:val="18"/>
    </w:rPr>
  </w:style>
  <w:style w:type="paragraph" w:customStyle="1" w:styleId="620">
    <w:name w:val="法规"/>
    <w:basedOn w:val="1"/>
    <w:qFormat/>
    <w:uiPriority w:val="0"/>
    <w:pPr>
      <w:tabs>
        <w:tab w:val="left" w:pos="400"/>
      </w:tabs>
      <w:spacing w:line="440" w:lineRule="exact"/>
      <w:ind w:firstLine="400" w:firstLineChars="0"/>
    </w:pPr>
    <w:rPr>
      <w:rFonts w:ascii="Times New Roman" w:hAnsi="Times New Roman"/>
      <w:color w:val="auto"/>
      <w:sz w:val="25"/>
      <w:szCs w:val="20"/>
    </w:rPr>
  </w:style>
  <w:style w:type="paragraph" w:customStyle="1" w:styleId="621">
    <w:name w:val="标题3 非连续"/>
    <w:basedOn w:val="4"/>
    <w:qFormat/>
    <w:uiPriority w:val="0"/>
    <w:pPr>
      <w:spacing w:line="440" w:lineRule="exact"/>
      <w:jc w:val="both"/>
    </w:pPr>
    <w:rPr>
      <w:rFonts w:ascii="Arial" w:hAnsi="Arial"/>
      <w:color w:val="auto"/>
      <w:kern w:val="0"/>
      <w:sz w:val="24"/>
    </w:rPr>
  </w:style>
  <w:style w:type="paragraph" w:customStyle="1" w:styleId="622">
    <w:name w:val="样式 样式 标题 3 + 段前: 0.5 行 段后: 0.5 行 + 段前: 0.5 行 段后: 0.5 行"/>
    <w:basedOn w:val="1"/>
    <w:qFormat/>
    <w:uiPriority w:val="0"/>
    <w:pPr>
      <w:keepNext/>
      <w:keepLines/>
      <w:adjustRightInd w:val="0"/>
      <w:snapToGrid w:val="0"/>
      <w:spacing w:beforeLines="50" w:afterLines="50" w:line="300" w:lineRule="auto"/>
      <w:ind w:left="180" w:firstLine="0" w:firstLineChars="0"/>
      <w:jc w:val="left"/>
      <w:outlineLvl w:val="2"/>
    </w:pPr>
    <w:rPr>
      <w:rFonts w:ascii="仿宋_GB2312" w:eastAsia="仿宋_GB2312"/>
      <w:b/>
      <w:color w:val="auto"/>
      <w:sz w:val="30"/>
      <w:szCs w:val="30"/>
    </w:rPr>
  </w:style>
  <w:style w:type="paragraph" w:customStyle="1" w:styleId="623">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624">
    <w:name w:val="表体"/>
    <w:basedOn w:val="467"/>
    <w:qFormat/>
    <w:uiPriority w:val="0"/>
    <w:pPr>
      <w:overflowPunct w:val="0"/>
      <w:spacing w:line="360" w:lineRule="exact"/>
      <w:ind w:left="-57" w:right="-57"/>
    </w:pPr>
    <w:rPr>
      <w:rFonts w:ascii="宋体" w:eastAsia="宋体"/>
      <w:color w:val="000080"/>
      <w:spacing w:val="0"/>
      <w:kern w:val="24"/>
      <w:sz w:val="24"/>
    </w:rPr>
  </w:style>
  <w:style w:type="paragraph" w:customStyle="1" w:styleId="625">
    <w:name w:val="EIA标题2"/>
    <w:basedOn w:val="3"/>
    <w:qFormat/>
    <w:uiPriority w:val="0"/>
    <w:pPr>
      <w:tabs>
        <w:tab w:val="left" w:pos="360"/>
        <w:tab w:val="clear" w:pos="576"/>
      </w:tabs>
      <w:spacing w:beforeLines="0" w:after="120" w:line="440" w:lineRule="exact"/>
      <w:ind w:left="360" w:hanging="360"/>
    </w:pPr>
    <w:rPr>
      <w:rFonts w:ascii="Times New Roman" w:hAnsi="Times New Roman" w:eastAsia="黑体"/>
      <w:b w:val="0"/>
      <w:bCs w:val="0"/>
      <w:sz w:val="24"/>
      <w:szCs w:val="24"/>
    </w:rPr>
  </w:style>
  <w:style w:type="paragraph" w:customStyle="1" w:styleId="626">
    <w:name w:val="五号表格"/>
    <w:basedOn w:val="1"/>
    <w:qFormat/>
    <w:uiPriority w:val="0"/>
    <w:pPr>
      <w:spacing w:line="240" w:lineRule="auto"/>
      <w:ind w:firstLine="0" w:firstLineChars="0"/>
      <w:jc w:val="center"/>
    </w:pPr>
    <w:rPr>
      <w:rFonts w:ascii="Times New Roman" w:hAnsi="Times New Roman"/>
      <w:color w:val="auto"/>
      <w:kern w:val="0"/>
      <w:sz w:val="21"/>
      <w:szCs w:val="20"/>
    </w:rPr>
  </w:style>
  <w:style w:type="paragraph" w:customStyle="1" w:styleId="627">
    <w:name w:val="样式 首行缩进:  0.99 厘米 行距: 1.5 倍行距2"/>
    <w:basedOn w:val="1"/>
    <w:qFormat/>
    <w:uiPriority w:val="0"/>
    <w:pPr>
      <w:adjustRightInd w:val="0"/>
      <w:snapToGrid w:val="0"/>
      <w:spacing w:line="240" w:lineRule="auto"/>
      <w:ind w:firstLine="0" w:firstLineChars="0"/>
      <w:jc w:val="center"/>
    </w:pPr>
    <w:rPr>
      <w:color w:val="FF0000"/>
      <w:sz w:val="21"/>
    </w:rPr>
  </w:style>
  <w:style w:type="paragraph" w:customStyle="1" w:styleId="628">
    <w:name w:val="text"/>
    <w:basedOn w:val="1"/>
    <w:qFormat/>
    <w:uiPriority w:val="0"/>
    <w:pPr>
      <w:widowControl/>
      <w:spacing w:line="240" w:lineRule="auto"/>
      <w:ind w:firstLine="0" w:firstLineChars="0"/>
      <w:jc w:val="left"/>
    </w:pPr>
    <w:rPr>
      <w:rFonts w:ascii="Courier New" w:hAnsi="Courier New" w:eastAsia="Arial Unicode MS" w:cs="Courier New"/>
      <w:kern w:val="0"/>
      <w:sz w:val="22"/>
      <w:szCs w:val="22"/>
    </w:rPr>
  </w:style>
  <w:style w:type="paragraph" w:customStyle="1" w:styleId="629">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int="eastAsia" w:ascii="楷体_GB2312" w:hAnsi="Arial Unicode MS" w:eastAsia="楷体_GB2312"/>
      <w:color w:val="auto"/>
      <w:kern w:val="0"/>
      <w:szCs w:val="24"/>
    </w:rPr>
  </w:style>
  <w:style w:type="paragraph" w:customStyle="1" w:styleId="630">
    <w:name w:val="环标2"/>
    <w:basedOn w:val="3"/>
    <w:qFormat/>
    <w:uiPriority w:val="0"/>
    <w:pPr>
      <w:adjustRightInd w:val="0"/>
      <w:spacing w:beforeLines="0" w:after="120" w:line="312" w:lineRule="atLeast"/>
      <w:ind w:left="0" w:firstLine="0"/>
      <w:textAlignment w:val="baseline"/>
    </w:pPr>
    <w:rPr>
      <w:rFonts w:ascii="黑体" w:eastAsia="黑体"/>
      <w:b w:val="0"/>
      <w:bCs w:val="0"/>
      <w:color w:val="auto"/>
      <w:kern w:val="0"/>
      <w:sz w:val="28"/>
      <w:szCs w:val="20"/>
    </w:rPr>
  </w:style>
  <w:style w:type="paragraph" w:customStyle="1" w:styleId="631">
    <w:name w:val="表格 32"/>
    <w:basedOn w:val="1"/>
    <w:qFormat/>
    <w:uiPriority w:val="0"/>
    <w:pPr>
      <w:autoSpaceDE w:val="0"/>
      <w:autoSpaceDN w:val="0"/>
      <w:adjustRightInd w:val="0"/>
      <w:spacing w:line="240" w:lineRule="auto"/>
      <w:ind w:firstLine="0" w:firstLineChars="0"/>
      <w:jc w:val="center"/>
      <w:textAlignment w:val="baseline"/>
    </w:pPr>
    <w:rPr>
      <w:rFonts w:ascii="Times New Roman" w:hAnsi="Times New Roman" w:eastAsia="仿宋_GB2312"/>
      <w:color w:val="auto"/>
      <w:kern w:val="0"/>
      <w:szCs w:val="20"/>
    </w:rPr>
  </w:style>
  <w:style w:type="paragraph" w:customStyle="1" w:styleId="632">
    <w:name w:val="简单回函地址"/>
    <w:basedOn w:val="1"/>
    <w:qFormat/>
    <w:uiPriority w:val="0"/>
    <w:pPr>
      <w:spacing w:line="240" w:lineRule="auto"/>
      <w:ind w:firstLine="0" w:firstLineChars="0"/>
    </w:pPr>
    <w:rPr>
      <w:rFonts w:ascii="Times New Roman" w:hAnsi="Times New Roman"/>
      <w:color w:val="auto"/>
      <w:sz w:val="21"/>
      <w:szCs w:val="24"/>
    </w:rPr>
  </w:style>
  <w:style w:type="paragraph" w:customStyle="1" w:styleId="633">
    <w:name w:val="a"/>
    <w:basedOn w:val="1"/>
    <w:qFormat/>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634">
    <w:name w:val="样式 样式 (中文) 仿宋_GB2312 四号1 + 首行缩进:  2 字符"/>
    <w:basedOn w:val="635"/>
    <w:qFormat/>
    <w:uiPriority w:val="0"/>
    <w:pPr>
      <w:tabs>
        <w:tab w:val="left" w:pos="1800"/>
      </w:tabs>
      <w:spacing w:line="460" w:lineRule="exact"/>
      <w:ind w:firstLine="560"/>
      <w:jc w:val="center"/>
    </w:pPr>
    <w:rPr>
      <w:rFonts w:cs="宋体"/>
    </w:rPr>
  </w:style>
  <w:style w:type="paragraph" w:customStyle="1" w:styleId="635">
    <w:name w:val="样式 (中文) 仿宋_GB2312 四号1"/>
    <w:basedOn w:val="1"/>
    <w:qFormat/>
    <w:uiPriority w:val="0"/>
    <w:pPr>
      <w:spacing w:line="240" w:lineRule="auto"/>
      <w:ind w:firstLine="520"/>
    </w:pPr>
    <w:rPr>
      <w:rFonts w:ascii="Times New Roman" w:hAnsi="Times New Roman" w:eastAsia="仿宋_GB2312"/>
      <w:color w:val="auto"/>
      <w:sz w:val="28"/>
      <w:szCs w:val="20"/>
    </w:rPr>
  </w:style>
  <w:style w:type="paragraph" w:customStyle="1" w:styleId="636">
    <w:name w:val="样式16"/>
    <w:basedOn w:val="1"/>
    <w:qFormat/>
    <w:uiPriority w:val="0"/>
    <w:pPr>
      <w:tabs>
        <w:tab w:val="left" w:pos="0"/>
      </w:tabs>
      <w:ind w:firstLine="0"/>
    </w:pPr>
  </w:style>
  <w:style w:type="paragraph" w:styleId="637">
    <w:name w:val="List Paragraph"/>
    <w:basedOn w:val="1"/>
    <w:qFormat/>
    <w:uiPriority w:val="99"/>
    <w:pPr>
      <w:ind w:firstLine="420"/>
    </w:pPr>
  </w:style>
  <w:style w:type="paragraph" w:customStyle="1" w:styleId="638">
    <w:name w:val="p19"/>
    <w:basedOn w:val="1"/>
    <w:qFormat/>
    <w:uiPriority w:val="0"/>
    <w:pPr>
      <w:widowControl/>
      <w:snapToGrid w:val="0"/>
      <w:spacing w:before="60" w:line="240" w:lineRule="auto"/>
      <w:ind w:firstLine="0" w:firstLineChars="0"/>
      <w:jc w:val="center"/>
    </w:pPr>
    <w:rPr>
      <w:rFonts w:ascii="Times New Roman" w:hAnsi="Times New Roman"/>
      <w:color w:val="auto"/>
      <w:kern w:val="0"/>
      <w:sz w:val="21"/>
    </w:rPr>
  </w:style>
  <w:style w:type="paragraph" w:customStyle="1" w:styleId="639">
    <w:name w:val="MTDisplayEquation"/>
    <w:basedOn w:val="1"/>
    <w:next w:val="1"/>
    <w:qFormat/>
    <w:uiPriority w:val="0"/>
    <w:pPr>
      <w:tabs>
        <w:tab w:val="center" w:pos="4160"/>
        <w:tab w:val="right" w:pos="8300"/>
      </w:tabs>
      <w:spacing w:line="240" w:lineRule="auto"/>
      <w:ind w:firstLine="0" w:firstLineChars="0"/>
    </w:pPr>
    <w:rPr>
      <w:rFonts w:ascii="Times New Roman" w:hAnsi="Times New Roman"/>
      <w:color w:val="auto"/>
      <w:sz w:val="21"/>
      <w:szCs w:val="24"/>
    </w:rPr>
  </w:style>
  <w:style w:type="paragraph" w:customStyle="1" w:styleId="640">
    <w:name w:val="报告正文"/>
    <w:basedOn w:val="1"/>
    <w:qFormat/>
    <w:uiPriority w:val="0"/>
    <w:pPr>
      <w:ind w:firstLine="482" w:firstLineChars="0"/>
    </w:pPr>
    <w:rPr>
      <w:rFonts w:ascii="Times New Roman" w:hAnsi="Times New Roman"/>
      <w:color w:val="auto"/>
    </w:rPr>
  </w:style>
  <w:style w:type="paragraph" w:customStyle="1" w:styleId="641">
    <w:name w:val="1.2.5"/>
    <w:basedOn w:val="5"/>
    <w:qFormat/>
    <w:uiPriority w:val="0"/>
    <w:pPr>
      <w:tabs>
        <w:tab w:val="left" w:pos="3076"/>
      </w:tabs>
      <w:ind w:left="1984" w:hanging="708"/>
    </w:pPr>
  </w:style>
  <w:style w:type="paragraph" w:customStyle="1" w:styleId="642">
    <w:name w:val="xl2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hint="eastAsia"/>
      <w:color w:val="auto"/>
      <w:kern w:val="0"/>
      <w:sz w:val="21"/>
    </w:rPr>
  </w:style>
  <w:style w:type="paragraph" w:customStyle="1" w:styleId="643">
    <w:name w:val="In Table"/>
    <w:basedOn w:val="1"/>
    <w:qFormat/>
    <w:uiPriority w:val="0"/>
    <w:pPr>
      <w:tabs>
        <w:tab w:val="left" w:pos="2200"/>
        <w:tab w:val="left" w:pos="3960"/>
        <w:tab w:val="left" w:pos="5280"/>
      </w:tabs>
      <w:spacing w:before="96" w:after="96" w:line="0" w:lineRule="atLeast"/>
      <w:ind w:firstLine="0" w:firstLineChars="0"/>
      <w:jc w:val="center"/>
    </w:pPr>
    <w:rPr>
      <w:rFonts w:ascii="Tahoma" w:hAnsi="Tahoma" w:eastAsia="华文中宋"/>
      <w:color w:val="auto"/>
      <w:sz w:val="21"/>
      <w:szCs w:val="20"/>
    </w:rPr>
  </w:style>
  <w:style w:type="paragraph" w:customStyle="1" w:styleId="644">
    <w:name w:val="style2"/>
    <w:basedOn w:val="1"/>
    <w:qFormat/>
    <w:uiPriority w:val="0"/>
    <w:pPr>
      <w:widowControl/>
      <w:spacing w:before="100" w:beforeAutospacing="1" w:after="100" w:afterAutospacing="1" w:line="240" w:lineRule="auto"/>
      <w:ind w:firstLine="0" w:firstLineChars="0"/>
      <w:jc w:val="left"/>
    </w:pPr>
    <w:rPr>
      <w:b/>
      <w:bCs/>
      <w:color w:val="FF0000"/>
      <w:kern w:val="0"/>
      <w:sz w:val="27"/>
      <w:szCs w:val="27"/>
    </w:rPr>
  </w:style>
  <w:style w:type="paragraph" w:customStyle="1" w:styleId="645">
    <w:name w:val="正文样式1"/>
    <w:basedOn w:val="1"/>
    <w:qFormat/>
    <w:uiPriority w:val="0"/>
    <w:pPr>
      <w:adjustRightInd w:val="0"/>
      <w:ind w:firstLine="480"/>
      <w:textAlignment w:val="baseline"/>
    </w:pPr>
    <w:rPr>
      <w:rFonts w:ascii="Arial" w:hAnsi="Arial" w:cs="Arial"/>
      <w:color w:val="auto"/>
      <w:kern w:val="0"/>
      <w:szCs w:val="20"/>
    </w:rPr>
  </w:style>
  <w:style w:type="paragraph" w:customStyle="1" w:styleId="646">
    <w:name w:val="注释"/>
    <w:basedOn w:val="1"/>
    <w:qFormat/>
    <w:uiPriority w:val="0"/>
    <w:pPr>
      <w:widowControl/>
      <w:spacing w:before="60" w:line="360" w:lineRule="exact"/>
      <w:jc w:val="left"/>
    </w:pPr>
    <w:rPr>
      <w:rFonts w:cs="宋体"/>
      <w:color w:val="auto"/>
      <w:kern w:val="0"/>
      <w:sz w:val="21"/>
      <w:szCs w:val="24"/>
    </w:rPr>
  </w:style>
  <w:style w:type="paragraph" w:customStyle="1" w:styleId="647">
    <w:name w:val="小五居左"/>
    <w:qFormat/>
    <w:uiPriority w:val="0"/>
    <w:pPr>
      <w:adjustRightInd w:val="0"/>
      <w:snapToGrid w:val="0"/>
      <w:spacing w:line="360" w:lineRule="auto"/>
      <w:jc w:val="both"/>
    </w:pPr>
    <w:rPr>
      <w:rFonts w:ascii="Times New Roman" w:hAnsi="Times New Roman" w:eastAsia="宋体" w:cs="Times New Roman"/>
      <w:sz w:val="21"/>
      <w:szCs w:val="21"/>
      <w:lang w:val="en-US" w:eastAsia="zh-CN" w:bidi="ar-SA"/>
    </w:rPr>
  </w:style>
  <w:style w:type="paragraph" w:customStyle="1" w:styleId="648">
    <w:name w:val="样式 [正文格式] + 首行缩进:  2 字符"/>
    <w:basedOn w:val="1"/>
    <w:qFormat/>
    <w:uiPriority w:val="0"/>
    <w:rPr>
      <w:rFonts w:ascii="Times New Roman" w:hAnsi="Times New Roman" w:cs="宋体"/>
      <w:color w:val="auto"/>
      <w:szCs w:val="20"/>
    </w:rPr>
  </w:style>
  <w:style w:type="paragraph" w:customStyle="1" w:styleId="649">
    <w:name w:val="默认段落字体 Para Char Char Char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650">
    <w:name w:val="xl36"/>
    <w:basedOn w:val="1"/>
    <w:qFormat/>
    <w:uiPriority w:val="0"/>
    <w:pPr>
      <w:widowControl/>
      <w:spacing w:before="100" w:beforeAutospacing="1" w:after="100" w:afterAutospacing="1" w:line="240" w:lineRule="auto"/>
      <w:ind w:firstLine="0" w:firstLineChars="0"/>
      <w:jc w:val="left"/>
    </w:pPr>
    <w:rPr>
      <w:rFonts w:ascii="Arial Unicode MS" w:hAnsi="Arial Unicode MS" w:eastAsia="Arial Unicode MS"/>
      <w:b/>
      <w:bCs/>
      <w:color w:val="auto"/>
      <w:kern w:val="0"/>
      <w:sz w:val="20"/>
      <w:szCs w:val="20"/>
    </w:rPr>
  </w:style>
  <w:style w:type="paragraph" w:customStyle="1" w:styleId="651">
    <w:name w:val="中远正文"/>
    <w:basedOn w:val="1"/>
    <w:qFormat/>
    <w:uiPriority w:val="0"/>
    <w:pPr>
      <w:adjustRightInd w:val="0"/>
      <w:spacing w:line="240" w:lineRule="auto"/>
      <w:ind w:firstLine="549"/>
      <w:textAlignment w:val="baseline"/>
    </w:pPr>
    <w:rPr>
      <w:rFonts w:ascii="黑体" w:hAnsi="ˎ̥" w:eastAsia="黑体"/>
      <w:snapToGrid w:val="0"/>
      <w:kern w:val="24"/>
      <w:sz w:val="26"/>
      <w:szCs w:val="24"/>
    </w:rPr>
  </w:style>
  <w:style w:type="paragraph" w:customStyle="1" w:styleId="652">
    <w:name w:val="表格下方正文"/>
    <w:basedOn w:val="1"/>
    <w:qFormat/>
    <w:uiPriority w:val="0"/>
    <w:pPr>
      <w:spacing w:before="400" w:line="460" w:lineRule="exact"/>
    </w:pPr>
    <w:rPr>
      <w:rFonts w:ascii="Times New Roman" w:hAnsi="Times New Roman"/>
      <w:color w:val="auto"/>
      <w:szCs w:val="20"/>
    </w:rPr>
  </w:style>
  <w:style w:type="paragraph" w:customStyle="1" w:styleId="653">
    <w:name w:val="表内格式"/>
    <w:basedOn w:val="1"/>
    <w:qFormat/>
    <w:uiPriority w:val="0"/>
    <w:pPr>
      <w:spacing w:line="240" w:lineRule="auto"/>
      <w:ind w:firstLine="0" w:firstLineChars="0"/>
      <w:jc w:val="center"/>
    </w:pPr>
    <w:rPr>
      <w:rFonts w:ascii="Times New Roman" w:hAnsi="Times New Roman"/>
      <w:color w:val="auto"/>
      <w:sz w:val="18"/>
      <w:szCs w:val="20"/>
    </w:rPr>
  </w:style>
  <w:style w:type="paragraph" w:customStyle="1" w:styleId="654">
    <w:name w:val="文本正文"/>
    <w:basedOn w:val="1"/>
    <w:qFormat/>
    <w:uiPriority w:val="0"/>
    <w:pPr>
      <w:snapToGrid w:val="0"/>
      <w:ind w:firstLine="510" w:firstLineChars="0"/>
      <w:jc w:val="left"/>
    </w:pPr>
    <w:rPr>
      <w:rFonts w:hAnsi="Times New Roman"/>
      <w:color w:val="auto"/>
      <w:spacing w:val="4"/>
      <w:kern w:val="24"/>
      <w:szCs w:val="24"/>
      <w:lang w:val="zh-CN"/>
    </w:rPr>
  </w:style>
  <w:style w:type="paragraph" w:customStyle="1" w:styleId="655">
    <w:name w:val="框图文字"/>
    <w:basedOn w:val="1"/>
    <w:qFormat/>
    <w:uiPriority w:val="0"/>
    <w:pPr>
      <w:spacing w:before="31" w:line="240" w:lineRule="exact"/>
      <w:ind w:firstLine="0" w:firstLineChars="0"/>
      <w:jc w:val="center"/>
    </w:pPr>
    <w:rPr>
      <w:rFonts w:ascii="Times New Roman" w:hAnsi="Times New Roman"/>
      <w:color w:val="auto"/>
      <w:spacing w:val="20"/>
      <w:sz w:val="21"/>
      <w:szCs w:val="20"/>
    </w:rPr>
  </w:style>
  <w:style w:type="paragraph" w:customStyle="1" w:styleId="656">
    <w:name w:val="表格文字（居中）"/>
    <w:basedOn w:val="1"/>
    <w:qFormat/>
    <w:uiPriority w:val="0"/>
    <w:pPr>
      <w:spacing w:line="240" w:lineRule="auto"/>
      <w:ind w:firstLine="0" w:firstLineChars="0"/>
      <w:jc w:val="center"/>
    </w:pPr>
    <w:rPr>
      <w:rFonts w:ascii="Times New Roman" w:hAnsi="Times New Roman"/>
      <w:color w:val="auto"/>
      <w:sz w:val="21"/>
    </w:rPr>
  </w:style>
  <w:style w:type="paragraph" w:customStyle="1" w:styleId="657">
    <w:name w:val="样式 正文文本缩进正文文字缩进正文文字缩进1 + 首行缩进:  0.98 厘米"/>
    <w:basedOn w:val="32"/>
    <w:qFormat/>
    <w:uiPriority w:val="0"/>
    <w:pPr>
      <w:snapToGrid w:val="0"/>
      <w:spacing w:after="0" w:line="460" w:lineRule="exact"/>
      <w:ind w:left="0" w:leftChars="0" w:firstLine="556"/>
    </w:pPr>
    <w:rPr>
      <w:rFonts w:hint="eastAsia" w:cs="宋体"/>
      <w:bCs/>
      <w:kern w:val="0"/>
      <w:sz w:val="24"/>
    </w:rPr>
  </w:style>
  <w:style w:type="paragraph" w:customStyle="1" w:styleId="658">
    <w:name w:val="a3"/>
    <w:basedOn w:val="1"/>
    <w:qFormat/>
    <w:uiPriority w:val="0"/>
    <w:pPr>
      <w:widowControl/>
      <w:spacing w:before="100" w:beforeAutospacing="1" w:after="100" w:afterAutospacing="1" w:line="240" w:lineRule="auto"/>
      <w:ind w:firstLine="0" w:firstLineChars="0"/>
      <w:jc w:val="left"/>
    </w:pPr>
    <w:rPr>
      <w:kern w:val="0"/>
      <w:szCs w:val="24"/>
    </w:rPr>
  </w:style>
  <w:style w:type="paragraph" w:customStyle="1" w:styleId="65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olor w:val="auto"/>
      <w:kern w:val="0"/>
      <w:sz w:val="21"/>
      <w:szCs w:val="20"/>
    </w:rPr>
  </w:style>
  <w:style w:type="paragraph" w:customStyle="1" w:styleId="660">
    <w:name w:val="报告表格"/>
    <w:basedOn w:val="1"/>
    <w:qFormat/>
    <w:uiPriority w:val="0"/>
    <w:pPr>
      <w:autoSpaceDE w:val="0"/>
      <w:autoSpaceDN w:val="0"/>
      <w:adjustRightInd w:val="0"/>
      <w:spacing w:before="40" w:after="40" w:line="240" w:lineRule="auto"/>
      <w:ind w:firstLine="0" w:firstLineChars="0"/>
      <w:jc w:val="center"/>
      <w:textAlignment w:val="baseline"/>
    </w:pPr>
    <w:rPr>
      <w:rFonts w:ascii="Times New Roman" w:hAnsi="Times New Roman"/>
      <w:color w:val="auto"/>
      <w:kern w:val="0"/>
      <w:sz w:val="21"/>
      <w:szCs w:val="20"/>
    </w:rPr>
  </w:style>
  <w:style w:type="paragraph" w:customStyle="1" w:styleId="661">
    <w:name w:val="罗列"/>
    <w:basedOn w:val="1"/>
    <w:qFormat/>
    <w:uiPriority w:val="0"/>
    <w:pPr>
      <w:tabs>
        <w:tab w:val="left" w:pos="964"/>
      </w:tabs>
      <w:snapToGrid w:val="0"/>
      <w:spacing w:line="300" w:lineRule="auto"/>
      <w:ind w:firstLine="0" w:firstLineChars="0"/>
    </w:pPr>
    <w:rPr>
      <w:rFonts w:hAnsi="Times New Roman" w:eastAsia="楷体_GB2312"/>
      <w:color w:val="auto"/>
      <w:spacing w:val="4"/>
      <w:sz w:val="28"/>
      <w:szCs w:val="20"/>
    </w:rPr>
  </w:style>
  <w:style w:type="paragraph" w:customStyle="1" w:styleId="662">
    <w:name w:val="p17"/>
    <w:basedOn w:val="1"/>
    <w:qFormat/>
    <w:uiPriority w:val="0"/>
    <w:pPr>
      <w:widowControl/>
      <w:ind w:firstLine="0" w:firstLineChars="0"/>
      <w:jc w:val="center"/>
    </w:pPr>
    <w:rPr>
      <w:rFonts w:ascii="Arial" w:hAnsi="Arial" w:cs="Arial"/>
      <w:b/>
      <w:bCs/>
      <w:color w:val="auto"/>
      <w:kern w:val="0"/>
      <w:szCs w:val="24"/>
    </w:rPr>
  </w:style>
  <w:style w:type="paragraph" w:customStyle="1" w:styleId="66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hint="eastAsia" w:hAnsi="Times New Roman"/>
      <w:color w:val="auto"/>
      <w:kern w:val="0"/>
      <w:szCs w:val="28"/>
    </w:rPr>
  </w:style>
  <w:style w:type="paragraph" w:customStyle="1" w:styleId="664">
    <w:name w:val="五级无标题条"/>
    <w:basedOn w:val="1"/>
    <w:qFormat/>
    <w:uiPriority w:val="0"/>
    <w:pPr>
      <w:tabs>
        <w:tab w:val="left" w:pos="780"/>
      </w:tabs>
      <w:spacing w:line="240" w:lineRule="auto"/>
      <w:ind w:left="780" w:leftChars="200" w:hanging="360" w:hangingChars="200"/>
    </w:pPr>
    <w:rPr>
      <w:rFonts w:ascii="Times New Roman" w:hAnsi="Times New Roman"/>
      <w:color w:val="auto"/>
      <w:sz w:val="21"/>
      <w:szCs w:val="24"/>
    </w:rPr>
  </w:style>
  <w:style w:type="paragraph" w:customStyle="1" w:styleId="665">
    <w:name w:val="表格字体"/>
    <w:basedOn w:val="1"/>
    <w:qFormat/>
    <w:uiPriority w:val="0"/>
    <w:pPr>
      <w:spacing w:line="400" w:lineRule="exact"/>
      <w:ind w:firstLine="0" w:firstLineChars="0"/>
      <w:jc w:val="center"/>
    </w:pPr>
    <w:rPr>
      <w:rFonts w:ascii="仿宋_GB2312" w:hAnsi="Times New Roman" w:eastAsia="仿宋_GB2312"/>
      <w:color w:val="auto"/>
      <w:spacing w:val="2"/>
      <w:sz w:val="21"/>
      <w:szCs w:val="20"/>
    </w:rPr>
  </w:style>
  <w:style w:type="paragraph" w:customStyle="1" w:styleId="666">
    <w:name w:val="注解"/>
    <w:basedOn w:val="19"/>
    <w:qFormat/>
    <w:uiPriority w:val="0"/>
    <w:pPr>
      <w:adjustRightInd/>
      <w:snapToGrid/>
      <w:spacing w:before="60" w:line="360" w:lineRule="exact"/>
    </w:pPr>
    <w:rPr>
      <w:rFonts w:ascii="Times New Roman" w:eastAsia="宋体"/>
      <w:sz w:val="21"/>
    </w:rPr>
  </w:style>
  <w:style w:type="paragraph" w:customStyle="1" w:styleId="667">
    <w:name w:val="4"/>
    <w:basedOn w:val="1"/>
    <w:next w:val="42"/>
    <w:qFormat/>
    <w:uiPriority w:val="0"/>
    <w:pPr>
      <w:spacing w:line="240" w:lineRule="auto"/>
      <w:ind w:firstLine="0" w:firstLineChars="0"/>
    </w:pPr>
    <w:rPr>
      <w:rFonts w:hAnsi="Courier New" w:cs="隶书"/>
      <w:color w:val="auto"/>
      <w:sz w:val="21"/>
    </w:rPr>
  </w:style>
  <w:style w:type="paragraph" w:customStyle="1" w:styleId="668">
    <w:name w:val="公式样式1"/>
    <w:basedOn w:val="1"/>
    <w:qFormat/>
    <w:uiPriority w:val="0"/>
    <w:pPr>
      <w:adjustRightInd w:val="0"/>
      <w:snapToGrid w:val="0"/>
      <w:spacing w:line="240" w:lineRule="auto"/>
      <w:ind w:firstLine="0" w:firstLineChars="0"/>
      <w:jc w:val="center"/>
    </w:pPr>
    <w:rPr>
      <w:rFonts w:ascii="仿宋_GB2312" w:hAnsi="Times New Roman" w:eastAsia="仿宋_GB2312"/>
      <w:color w:val="auto"/>
      <w:sz w:val="21"/>
      <w:szCs w:val="24"/>
    </w:rPr>
  </w:style>
  <w:style w:type="paragraph" w:customStyle="1" w:styleId="669">
    <w:name w:val="font7"/>
    <w:basedOn w:val="1"/>
    <w:qFormat/>
    <w:uiPriority w:val="0"/>
    <w:pPr>
      <w:widowControl/>
      <w:spacing w:before="100" w:beforeAutospacing="1" w:after="100" w:afterAutospacing="1" w:line="240" w:lineRule="auto"/>
      <w:ind w:firstLine="0" w:firstLineChars="0"/>
      <w:jc w:val="left"/>
    </w:pPr>
    <w:rPr>
      <w:rFonts w:ascii="Times New Roman" w:hAnsi="Times New Roman" w:eastAsia="Arial Unicode MS"/>
      <w:color w:val="auto"/>
      <w:kern w:val="0"/>
      <w:sz w:val="20"/>
      <w:szCs w:val="20"/>
    </w:rPr>
  </w:style>
  <w:style w:type="paragraph" w:customStyle="1" w:styleId="670">
    <w:name w:val="标题03"/>
    <w:basedOn w:val="1"/>
    <w:next w:val="1"/>
    <w:qFormat/>
    <w:uiPriority w:val="0"/>
    <w:pPr>
      <w:spacing w:line="480" w:lineRule="atLeast"/>
      <w:ind w:firstLine="480" w:firstLineChars="0"/>
    </w:pPr>
    <w:rPr>
      <w:rFonts w:ascii="Times New Roman" w:hAnsi="Times New Roman"/>
      <w:b/>
      <w:color w:val="auto"/>
      <w:szCs w:val="20"/>
    </w:rPr>
  </w:style>
  <w:style w:type="paragraph" w:customStyle="1" w:styleId="671">
    <w:name w:val="Char Char Char Char Char Char"/>
    <w:basedOn w:val="1"/>
    <w:qFormat/>
    <w:uiPriority w:val="0"/>
    <w:pPr>
      <w:spacing w:line="240" w:lineRule="auto"/>
      <w:ind w:firstLine="0" w:firstLineChars="0"/>
    </w:pPr>
    <w:rPr>
      <w:color w:val="auto"/>
      <w:szCs w:val="24"/>
    </w:rPr>
  </w:style>
  <w:style w:type="paragraph" w:customStyle="1" w:styleId="672">
    <w:name w:val="dandan6-13正文 Char Char Char"/>
    <w:basedOn w:val="1"/>
    <w:next w:val="1"/>
    <w:qFormat/>
    <w:uiPriority w:val="0"/>
    <w:pPr>
      <w:keepNext/>
      <w:keepLines/>
      <w:widowControl/>
      <w:adjustRightInd w:val="0"/>
      <w:spacing w:before="40" w:after="40"/>
      <w:textAlignment w:val="baseline"/>
    </w:pPr>
    <w:rPr>
      <w:rFonts w:ascii="Times New Roman" w:hAnsi="Times New Roman" w:cs="宋体"/>
      <w:color w:val="auto"/>
      <w:kern w:val="0"/>
      <w:szCs w:val="28"/>
    </w:rPr>
  </w:style>
  <w:style w:type="paragraph" w:customStyle="1" w:styleId="673">
    <w:name w:val="编号1"/>
    <w:basedOn w:val="1"/>
    <w:qFormat/>
    <w:uiPriority w:val="0"/>
    <w:pPr>
      <w:tabs>
        <w:tab w:val="left" w:pos="1004"/>
      </w:tabs>
      <w:spacing w:line="240" w:lineRule="auto"/>
      <w:ind w:left="1004" w:hanging="360" w:firstLineChars="0"/>
    </w:pPr>
    <w:rPr>
      <w:rFonts w:ascii="Times New Roman" w:hAnsi="Times New Roman"/>
      <w:color w:val="auto"/>
      <w:sz w:val="21"/>
      <w:szCs w:val="20"/>
    </w:rPr>
  </w:style>
  <w:style w:type="paragraph" w:customStyle="1" w:styleId="674">
    <w:name w:val="7777"/>
    <w:basedOn w:val="82"/>
    <w:next w:val="82"/>
    <w:qFormat/>
    <w:uiPriority w:val="0"/>
    <w:pPr>
      <w:adjustRightInd/>
      <w:snapToGrid/>
      <w:spacing w:line="360" w:lineRule="auto"/>
      <w:ind w:left="0" w:leftChars="0" w:firstLine="540" w:firstLineChars="225"/>
    </w:pPr>
    <w:rPr>
      <w:rFonts w:ascii="Times New Roman" w:eastAsia="宋体"/>
      <w:sz w:val="24"/>
      <w:szCs w:val="20"/>
    </w:rPr>
  </w:style>
  <w:style w:type="paragraph" w:customStyle="1" w:styleId="675">
    <w:name w:val="1表格"/>
    <w:basedOn w:val="1"/>
    <w:qFormat/>
    <w:uiPriority w:val="0"/>
    <w:pPr>
      <w:spacing w:line="160" w:lineRule="atLeast"/>
      <w:ind w:firstLine="0" w:firstLineChars="0"/>
      <w:jc w:val="center"/>
    </w:pPr>
    <w:rPr>
      <w:rFonts w:ascii="Times New Roman" w:hAnsi="Times New Roman" w:eastAsia="仿宋_GB2312"/>
      <w:color w:val="auto"/>
      <w:sz w:val="21"/>
      <w:szCs w:val="20"/>
    </w:rPr>
  </w:style>
  <w:style w:type="paragraph" w:customStyle="1" w:styleId="676">
    <w:name w:val="xl39"/>
    <w:basedOn w:val="1"/>
    <w:qFormat/>
    <w:uiPriority w:val="0"/>
    <w:pPr>
      <w:widowControl/>
      <w:spacing w:before="100" w:beforeAutospacing="1" w:after="100" w:afterAutospacing="1" w:line="240" w:lineRule="auto"/>
      <w:ind w:firstLine="0" w:firstLineChars="0"/>
      <w:jc w:val="left"/>
    </w:pPr>
    <w:rPr>
      <w:rFonts w:ascii="Times New Roman" w:hAnsi="Times New Roman" w:eastAsia="Arial Unicode MS"/>
      <w:b/>
      <w:bCs/>
      <w:color w:val="auto"/>
      <w:kern w:val="0"/>
      <w:sz w:val="20"/>
      <w:szCs w:val="20"/>
    </w:rPr>
  </w:style>
  <w:style w:type="paragraph" w:customStyle="1" w:styleId="677">
    <w:name w:val="新正文"/>
    <w:basedOn w:val="1"/>
    <w:qFormat/>
    <w:uiPriority w:val="0"/>
    <w:pPr>
      <w:spacing w:line="480" w:lineRule="exact"/>
      <w:ind w:firstLine="567" w:firstLineChars="0"/>
    </w:pPr>
    <w:rPr>
      <w:rFonts w:ascii="仿宋_GB2312" w:hAnsi="Times New Roman" w:eastAsia="仿宋_GB2312"/>
      <w:bCs/>
      <w:color w:val="auto"/>
      <w:kern w:val="0"/>
      <w:sz w:val="28"/>
      <w:szCs w:val="20"/>
    </w:rPr>
  </w:style>
  <w:style w:type="paragraph" w:customStyle="1" w:styleId="678">
    <w:name w:val="封面标准号2"/>
    <w:basedOn w:val="1"/>
    <w:qFormat/>
    <w:uiPriority w:val="0"/>
    <w:pPr>
      <w:kinsoku w:val="0"/>
      <w:overflowPunct w:val="0"/>
      <w:autoSpaceDE w:val="0"/>
      <w:autoSpaceDN w:val="0"/>
      <w:adjustRightInd w:val="0"/>
      <w:spacing w:before="357" w:line="280" w:lineRule="exact"/>
      <w:ind w:firstLine="0" w:firstLineChars="0"/>
      <w:jc w:val="right"/>
      <w:textAlignment w:val="center"/>
    </w:pPr>
    <w:rPr>
      <w:rFonts w:ascii="Times New Roman" w:hAnsi="Times New Roman"/>
      <w:color w:val="auto"/>
      <w:kern w:val="0"/>
      <w:sz w:val="28"/>
      <w:szCs w:val="20"/>
    </w:rPr>
  </w:style>
  <w:style w:type="paragraph" w:customStyle="1" w:styleId="679">
    <w:name w:val="正文文本 21"/>
    <w:basedOn w:val="1"/>
    <w:qFormat/>
    <w:uiPriority w:val="0"/>
    <w:pPr>
      <w:autoSpaceDE w:val="0"/>
      <w:autoSpaceDN w:val="0"/>
      <w:adjustRightInd w:val="0"/>
      <w:spacing w:line="360" w:lineRule="atLeast"/>
      <w:ind w:firstLine="425" w:firstLineChars="0"/>
      <w:textAlignment w:val="baseline"/>
    </w:pPr>
    <w:rPr>
      <w:rFonts w:hAnsi="Tms Rmn"/>
      <w:color w:val="auto"/>
      <w:kern w:val="0"/>
      <w:sz w:val="28"/>
      <w:szCs w:val="20"/>
    </w:rPr>
  </w:style>
  <w:style w:type="paragraph" w:customStyle="1" w:styleId="680">
    <w:name w:val="纯文本2"/>
    <w:basedOn w:val="1"/>
    <w:qFormat/>
    <w:uiPriority w:val="0"/>
    <w:pPr>
      <w:adjustRightInd w:val="0"/>
      <w:snapToGrid w:val="0"/>
      <w:ind w:firstLine="480" w:firstLineChars="0"/>
      <w:textAlignment w:val="baseline"/>
      <w:outlineLvl w:val="0"/>
    </w:pPr>
    <w:rPr>
      <w:rFonts w:ascii="Times New Roman" w:hAnsi="Times New Roman"/>
      <w:kern w:val="0"/>
      <w:szCs w:val="20"/>
    </w:rPr>
  </w:style>
  <w:style w:type="paragraph" w:customStyle="1" w:styleId="681">
    <w:name w:val="Char3"/>
    <w:basedOn w:val="1"/>
    <w:qFormat/>
    <w:uiPriority w:val="0"/>
    <w:rPr>
      <w:rFonts w:cs="宋体"/>
      <w:color w:val="auto"/>
      <w:szCs w:val="24"/>
    </w:rPr>
  </w:style>
  <w:style w:type="paragraph" w:customStyle="1" w:styleId="682">
    <w:name w:val="样式 标题 4"/>
    <w:basedOn w:val="5"/>
    <w:qFormat/>
    <w:uiPriority w:val="0"/>
    <w:pPr>
      <w:numPr>
        <w:ilvl w:val="3"/>
        <w:numId w:val="4"/>
      </w:numPr>
    </w:pPr>
    <w:rPr>
      <w:bCs w:val="0"/>
    </w:rPr>
  </w:style>
  <w:style w:type="paragraph" w:customStyle="1" w:styleId="683">
    <w:name w:val="公用工程"/>
    <w:basedOn w:val="5"/>
    <w:qFormat/>
    <w:uiPriority w:val="0"/>
    <w:pPr>
      <w:tabs>
        <w:tab w:val="left" w:pos="360"/>
      </w:tabs>
    </w:pPr>
  </w:style>
  <w:style w:type="paragraph" w:customStyle="1" w:styleId="684">
    <w:name w:val="样式 标题 2节标题 1.1节H2（一）Underrubrik1prop2Heading 2 HiddenHea..."/>
    <w:basedOn w:val="3"/>
    <w:qFormat/>
    <w:uiPriority w:val="0"/>
    <w:pPr>
      <w:spacing w:beforeLines="0"/>
      <w:ind w:left="0" w:firstLine="0"/>
      <w:jc w:val="both"/>
    </w:pPr>
    <w:rPr>
      <w:rFonts w:ascii="Times New Roman" w:hAnsi="Times New Roman" w:cs="宋体"/>
      <w:color w:val="auto"/>
      <w:kern w:val="0"/>
      <w:sz w:val="28"/>
      <w:szCs w:val="20"/>
    </w:rPr>
  </w:style>
  <w:style w:type="paragraph" w:customStyle="1" w:styleId="685">
    <w:name w:val="默认段落字体 Para Char Char Char1 Char Char Char Char Char Char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686">
    <w:name w:val="标题001"/>
    <w:basedOn w:val="1"/>
    <w:qFormat/>
    <w:uiPriority w:val="0"/>
    <w:pPr>
      <w:spacing w:before="60" w:line="480" w:lineRule="exact"/>
      <w:ind w:firstLine="0" w:firstLineChars="0"/>
      <w:outlineLvl w:val="0"/>
    </w:pPr>
    <w:rPr>
      <w:rFonts w:ascii="Times New Roman" w:hAnsi="Times New Roman"/>
      <w:b/>
      <w:color w:val="auto"/>
      <w:sz w:val="32"/>
      <w:szCs w:val="20"/>
    </w:rPr>
  </w:style>
  <w:style w:type="paragraph" w:customStyle="1" w:styleId="687">
    <w:name w:val="样式 表格 32 + 首行缩进:  2 字符"/>
    <w:basedOn w:val="631"/>
    <w:qFormat/>
    <w:uiPriority w:val="0"/>
    <w:pPr>
      <w:spacing w:line="0" w:lineRule="atLeast"/>
    </w:pPr>
    <w:rPr>
      <w:rFonts w:eastAsia="宋体"/>
      <w:sz w:val="21"/>
      <w:szCs w:val="21"/>
    </w:rPr>
  </w:style>
  <w:style w:type="paragraph" w:customStyle="1" w:styleId="688">
    <w:name w:val="表格后文"/>
    <w:basedOn w:val="187"/>
    <w:qFormat/>
    <w:uiPriority w:val="0"/>
    <w:pPr>
      <w:widowControl w:val="0"/>
      <w:spacing w:before="300" w:line="460" w:lineRule="exact"/>
      <w:jc w:val="both"/>
    </w:pPr>
    <w:rPr>
      <w:rFonts w:ascii="Times New Roman" w:hAnsi="Times New Roman" w:cs="Times New Roman"/>
    </w:rPr>
  </w:style>
  <w:style w:type="paragraph" w:customStyle="1" w:styleId="689">
    <w:name w:val="Char2"/>
    <w:basedOn w:val="1"/>
    <w:qFormat/>
    <w:uiPriority w:val="0"/>
    <w:pPr>
      <w:ind w:firstLine="0" w:firstLineChars="0"/>
    </w:pPr>
    <w:rPr>
      <w:rFonts w:ascii="Tahoma" w:hAnsi="Tahoma"/>
      <w:color w:val="auto"/>
      <w:sz w:val="28"/>
      <w:szCs w:val="20"/>
    </w:rPr>
  </w:style>
  <w:style w:type="paragraph" w:customStyle="1" w:styleId="690">
    <w:name w:val="标题（4）"/>
    <w:basedOn w:val="185"/>
    <w:qFormat/>
    <w:uiPriority w:val="0"/>
    <w:pPr>
      <w:spacing w:line="460" w:lineRule="exact"/>
    </w:pPr>
  </w:style>
  <w:style w:type="paragraph" w:customStyle="1" w:styleId="691">
    <w:name w:val="表格标题"/>
    <w:basedOn w:val="1"/>
    <w:qFormat/>
    <w:uiPriority w:val="0"/>
    <w:pPr>
      <w:spacing w:before="120" w:line="240" w:lineRule="auto"/>
      <w:ind w:firstLine="0" w:firstLineChars="0"/>
      <w:jc w:val="center"/>
    </w:pPr>
    <w:rPr>
      <w:rFonts w:ascii="Times New Roman" w:hAnsi="Times New Roman"/>
      <w:color w:val="auto"/>
      <w:szCs w:val="20"/>
    </w:rPr>
  </w:style>
  <w:style w:type="paragraph" w:customStyle="1" w:styleId="692">
    <w:name w:val="图文框"/>
    <w:basedOn w:val="1"/>
    <w:qFormat/>
    <w:uiPriority w:val="0"/>
    <w:pPr>
      <w:autoSpaceDE w:val="0"/>
      <w:autoSpaceDN w:val="0"/>
      <w:adjustRightInd w:val="0"/>
      <w:snapToGrid w:val="0"/>
      <w:spacing w:line="400" w:lineRule="atLeast"/>
      <w:ind w:firstLine="0" w:firstLineChars="0"/>
      <w:jc w:val="center"/>
      <w:textAlignment w:val="baseline"/>
    </w:pPr>
    <w:rPr>
      <w:rFonts w:hAnsi="Times New Roman"/>
      <w:color w:val="auto"/>
      <w:kern w:val="0"/>
      <w:sz w:val="21"/>
      <w:szCs w:val="24"/>
    </w:rPr>
  </w:style>
  <w:style w:type="paragraph" w:customStyle="1" w:styleId="693">
    <w:name w:val="00001"/>
    <w:basedOn w:val="82"/>
    <w:qFormat/>
    <w:uiPriority w:val="0"/>
    <w:pPr>
      <w:adjustRightInd/>
      <w:snapToGrid/>
      <w:spacing w:line="360" w:lineRule="auto"/>
    </w:pPr>
    <w:rPr>
      <w:rFonts w:ascii="Times New Roman" w:eastAsia="宋体"/>
      <w:sz w:val="24"/>
    </w:rPr>
  </w:style>
  <w:style w:type="paragraph" w:customStyle="1" w:styleId="694">
    <w:name w:val="1"/>
    <w:basedOn w:val="1"/>
    <w:next w:val="65"/>
    <w:qFormat/>
    <w:uiPriority w:val="0"/>
    <w:pPr>
      <w:spacing w:line="500" w:lineRule="exact"/>
      <w:ind w:firstLine="560"/>
    </w:pPr>
    <w:rPr>
      <w:rFonts w:ascii="仿宋_GB2312" w:hAnsi="Times New Roman" w:eastAsia="仿宋_GB2312"/>
      <w:color w:val="auto"/>
      <w:sz w:val="28"/>
      <w:szCs w:val="24"/>
    </w:rPr>
  </w:style>
  <w:style w:type="paragraph" w:customStyle="1" w:styleId="695">
    <w:name w:val="p16"/>
    <w:basedOn w:val="1"/>
    <w:qFormat/>
    <w:uiPriority w:val="0"/>
    <w:pPr>
      <w:widowControl/>
      <w:ind w:firstLine="420" w:firstLineChars="0"/>
      <w:jc w:val="left"/>
    </w:pPr>
    <w:rPr>
      <w:rFonts w:ascii="Times New Roman" w:hAnsi="Times New Roman"/>
      <w:color w:val="auto"/>
      <w:kern w:val="0"/>
      <w:szCs w:val="24"/>
    </w:rPr>
  </w:style>
  <w:style w:type="paragraph" w:customStyle="1" w:styleId="696">
    <w:name w:val="标准符号 行距1倍"/>
    <w:basedOn w:val="1"/>
    <w:qFormat/>
    <w:uiPriority w:val="0"/>
    <w:pPr>
      <w:adjustRightInd w:val="0"/>
      <w:snapToGrid w:val="0"/>
      <w:spacing w:line="460" w:lineRule="exact"/>
      <w:ind w:left="480" w:firstLine="0" w:firstLineChars="0"/>
      <w:textAlignment w:val="center"/>
    </w:pPr>
    <w:rPr>
      <w:rFonts w:ascii="Times New Roman" w:hAnsi="Times New Roman" w:cs="宋体"/>
      <w:color w:val="auto"/>
      <w:kern w:val="0"/>
      <w:szCs w:val="24"/>
    </w:rPr>
  </w:style>
  <w:style w:type="paragraph" w:customStyle="1" w:styleId="697">
    <w:name w:val="表头标题"/>
    <w:basedOn w:val="1"/>
    <w:qFormat/>
    <w:uiPriority w:val="0"/>
    <w:pPr>
      <w:spacing w:beforeLines="50" w:line="520" w:lineRule="exact"/>
      <w:ind w:firstLine="0" w:firstLineChars="0"/>
      <w:jc w:val="center"/>
    </w:pPr>
    <w:rPr>
      <w:rFonts w:ascii="黑体" w:eastAsia="黑体"/>
      <w:color w:val="auto"/>
      <w:szCs w:val="20"/>
    </w:rPr>
  </w:style>
  <w:style w:type="paragraph" w:customStyle="1" w:styleId="698">
    <w:name w:val="表格 23"/>
    <w:basedOn w:val="1"/>
    <w:qFormat/>
    <w:uiPriority w:val="0"/>
    <w:pPr>
      <w:autoSpaceDE w:val="0"/>
      <w:autoSpaceDN w:val="0"/>
      <w:adjustRightInd w:val="0"/>
      <w:spacing w:line="240" w:lineRule="auto"/>
      <w:ind w:firstLine="0" w:firstLineChars="0"/>
      <w:jc w:val="center"/>
    </w:pPr>
    <w:rPr>
      <w:rFonts w:ascii="Times New Roman" w:hAnsi="Times New Roman" w:eastAsia="仿宋体"/>
      <w:color w:val="auto"/>
      <w:kern w:val="0"/>
      <w:sz w:val="21"/>
      <w:szCs w:val="20"/>
    </w:rPr>
  </w:style>
  <w:style w:type="paragraph" w:customStyle="1" w:styleId="699">
    <w:name w:val="表内文字1"/>
    <w:basedOn w:val="1"/>
    <w:qFormat/>
    <w:uiPriority w:val="0"/>
    <w:pPr>
      <w:widowControl/>
      <w:adjustRightInd w:val="0"/>
      <w:snapToGrid w:val="0"/>
      <w:spacing w:line="400" w:lineRule="exact"/>
      <w:ind w:firstLine="0" w:firstLineChars="0"/>
      <w:jc w:val="center"/>
    </w:pPr>
    <w:rPr>
      <w:rFonts w:ascii="Times New Roman" w:hAnsi="Times New Roman" w:eastAsia="仿宋_GB2312"/>
      <w:color w:val="auto"/>
      <w:kern w:val="0"/>
      <w:szCs w:val="20"/>
    </w:rPr>
  </w:style>
  <w:style w:type="paragraph" w:customStyle="1" w:styleId="700">
    <w:name w:val="font8"/>
    <w:basedOn w:val="1"/>
    <w:qFormat/>
    <w:uiPriority w:val="0"/>
    <w:pPr>
      <w:widowControl/>
      <w:spacing w:before="100" w:beforeAutospacing="1" w:after="100" w:afterAutospacing="1" w:line="240" w:lineRule="auto"/>
      <w:ind w:firstLine="0" w:firstLineChars="0"/>
      <w:jc w:val="left"/>
    </w:pPr>
    <w:rPr>
      <w:rFonts w:hint="eastAsia"/>
      <w:color w:val="auto"/>
      <w:kern w:val="0"/>
      <w:sz w:val="22"/>
      <w:szCs w:val="22"/>
    </w:rPr>
  </w:style>
  <w:style w:type="paragraph" w:customStyle="1" w:styleId="701">
    <w:name w:val="Char Char Char Char Char Char Char"/>
    <w:basedOn w:val="1"/>
    <w:qFormat/>
    <w:uiPriority w:val="0"/>
    <w:pPr>
      <w:spacing w:line="240" w:lineRule="auto"/>
      <w:ind w:firstLine="0" w:firstLineChars="0"/>
    </w:pPr>
    <w:rPr>
      <w:rFonts w:ascii="Times New Roman"/>
    </w:rPr>
  </w:style>
  <w:style w:type="paragraph" w:customStyle="1" w:styleId="702">
    <w:name w:val="xl30"/>
    <w:basedOn w:val="1"/>
    <w:qFormat/>
    <w:uiPriority w:val="0"/>
    <w:pPr>
      <w:widowControl/>
      <w:spacing w:before="100" w:after="100" w:line="240" w:lineRule="auto"/>
      <w:ind w:firstLine="0" w:firstLineChars="0"/>
      <w:jc w:val="center"/>
      <w:textAlignment w:val="center"/>
    </w:pPr>
    <w:rPr>
      <w:color w:val="auto"/>
      <w:kern w:val="0"/>
      <w:szCs w:val="20"/>
    </w:rPr>
  </w:style>
  <w:style w:type="paragraph" w:customStyle="1" w:styleId="703">
    <w:name w:val="样式 标题 2 + Times New Roman1"/>
    <w:basedOn w:val="3"/>
    <w:qFormat/>
    <w:uiPriority w:val="0"/>
    <w:pPr>
      <w:tabs>
        <w:tab w:val="clear" w:pos="576"/>
      </w:tabs>
      <w:spacing w:beforeLines="0" w:after="60" w:line="240" w:lineRule="auto"/>
      <w:ind w:left="567" w:hanging="567"/>
      <w:jc w:val="both"/>
    </w:pPr>
    <w:rPr>
      <w:rFonts w:ascii="Times New Roman" w:hAnsi="Times New Roman" w:eastAsia="黑体"/>
      <w:b w:val="0"/>
      <w:bCs w:val="0"/>
      <w:color w:val="auto"/>
      <w:sz w:val="28"/>
    </w:rPr>
  </w:style>
  <w:style w:type="paragraph" w:customStyle="1" w:styleId="704">
    <w:name w:val="lzl"/>
    <w:basedOn w:val="59"/>
    <w:qFormat/>
    <w:uiPriority w:val="0"/>
    <w:pPr>
      <w:suppressAutoHyphens w:val="0"/>
      <w:adjustRightInd/>
      <w:spacing w:line="240" w:lineRule="auto"/>
      <w:jc w:val="center"/>
    </w:pPr>
    <w:rPr>
      <w:rFonts w:ascii="宋体" w:hAnsi="宋体"/>
      <w:kern w:val="2"/>
      <w:sz w:val="21"/>
      <w:szCs w:val="21"/>
    </w:rPr>
  </w:style>
  <w:style w:type="paragraph" w:customStyle="1" w:styleId="705">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706">
    <w:name w:val="样式15"/>
    <w:basedOn w:val="1"/>
    <w:qFormat/>
    <w:uiPriority w:val="0"/>
    <w:pPr>
      <w:tabs>
        <w:tab w:val="left" w:pos="432"/>
      </w:tabs>
      <w:spacing w:line="240" w:lineRule="auto"/>
      <w:ind w:left="432" w:hanging="432" w:firstLineChars="0"/>
    </w:pPr>
    <w:rPr>
      <w:rFonts w:ascii="Times New Roman" w:hAnsi="Times New Roman"/>
      <w:color w:val="auto"/>
      <w:szCs w:val="24"/>
    </w:rPr>
  </w:style>
  <w:style w:type="paragraph" w:customStyle="1" w:styleId="707">
    <w:name w:val="Date1"/>
    <w:basedOn w:val="1"/>
    <w:next w:val="1"/>
    <w:qFormat/>
    <w:uiPriority w:val="0"/>
    <w:pPr>
      <w:adjustRightInd w:val="0"/>
      <w:spacing w:line="240" w:lineRule="auto"/>
      <w:ind w:firstLine="0" w:firstLineChars="0"/>
      <w:textAlignment w:val="baseline"/>
    </w:pPr>
    <w:rPr>
      <w:rFonts w:ascii="Times New Roman" w:hAnsi="Times New Roman"/>
      <w:color w:val="auto"/>
      <w:sz w:val="21"/>
      <w:szCs w:val="20"/>
    </w:rPr>
  </w:style>
  <w:style w:type="paragraph" w:customStyle="1" w:styleId="708">
    <w:name w:val="BGWZ2"/>
    <w:basedOn w:val="1"/>
    <w:qFormat/>
    <w:uiPriority w:val="0"/>
    <w:pPr>
      <w:snapToGrid w:val="0"/>
      <w:spacing w:line="300" w:lineRule="exact"/>
      <w:ind w:firstLine="0" w:firstLineChars="0"/>
      <w:jc w:val="center"/>
    </w:pPr>
    <w:rPr>
      <w:rFonts w:ascii="Times New Roman" w:hAnsi="Times New Roman"/>
      <w:snapToGrid w:val="0"/>
      <w:color w:val="auto"/>
      <w:kern w:val="0"/>
      <w:sz w:val="18"/>
      <w:lang w:eastAsia="zh-TW"/>
    </w:rPr>
  </w:style>
  <w:style w:type="paragraph" w:customStyle="1" w:styleId="709">
    <w:name w:val="样式 表格文字 + 首行缩进:  2 字符"/>
    <w:basedOn w:val="710"/>
    <w:qFormat/>
    <w:uiPriority w:val="0"/>
    <w:pPr>
      <w:tabs>
        <w:tab w:val="left" w:pos="3060"/>
      </w:tabs>
    </w:pPr>
    <w:rPr>
      <w:rFonts w:hAnsi="MS Shell Dlg" w:cs="宋体"/>
      <w:snapToGrid w:val="0"/>
      <w:kern w:val="0"/>
    </w:rPr>
  </w:style>
  <w:style w:type="paragraph" w:customStyle="1" w:styleId="710">
    <w:name w:val="表格文字"/>
    <w:basedOn w:val="1"/>
    <w:qFormat/>
    <w:uiPriority w:val="0"/>
    <w:pPr>
      <w:adjustRightInd w:val="0"/>
      <w:snapToGrid w:val="0"/>
      <w:spacing w:line="240" w:lineRule="auto"/>
      <w:ind w:firstLine="0" w:firstLineChars="0"/>
      <w:jc w:val="center"/>
    </w:pPr>
    <w:rPr>
      <w:rFonts w:ascii="仿宋_GB2312" w:hAnsi="Arial Black" w:eastAsia="仿宋_GB2312"/>
      <w:color w:val="auto"/>
      <w:kern w:val="44"/>
      <w:szCs w:val="20"/>
    </w:rPr>
  </w:style>
  <w:style w:type="paragraph" w:customStyle="1" w:styleId="711">
    <w:name w:val="1级标题"/>
    <w:basedOn w:val="1"/>
    <w:next w:val="1"/>
    <w:qFormat/>
    <w:uiPriority w:val="0"/>
    <w:pPr>
      <w:widowControl/>
      <w:spacing w:before="60" w:line="460" w:lineRule="exact"/>
      <w:ind w:firstLine="0" w:firstLineChars="0"/>
      <w:outlineLvl w:val="0"/>
    </w:pPr>
    <w:rPr>
      <w:rFonts w:ascii="Times New Roman" w:hAnsi="Times New Roman"/>
      <w:b/>
      <w:sz w:val="32"/>
      <w:szCs w:val="24"/>
    </w:rPr>
  </w:style>
  <w:style w:type="paragraph" w:customStyle="1" w:styleId="712">
    <w:name w:val="表格文字中对齐"/>
    <w:basedOn w:val="1"/>
    <w:qFormat/>
    <w:uiPriority w:val="0"/>
    <w:pPr>
      <w:spacing w:line="300" w:lineRule="auto"/>
      <w:ind w:firstLine="0" w:firstLineChars="0"/>
      <w:jc w:val="center"/>
    </w:pPr>
    <w:rPr>
      <w:rFonts w:ascii="Times New Roman" w:hAnsi="Times New Roman"/>
      <w:kern w:val="0"/>
      <w:sz w:val="21"/>
      <w:szCs w:val="24"/>
    </w:rPr>
  </w:style>
  <w:style w:type="paragraph" w:customStyle="1" w:styleId="713">
    <w:name w:val="样式 样式 正文1 + 段前: 0.1 行 + 段前: 0.1 行"/>
    <w:basedOn w:val="1"/>
    <w:qFormat/>
    <w:uiPriority w:val="0"/>
    <w:pPr>
      <w:snapToGrid w:val="0"/>
      <w:spacing w:beforeLines="10" w:line="440" w:lineRule="atLeast"/>
      <w:ind w:firstLine="567" w:firstLineChars="0"/>
    </w:pPr>
    <w:rPr>
      <w:rFonts w:ascii="Times New Roman" w:hAnsi="Times New Roman" w:cs="宋体"/>
      <w:color w:val="auto"/>
      <w:szCs w:val="20"/>
    </w:rPr>
  </w:style>
  <w:style w:type="paragraph" w:customStyle="1" w:styleId="714">
    <w:name w:val="大纲正文"/>
    <w:basedOn w:val="1"/>
    <w:qFormat/>
    <w:uiPriority w:val="0"/>
    <w:pPr>
      <w:autoSpaceDE w:val="0"/>
      <w:autoSpaceDN w:val="0"/>
      <w:adjustRightInd w:val="0"/>
      <w:spacing w:line="300" w:lineRule="auto"/>
    </w:pPr>
    <w:rPr>
      <w:rFonts w:hint="eastAsia" w:hAnsi="Times New Roman"/>
      <w:kern w:val="0"/>
      <w:szCs w:val="28"/>
    </w:rPr>
  </w:style>
  <w:style w:type="paragraph" w:customStyle="1" w:styleId="715">
    <w:name w:val="样式3"/>
    <w:basedOn w:val="5"/>
    <w:qFormat/>
    <w:uiPriority w:val="0"/>
  </w:style>
  <w:style w:type="paragraph" w:customStyle="1" w:styleId="716">
    <w:name w:val="一级无标题条"/>
    <w:basedOn w:val="1"/>
    <w:qFormat/>
    <w:uiPriority w:val="0"/>
    <w:pPr>
      <w:tabs>
        <w:tab w:val="left" w:pos="780"/>
      </w:tabs>
      <w:spacing w:line="240" w:lineRule="auto"/>
      <w:ind w:left="780" w:leftChars="200" w:hanging="360" w:hangingChars="200"/>
    </w:pPr>
    <w:rPr>
      <w:rFonts w:ascii="Times New Roman" w:hAnsi="Times New Roman"/>
      <w:color w:val="auto"/>
      <w:sz w:val="21"/>
      <w:szCs w:val="24"/>
    </w:rPr>
  </w:style>
  <w:style w:type="paragraph" w:customStyle="1" w:styleId="717">
    <w:name w:val="法规列表"/>
    <w:basedOn w:val="1"/>
    <w:qFormat/>
    <w:uiPriority w:val="0"/>
    <w:pPr>
      <w:tabs>
        <w:tab w:val="left" w:pos="420"/>
      </w:tabs>
      <w:spacing w:beforeLines="50" w:line="240" w:lineRule="auto"/>
      <w:ind w:left="420" w:hanging="420" w:firstLineChars="0"/>
    </w:pPr>
    <w:rPr>
      <w:rFonts w:ascii="Times New Roman" w:hAnsi="Times New Roman" w:eastAsia="仿宋_GB2312"/>
      <w:color w:val="auto"/>
      <w:szCs w:val="24"/>
    </w:rPr>
  </w:style>
  <w:style w:type="paragraph" w:customStyle="1" w:styleId="718">
    <w:name w:val="表格标题新1"/>
    <w:basedOn w:val="238"/>
    <w:qFormat/>
    <w:uiPriority w:val="0"/>
    <w:pPr>
      <w:ind w:firstLine="561" w:firstLineChars="200"/>
    </w:pPr>
    <w:rPr>
      <w:rFonts w:ascii="仿宋_GB2312" w:eastAsia="黑体"/>
      <w:b/>
      <w:bCs/>
      <w:snapToGrid w:val="0"/>
      <w:spacing w:val="4"/>
    </w:rPr>
  </w:style>
  <w:style w:type="paragraph" w:customStyle="1" w:styleId="719">
    <w:name w:val="5"/>
    <w:basedOn w:val="1"/>
    <w:next w:val="19"/>
    <w:qFormat/>
    <w:uiPriority w:val="0"/>
    <w:pPr>
      <w:spacing w:line="240" w:lineRule="auto"/>
      <w:ind w:firstLine="420"/>
    </w:pPr>
    <w:rPr>
      <w:rFonts w:ascii="Times New Roman" w:hAnsi="Times New Roman"/>
      <w:color w:val="auto"/>
      <w:sz w:val="21"/>
      <w:szCs w:val="20"/>
    </w:rPr>
  </w:style>
  <w:style w:type="paragraph" w:customStyle="1" w:styleId="720">
    <w:name w:val="样式 标题 3 + (西文) Times New Roman (中文) 宋体 小四 加粗"/>
    <w:basedOn w:val="1"/>
    <w:qFormat/>
    <w:uiPriority w:val="0"/>
    <w:pPr>
      <w:spacing w:line="240" w:lineRule="auto"/>
      <w:ind w:firstLine="0" w:firstLineChars="0"/>
    </w:pPr>
    <w:rPr>
      <w:rFonts w:ascii="Times New Roman" w:hAnsi="Times New Roman"/>
      <w:color w:val="auto"/>
      <w:sz w:val="21"/>
      <w:szCs w:val="24"/>
    </w:rPr>
  </w:style>
  <w:style w:type="paragraph" w:customStyle="1" w:styleId="721">
    <w:name w:val="样式 (中文) 仿宋_GB2312 四号 黑色"/>
    <w:basedOn w:val="1"/>
    <w:uiPriority w:val="0"/>
    <w:pPr>
      <w:spacing w:line="240" w:lineRule="auto"/>
      <w:jc w:val="left"/>
    </w:pPr>
    <w:rPr>
      <w:rFonts w:ascii="Times New Roman" w:hAnsi="Times New Roman" w:eastAsia="仿宋_GB2312" w:cs="宋体"/>
      <w:sz w:val="28"/>
      <w:szCs w:val="20"/>
    </w:rPr>
  </w:style>
  <w:style w:type="paragraph" w:customStyle="1" w:styleId="722">
    <w:name w:val="font11"/>
    <w:basedOn w:val="1"/>
    <w:uiPriority w:val="0"/>
    <w:pPr>
      <w:widowControl/>
      <w:spacing w:before="100" w:beforeAutospacing="1" w:after="100" w:afterAutospacing="1" w:line="240" w:lineRule="auto"/>
      <w:ind w:firstLine="0" w:firstLineChars="0"/>
      <w:jc w:val="left"/>
    </w:pPr>
    <w:rPr>
      <w:rFonts w:hint="eastAsia"/>
      <w:color w:val="auto"/>
      <w:kern w:val="0"/>
      <w:sz w:val="20"/>
      <w:szCs w:val="20"/>
    </w:rPr>
  </w:style>
  <w:style w:type="paragraph" w:customStyle="1" w:styleId="723">
    <w:name w:val="Indent1"/>
    <w:basedOn w:val="1"/>
    <w:uiPriority w:val="0"/>
    <w:pPr>
      <w:overflowPunct w:val="0"/>
      <w:autoSpaceDE w:val="0"/>
      <w:autoSpaceDN w:val="0"/>
      <w:adjustRightInd w:val="0"/>
      <w:spacing w:line="240" w:lineRule="auto"/>
      <w:ind w:left="1440" w:hanging="720" w:firstLineChars="0"/>
      <w:jc w:val="left"/>
      <w:textAlignment w:val="baseline"/>
    </w:pPr>
    <w:rPr>
      <w:rFonts w:ascii="Arial" w:hAnsi="Arial"/>
      <w:color w:val="auto"/>
      <w:kern w:val="0"/>
      <w:sz w:val="22"/>
      <w:szCs w:val="20"/>
    </w:rPr>
  </w:style>
  <w:style w:type="paragraph" w:customStyle="1" w:styleId="724">
    <w:name w:val="Char Char Char Char Char Char Char1"/>
    <w:basedOn w:val="1"/>
    <w:uiPriority w:val="0"/>
    <w:pPr>
      <w:spacing w:line="240" w:lineRule="auto"/>
      <w:ind w:firstLine="0" w:firstLineChars="0"/>
    </w:pPr>
    <w:rPr>
      <w:rFonts w:ascii="Times New Roman" w:hAnsi="Times New Roman"/>
      <w:color w:val="auto"/>
      <w:szCs w:val="24"/>
    </w:rPr>
  </w:style>
  <w:style w:type="paragraph" w:customStyle="1" w:styleId="725">
    <w:name w:val="列出段落2"/>
    <w:basedOn w:val="1"/>
    <w:qFormat/>
    <w:uiPriority w:val="0"/>
    <w:pPr>
      <w:spacing w:line="240" w:lineRule="auto"/>
      <w:ind w:firstLine="420"/>
    </w:pPr>
    <w:rPr>
      <w:rFonts w:ascii="Times New Roman" w:hAnsi="Times New Roman"/>
      <w:color w:val="auto"/>
      <w:sz w:val="21"/>
      <w:szCs w:val="24"/>
    </w:rPr>
  </w:style>
  <w:style w:type="paragraph" w:customStyle="1" w:styleId="726">
    <w:name w:val="样式 样式 标题 2节 + (西文) Times New Roman (中文) 宋体 四号 段前: 0.5 行 段后: 0......"/>
    <w:basedOn w:val="1"/>
    <w:qFormat/>
    <w:uiPriority w:val="0"/>
    <w:pPr>
      <w:spacing w:line="240" w:lineRule="auto"/>
      <w:ind w:firstLine="0" w:firstLineChars="0"/>
    </w:pPr>
    <w:rPr>
      <w:rFonts w:ascii="Times New Roman" w:hAnsi="Times New Roman"/>
      <w:color w:val="auto"/>
      <w:sz w:val="21"/>
      <w:szCs w:val="24"/>
    </w:rPr>
  </w:style>
  <w:style w:type="paragraph" w:customStyle="1" w:styleId="727">
    <w:name w:val="二号标题样式"/>
    <w:basedOn w:val="401"/>
    <w:qFormat/>
    <w:uiPriority w:val="0"/>
    <w:pPr>
      <w:spacing w:beforeLines="50" w:afterLines="50"/>
    </w:pPr>
    <w:rPr>
      <w:bCs w:val="0"/>
      <w:szCs w:val="20"/>
    </w:rPr>
  </w:style>
  <w:style w:type="paragraph" w:customStyle="1" w:styleId="728">
    <w:name w:val="样式 标题 3条标题1.1.1h3H3level_3PIM 3Level 3 HeadHeading 3 - ol..."/>
    <w:basedOn w:val="4"/>
    <w:uiPriority w:val="0"/>
    <w:pPr>
      <w:tabs>
        <w:tab w:val="left" w:pos="720"/>
        <w:tab w:val="clear" w:pos="0"/>
      </w:tabs>
      <w:ind w:left="720" w:hanging="720"/>
    </w:pPr>
    <w:rPr>
      <w:rFonts w:hAnsi="Times New Roman"/>
      <w:color w:val="auto"/>
      <w:kern w:val="24"/>
    </w:rPr>
  </w:style>
  <w:style w:type="paragraph" w:customStyle="1" w:styleId="729">
    <w:name w:val="zzzzzz"/>
    <w:basedOn w:val="82"/>
    <w:next w:val="82"/>
    <w:qFormat/>
    <w:uiPriority w:val="0"/>
    <w:pPr>
      <w:adjustRightInd/>
      <w:snapToGrid/>
      <w:spacing w:line="360" w:lineRule="auto"/>
      <w:ind w:firstLine="480"/>
    </w:pPr>
    <w:rPr>
      <w:rFonts w:ascii="Times New Roman" w:eastAsia="宋体"/>
      <w:sz w:val="24"/>
      <w:szCs w:val="20"/>
    </w:rPr>
  </w:style>
  <w:style w:type="paragraph" w:customStyle="1" w:styleId="730">
    <w:name w:val="Char Char Char Char2"/>
    <w:basedOn w:val="1"/>
    <w:qFormat/>
    <w:uiPriority w:val="0"/>
    <w:rPr>
      <w:rFonts w:cs="宋体"/>
      <w:color w:val="auto"/>
      <w:szCs w:val="24"/>
    </w:rPr>
  </w:style>
  <w:style w:type="paragraph" w:customStyle="1" w:styleId="731">
    <w:name w:val="表文左对齐"/>
    <w:basedOn w:val="524"/>
    <w:uiPriority w:val="0"/>
    <w:pPr>
      <w:overflowPunct/>
      <w:jc w:val="left"/>
      <w:textAlignment w:val="auto"/>
    </w:pPr>
    <w:rPr>
      <w:rFonts w:ascii="Times New Roman" w:hAnsi="Times New Roman" w:eastAsia="仿宋_GB2312"/>
      <w:color w:val="000000"/>
      <w:sz w:val="18"/>
      <w:szCs w:val="21"/>
    </w:rPr>
  </w:style>
  <w:style w:type="paragraph" w:customStyle="1" w:styleId="732">
    <w:name w:val="正文0001"/>
    <w:basedOn w:val="81"/>
    <w:qFormat/>
    <w:uiPriority w:val="0"/>
    <w:pPr>
      <w:spacing w:line="360" w:lineRule="auto"/>
    </w:pPr>
  </w:style>
  <w:style w:type="paragraph" w:customStyle="1" w:styleId="733">
    <w:name w:val="表格2"/>
    <w:basedOn w:val="172"/>
    <w:qFormat/>
    <w:uiPriority w:val="0"/>
    <w:pPr>
      <w:suppressAutoHyphens w:val="0"/>
      <w:spacing w:line="240" w:lineRule="auto"/>
      <w:jc w:val="both"/>
      <w:outlineLvl w:val="0"/>
    </w:pPr>
    <w:rPr>
      <w:kern w:val="2"/>
      <w:sz w:val="21"/>
    </w:rPr>
  </w:style>
  <w:style w:type="paragraph" w:customStyle="1" w:styleId="734">
    <w:name w:val="样式 标题 3Level 3 HeadH3Heading 3 - oldh3sect1.2.3Head33l3..."/>
    <w:basedOn w:val="4"/>
    <w:qFormat/>
    <w:uiPriority w:val="0"/>
    <w:pPr>
      <w:spacing w:beforeLines="0"/>
      <w:jc w:val="both"/>
    </w:pPr>
    <w:rPr>
      <w:rFonts w:ascii="Times New Roman" w:hAnsi="Times New Roman" w:cs="宋体"/>
      <w:color w:val="auto"/>
      <w:szCs w:val="20"/>
    </w:rPr>
  </w:style>
  <w:style w:type="paragraph" w:customStyle="1" w:styleId="735">
    <w:name w:val="表内字"/>
    <w:qFormat/>
    <w:uiPriority w:val="0"/>
    <w:pPr>
      <w:widowControl w:val="0"/>
      <w:spacing w:line="360" w:lineRule="auto"/>
      <w:jc w:val="both"/>
    </w:pPr>
    <w:rPr>
      <w:rFonts w:ascii="Times New Roman" w:hAnsi="Times New Roman" w:eastAsia="宋体" w:cs="Times New Roman"/>
      <w:sz w:val="21"/>
      <w:szCs w:val="21"/>
      <w:lang w:val="en-US" w:eastAsia="zh-CN" w:bidi="ar-SA"/>
    </w:rPr>
  </w:style>
  <w:style w:type="paragraph" w:customStyle="1" w:styleId="736">
    <w:name w:val="xl66"/>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Unicode MS" w:hAnsi="Arial Unicode MS"/>
      <w:color w:val="auto"/>
      <w:kern w:val="0"/>
      <w:sz w:val="22"/>
      <w:szCs w:val="22"/>
    </w:rPr>
  </w:style>
  <w:style w:type="paragraph" w:customStyle="1" w:styleId="737">
    <w:name w:val="Char Char Char Char Char Char Char Char Char Char"/>
    <w:basedOn w:val="1"/>
    <w:qFormat/>
    <w:uiPriority w:val="0"/>
    <w:pPr>
      <w:widowControl/>
      <w:spacing w:before="100" w:beforeAutospacing="1" w:after="100" w:afterAutospacing="1"/>
      <w:ind w:left="360" w:firstLine="624" w:firstLineChars="0"/>
      <w:jc w:val="left"/>
    </w:pPr>
    <w:rPr>
      <w:rFonts w:ascii="ˎ̥" w:hAnsi="ˎ̥" w:eastAsia="仿宋_GB2312" w:cs="宋体"/>
      <w:color w:val="51585D"/>
      <w:kern w:val="0"/>
      <w:sz w:val="32"/>
      <w:szCs w:val="18"/>
    </w:rPr>
  </w:style>
  <w:style w:type="paragraph" w:customStyle="1" w:styleId="738">
    <w:name w:val="1样式1"/>
    <w:basedOn w:val="2"/>
    <w:qFormat/>
    <w:uiPriority w:val="0"/>
    <w:pPr>
      <w:tabs>
        <w:tab w:val="left" w:pos="360"/>
        <w:tab w:val="clear" w:pos="432"/>
      </w:tabs>
      <w:snapToGrid w:val="0"/>
      <w:spacing w:before="120" w:after="60" w:line="288" w:lineRule="auto"/>
      <w:ind w:left="1770" w:hanging="1770"/>
      <w:jc w:val="both"/>
      <w:textAlignment w:val="baseline"/>
    </w:pPr>
    <w:rPr>
      <w:rFonts w:ascii="Times New Roman" w:hAnsi="Times New Roman"/>
      <w:bCs w:val="0"/>
      <w:color w:val="auto"/>
      <w:kern w:val="44"/>
      <w:szCs w:val="20"/>
    </w:rPr>
  </w:style>
  <w:style w:type="paragraph" w:customStyle="1" w:styleId="739">
    <w:name w:val="Char Char Char Char Char Char Char Char Char Char Char Char Char Char Char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740">
    <w:name w:val="样式 标题 4标题 4 CharbulletblbbPIM 4H4h4Heading Four款标题1.1.1..."/>
    <w:basedOn w:val="5"/>
    <w:qFormat/>
    <w:uiPriority w:val="0"/>
    <w:pPr>
      <w:jc w:val="both"/>
    </w:pPr>
    <w:rPr>
      <w:rFonts w:hAnsi="宋体"/>
      <w:b/>
      <w:bCs w:val="0"/>
      <w:color w:val="auto"/>
    </w:rPr>
  </w:style>
  <w:style w:type="paragraph" w:customStyle="1" w:styleId="741">
    <w:name w:val="zzzzz"/>
    <w:basedOn w:val="82"/>
    <w:next w:val="82"/>
    <w:qFormat/>
    <w:uiPriority w:val="0"/>
    <w:pPr>
      <w:adjustRightInd/>
      <w:snapToGrid/>
      <w:spacing w:after="0" w:line="360" w:lineRule="auto"/>
      <w:ind w:firstLine="240"/>
    </w:pPr>
    <w:rPr>
      <w:rFonts w:ascii="Times New Roman" w:eastAsia="宋体"/>
      <w:sz w:val="24"/>
    </w:rPr>
  </w:style>
  <w:style w:type="paragraph" w:customStyle="1" w:styleId="742">
    <w:name w:val="xl41"/>
    <w:basedOn w:val="1"/>
    <w:qFormat/>
    <w:uiPriority w:val="0"/>
    <w:pPr>
      <w:widowControl/>
      <w:spacing w:before="100" w:beforeAutospacing="1" w:after="100" w:afterAutospacing="1" w:line="240" w:lineRule="auto"/>
      <w:ind w:firstLine="0" w:firstLineChars="0"/>
      <w:jc w:val="left"/>
    </w:pPr>
    <w:rPr>
      <w:rFonts w:ascii="Arial Unicode MS" w:hAnsi="Arial Unicode MS" w:eastAsia="Arial Unicode MS"/>
      <w:color w:val="auto"/>
      <w:kern w:val="0"/>
      <w:sz w:val="20"/>
      <w:szCs w:val="20"/>
    </w:rPr>
  </w:style>
  <w:style w:type="paragraph" w:customStyle="1" w:styleId="743">
    <w:name w:val="表后空行"/>
    <w:basedOn w:val="1"/>
    <w:qFormat/>
    <w:uiPriority w:val="0"/>
    <w:pPr>
      <w:overflowPunct w:val="0"/>
      <w:adjustRightInd w:val="0"/>
      <w:spacing w:line="240" w:lineRule="auto"/>
      <w:ind w:firstLine="0" w:firstLineChars="0"/>
      <w:textAlignment w:val="baseline"/>
    </w:pPr>
    <w:rPr>
      <w:rFonts w:ascii="Times New Roman" w:hAnsi="Times New Roman"/>
      <w:kern w:val="28"/>
      <w:sz w:val="10"/>
      <w:szCs w:val="20"/>
    </w:rPr>
  </w:style>
  <w:style w:type="paragraph" w:customStyle="1" w:styleId="744">
    <w:name w:val="表标题"/>
    <w:basedOn w:val="1"/>
    <w:qFormat/>
    <w:uiPriority w:val="0"/>
    <w:pPr>
      <w:ind w:firstLine="0" w:firstLineChars="0"/>
      <w:jc w:val="center"/>
    </w:pPr>
    <w:rPr>
      <w:rFonts w:cs="宋体"/>
      <w:b/>
      <w:bCs/>
      <w:szCs w:val="20"/>
    </w:rPr>
  </w:style>
  <w:style w:type="paragraph" w:customStyle="1" w:styleId="745">
    <w:name w:val="y表格"/>
    <w:basedOn w:val="31"/>
    <w:uiPriority w:val="0"/>
    <w:pPr>
      <w:widowControl/>
      <w:adjustRightInd w:val="0"/>
      <w:snapToGrid w:val="0"/>
      <w:spacing w:after="0"/>
      <w:jc w:val="center"/>
      <w:textAlignment w:val="baseline"/>
    </w:pPr>
    <w:rPr>
      <w:rFonts w:hint="eastAsia"/>
      <w:kern w:val="0"/>
      <w:sz w:val="24"/>
      <w:szCs w:val="20"/>
    </w:rPr>
  </w:style>
  <w:style w:type="paragraph" w:customStyle="1" w:styleId="746">
    <w:name w:val="默认段落字体 Para Char Char Char Char Char Char"/>
    <w:basedOn w:val="1"/>
    <w:qFormat/>
    <w:uiPriority w:val="0"/>
    <w:pPr>
      <w:spacing w:line="240" w:lineRule="auto"/>
      <w:ind w:firstLine="0" w:firstLineChars="0"/>
    </w:pPr>
    <w:rPr>
      <w:rFonts w:ascii="Times New Roman" w:hAnsi="Times New Roman"/>
      <w:color w:val="auto"/>
      <w:szCs w:val="24"/>
    </w:rPr>
  </w:style>
  <w:style w:type="paragraph" w:customStyle="1" w:styleId="747">
    <w:name w:val="居中正文"/>
    <w:basedOn w:val="81"/>
    <w:qFormat/>
    <w:uiPriority w:val="0"/>
    <w:pPr>
      <w:adjustRightInd w:val="0"/>
      <w:spacing w:after="0" w:line="360" w:lineRule="auto"/>
      <w:ind w:firstLine="0" w:firstLineChars="0"/>
      <w:jc w:val="center"/>
      <w:textAlignment w:val="baseline"/>
    </w:pPr>
    <w:rPr>
      <w:kern w:val="28"/>
      <w:szCs w:val="20"/>
    </w:rPr>
  </w:style>
  <w:style w:type="paragraph" w:customStyle="1" w:styleId="748">
    <w:name w:val="保留正文"/>
    <w:basedOn w:val="1"/>
    <w:uiPriority w:val="0"/>
    <w:pPr>
      <w:keepNext/>
      <w:adjustRightInd w:val="0"/>
      <w:spacing w:after="160" w:line="480" w:lineRule="auto"/>
      <w:ind w:firstLine="0" w:firstLineChars="0"/>
      <w:textAlignment w:val="baseline"/>
    </w:pPr>
    <w:rPr>
      <w:rFonts w:hAnsi="Times New Roman"/>
      <w:color w:val="auto"/>
      <w:kern w:val="0"/>
      <w:szCs w:val="24"/>
    </w:rPr>
  </w:style>
  <w:style w:type="paragraph" w:customStyle="1" w:styleId="749">
    <w:name w:val="Default"/>
    <w:qFormat/>
    <w:uiPriority w:val="0"/>
    <w:pPr>
      <w:widowControl w:val="0"/>
      <w:autoSpaceDE w:val="0"/>
      <w:autoSpaceDN w:val="0"/>
      <w:adjustRightInd w:val="0"/>
      <w:spacing w:line="360" w:lineRule="auto"/>
    </w:pPr>
    <w:rPr>
      <w:rFonts w:ascii="宋体" w:hAnsi="Times New Roman" w:eastAsia="宋体" w:cs="宋体"/>
      <w:color w:val="000000"/>
      <w:sz w:val="24"/>
      <w:szCs w:val="24"/>
      <w:lang w:val="en-US" w:eastAsia="zh-CN" w:bidi="ar-SA"/>
    </w:rPr>
  </w:style>
  <w:style w:type="paragraph" w:customStyle="1" w:styleId="750">
    <w:name w:val="高岭土矿 正文"/>
    <w:basedOn w:val="1"/>
    <w:uiPriority w:val="0"/>
    <w:pPr>
      <w:adjustRightInd w:val="0"/>
      <w:spacing w:line="288" w:lineRule="auto"/>
    </w:pPr>
    <w:rPr>
      <w:rFonts w:ascii="Times New Roman" w:hAnsi="Times New Roman"/>
      <w:snapToGrid w:val="0"/>
      <w:color w:val="auto"/>
      <w:kern w:val="0"/>
      <w:szCs w:val="20"/>
    </w:rPr>
  </w:style>
  <w:style w:type="paragraph" w:customStyle="1" w:styleId="751">
    <w:name w:val="标题水污染"/>
    <w:basedOn w:val="5"/>
    <w:uiPriority w:val="0"/>
    <w:pPr>
      <w:tabs>
        <w:tab w:val="left" w:pos="0"/>
      </w:tabs>
    </w:pPr>
  </w:style>
  <w:style w:type="paragraph" w:customStyle="1" w:styleId="752">
    <w:name w:val="表文字"/>
    <w:basedOn w:val="1"/>
    <w:qFormat/>
    <w:uiPriority w:val="0"/>
    <w:pPr>
      <w:widowControl/>
      <w:spacing w:line="240" w:lineRule="auto"/>
      <w:ind w:firstLine="0" w:firstLineChars="0"/>
      <w:jc w:val="center"/>
    </w:pPr>
    <w:rPr>
      <w:rFonts w:ascii="Times New Roman" w:hAnsi="Times New Roman"/>
      <w:color w:val="auto"/>
      <w:kern w:val="0"/>
      <w:sz w:val="21"/>
      <w:szCs w:val="20"/>
    </w:rPr>
  </w:style>
  <w:style w:type="paragraph" w:customStyle="1" w:styleId="753">
    <w:name w:val="Char Char Char Char Char Char2 Char Char Char Char1"/>
    <w:basedOn w:val="1"/>
    <w:qFormat/>
    <w:uiPriority w:val="0"/>
    <w:pPr>
      <w:spacing w:line="240" w:lineRule="auto"/>
      <w:ind w:firstLine="0" w:firstLineChars="0"/>
    </w:pPr>
    <w:rPr>
      <w:rFonts w:ascii="Times New Roman" w:hAnsi="Times New Roman"/>
      <w:color w:val="auto"/>
      <w:sz w:val="21"/>
      <w:szCs w:val="24"/>
    </w:rPr>
  </w:style>
  <w:style w:type="paragraph" w:customStyle="1" w:styleId="754">
    <w:name w:val="6表(图)头(治)"/>
    <w:next w:val="1"/>
    <w:qFormat/>
    <w:uiPriority w:val="0"/>
    <w:pPr>
      <w:widowControl w:val="0"/>
      <w:spacing w:line="360" w:lineRule="auto"/>
      <w:jc w:val="center"/>
    </w:pPr>
    <w:rPr>
      <w:rFonts w:ascii="仿宋_GB2312" w:hAnsi="宋体" w:eastAsia="仿宋_GB2312" w:cs="Times New Roman"/>
      <w:kern w:val="2"/>
      <w:sz w:val="28"/>
      <w:lang w:val="en-US" w:eastAsia="zh-CN" w:bidi="ar-SA"/>
    </w:rPr>
  </w:style>
  <w:style w:type="paragraph" w:customStyle="1" w:styleId="755">
    <w:name w:val="列项·"/>
    <w:qFormat/>
    <w:uiPriority w:val="0"/>
    <w:pPr>
      <w:tabs>
        <w:tab w:val="left" w:pos="840"/>
      </w:tabs>
      <w:spacing w:line="360" w:lineRule="auto"/>
      <w:ind w:left="200" w:leftChars="200" w:hanging="420" w:hangingChars="200"/>
      <w:jc w:val="both"/>
    </w:pPr>
    <w:rPr>
      <w:rFonts w:ascii="宋体" w:hAnsi="Times New Roman" w:eastAsia="宋体" w:cs="Times New Roman"/>
      <w:sz w:val="21"/>
      <w:lang w:val="en-US" w:eastAsia="zh-CN" w:bidi="ar-SA"/>
    </w:rPr>
  </w:style>
  <w:style w:type="paragraph" w:customStyle="1" w:styleId="756">
    <w:name w:val="9"/>
    <w:basedOn w:val="1"/>
    <w:next w:val="42"/>
    <w:uiPriority w:val="0"/>
    <w:pPr>
      <w:spacing w:line="240" w:lineRule="auto"/>
      <w:ind w:firstLine="0" w:firstLineChars="0"/>
    </w:pPr>
    <w:rPr>
      <w:rFonts w:hAnsi="Courier New"/>
      <w:color w:val="auto"/>
      <w:sz w:val="21"/>
      <w:szCs w:val="20"/>
    </w:rPr>
  </w:style>
  <w:style w:type="paragraph" w:customStyle="1" w:styleId="757">
    <w:name w:val="样式 四号 黑色 行距: 1.5 倍行距 首行缩进:  2 字符"/>
    <w:basedOn w:val="1"/>
    <w:uiPriority w:val="0"/>
    <w:pPr>
      <w:ind w:firstLine="560"/>
    </w:pPr>
    <w:rPr>
      <w:rFonts w:ascii="Times New Roman" w:hAnsi="Times New Roman" w:eastAsia="仿宋_GB2312" w:cs="宋体"/>
      <w:sz w:val="28"/>
      <w:szCs w:val="20"/>
    </w:rPr>
  </w:style>
  <w:style w:type="paragraph" w:customStyle="1" w:styleId="758">
    <w:name w:val="表居中（中文）"/>
    <w:basedOn w:val="1"/>
    <w:qFormat/>
    <w:uiPriority w:val="0"/>
    <w:pPr>
      <w:adjustRightInd w:val="0"/>
      <w:spacing w:line="380" w:lineRule="atLeast"/>
      <w:ind w:firstLine="0" w:firstLineChars="0"/>
      <w:jc w:val="center"/>
      <w:textAlignment w:val="baseline"/>
    </w:pPr>
    <w:rPr>
      <w:rFonts w:ascii="Times New Roman" w:hAnsi="Times New Roman" w:eastAsia="楷体_GB2312"/>
      <w:color w:val="auto"/>
      <w:kern w:val="0"/>
      <w:szCs w:val="20"/>
    </w:rPr>
  </w:style>
  <w:style w:type="paragraph" w:customStyle="1" w:styleId="759">
    <w:name w:val="正文文字缩进"/>
    <w:basedOn w:val="1"/>
    <w:qFormat/>
    <w:uiPriority w:val="0"/>
    <w:pPr>
      <w:autoSpaceDE w:val="0"/>
      <w:autoSpaceDN w:val="0"/>
      <w:adjustRightInd w:val="0"/>
      <w:snapToGrid w:val="0"/>
      <w:ind w:firstLine="540" w:firstLineChars="0"/>
      <w:jc w:val="left"/>
      <w:textAlignment w:val="baseline"/>
    </w:pPr>
    <w:rPr>
      <w:rFonts w:hAnsi="Times New Roman" w:cs="宋体"/>
      <w:color w:val="auto"/>
      <w:kern w:val="0"/>
      <w:szCs w:val="24"/>
    </w:rPr>
  </w:style>
  <w:style w:type="paragraph" w:customStyle="1" w:styleId="760">
    <w:name w:val="Char Char1 Char Char Char Char Char Char Char Char Char Char Char Char Char Char Char Char Char Char1"/>
    <w:basedOn w:val="1"/>
    <w:uiPriority w:val="0"/>
    <w:rPr>
      <w:rFonts w:ascii="Times New Roman" w:hAnsi="Times New Roman"/>
      <w:color w:val="auto"/>
      <w:sz w:val="21"/>
      <w:szCs w:val="24"/>
    </w:rPr>
  </w:style>
  <w:style w:type="paragraph" w:customStyle="1" w:styleId="761">
    <w:name w:val="表1"/>
    <w:basedOn w:val="1"/>
    <w:uiPriority w:val="0"/>
    <w:pPr>
      <w:adjustRightInd w:val="0"/>
      <w:spacing w:line="0" w:lineRule="atLeast"/>
      <w:ind w:firstLine="0" w:firstLineChars="0"/>
      <w:jc w:val="center"/>
      <w:textAlignment w:val="baseline"/>
    </w:pPr>
    <w:rPr>
      <w:rFonts w:ascii="Times New Roman" w:hAnsi="Times New Roman"/>
      <w:color w:val="auto"/>
      <w:kern w:val="0"/>
      <w:sz w:val="28"/>
      <w:szCs w:val="20"/>
    </w:rPr>
  </w:style>
  <w:style w:type="paragraph" w:customStyle="1" w:styleId="762">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color w:val="FF0000"/>
      <w:kern w:val="0"/>
      <w:sz w:val="26"/>
    </w:rPr>
  </w:style>
  <w:style w:type="paragraph" w:customStyle="1" w:styleId="763">
    <w:name w:val="样式 标题 3 + (符号) 宋体 加粗 行距: 1.5 倍行距"/>
    <w:basedOn w:val="4"/>
    <w:qFormat/>
    <w:uiPriority w:val="0"/>
    <w:pPr>
      <w:keepLines w:val="0"/>
      <w:spacing w:beforeLines="0"/>
      <w:jc w:val="both"/>
    </w:pPr>
    <w:rPr>
      <w:rFonts w:ascii="Times New Roman" w:cs="宋体"/>
      <w:b w:val="0"/>
      <w:color w:val="auto"/>
      <w:sz w:val="24"/>
      <w:szCs w:val="20"/>
    </w:rPr>
  </w:style>
  <w:style w:type="paragraph" w:customStyle="1" w:styleId="764">
    <w:name w:val="一号标题"/>
    <w:basedOn w:val="3"/>
    <w:qFormat/>
    <w:uiPriority w:val="0"/>
    <w:pPr>
      <w:tabs>
        <w:tab w:val="clear" w:pos="576"/>
      </w:tabs>
      <w:spacing w:beforeLines="0" w:after="240" w:line="520" w:lineRule="exact"/>
      <w:ind w:left="0" w:firstLine="0"/>
    </w:pPr>
    <w:rPr>
      <w:rFonts w:ascii="Arial" w:eastAsia="黑体"/>
      <w:b w:val="0"/>
      <w:bCs w:val="0"/>
      <w:color w:val="auto"/>
      <w:kern w:val="24"/>
      <w:sz w:val="32"/>
    </w:rPr>
  </w:style>
  <w:style w:type="paragraph" w:customStyle="1" w:styleId="765">
    <w:name w:val="样式 文章正文 + 首行缩进:  2 字符"/>
    <w:basedOn w:val="337"/>
    <w:qFormat/>
    <w:uiPriority w:val="0"/>
    <w:pPr>
      <w:ind w:firstLine="480"/>
    </w:pPr>
    <w:rPr>
      <w:rFonts w:cs="宋体"/>
      <w:szCs w:val="20"/>
    </w:rPr>
  </w:style>
  <w:style w:type="paragraph" w:customStyle="1" w:styleId="766">
    <w:name w:val="样式 样式 样式 报告 + 首行缩进:  0.58 字符 Char + 黑色 首行缩进:  2 字符 段前: 0.1 行 段后:...1"/>
    <w:basedOn w:val="1"/>
    <w:uiPriority w:val="0"/>
    <w:pPr>
      <w:overflowPunct w:val="0"/>
      <w:autoSpaceDE w:val="0"/>
      <w:autoSpaceDN w:val="0"/>
      <w:adjustRightInd w:val="0"/>
      <w:ind w:firstLine="225" w:firstLineChars="225"/>
      <w:textAlignment w:val="baseline"/>
    </w:pPr>
    <w:rPr>
      <w:rFonts w:ascii="Times New Roman" w:hAnsi="Times New Roman"/>
      <w:szCs w:val="20"/>
    </w:rPr>
  </w:style>
  <w:style w:type="paragraph" w:customStyle="1" w:styleId="767">
    <w:name w:val="标题33"/>
    <w:basedOn w:val="19"/>
    <w:qFormat/>
    <w:uiPriority w:val="0"/>
    <w:pPr>
      <w:adjustRightInd/>
      <w:snapToGrid/>
      <w:spacing w:beforeLines="50" w:afterLines="50" w:line="400" w:lineRule="exact"/>
      <w:ind w:firstLine="0" w:firstLineChars="0"/>
    </w:pPr>
    <w:rPr>
      <w:sz w:val="24"/>
      <w:szCs w:val="20"/>
    </w:rPr>
  </w:style>
  <w:style w:type="paragraph" w:customStyle="1" w:styleId="768">
    <w:name w:val="文章大标题"/>
    <w:basedOn w:val="617"/>
    <w:qFormat/>
    <w:uiPriority w:val="0"/>
    <w:pPr>
      <w:spacing w:before="240" w:after="240"/>
    </w:pPr>
  </w:style>
  <w:style w:type="paragraph" w:customStyle="1" w:styleId="769">
    <w:name w:val="一级标题"/>
    <w:basedOn w:val="2"/>
    <w:qFormat/>
    <w:uiPriority w:val="0"/>
    <w:pPr>
      <w:tabs>
        <w:tab w:val="clear" w:pos="432"/>
      </w:tabs>
      <w:spacing w:beforeLines="50" w:afterLines="50" w:line="560" w:lineRule="exact"/>
      <w:ind w:left="0" w:firstLine="0"/>
      <w:jc w:val="both"/>
      <w:outlineLvl w:val="1"/>
    </w:pPr>
    <w:rPr>
      <w:rFonts w:ascii="Arial" w:hAnsi="Arial" w:eastAsia="黑体" w:cs="Arial"/>
      <w:b w:val="0"/>
      <w:color w:val="auto"/>
      <w:kern w:val="44"/>
    </w:rPr>
  </w:style>
  <w:style w:type="paragraph" w:customStyle="1" w:styleId="770">
    <w:name w:val="文章正文样式 Char Char Char2"/>
    <w:basedOn w:val="1"/>
    <w:qFormat/>
    <w:uiPriority w:val="0"/>
    <w:pPr>
      <w:spacing w:line="520" w:lineRule="exact"/>
      <w:ind w:firstLine="480"/>
      <w:jc w:val="left"/>
    </w:pPr>
    <w:rPr>
      <w:rFonts w:cs="宋体"/>
      <w:color w:val="auto"/>
      <w:szCs w:val="20"/>
    </w:rPr>
  </w:style>
  <w:style w:type="paragraph" w:customStyle="1" w:styleId="77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pPr>
    <w:rPr>
      <w:rFonts w:cs="宋体"/>
      <w:color w:val="auto"/>
      <w:szCs w:val="24"/>
    </w:rPr>
  </w:style>
  <w:style w:type="paragraph" w:customStyle="1" w:styleId="772">
    <w:name w:val="文章正文文字样式"/>
    <w:basedOn w:val="1"/>
    <w:qFormat/>
    <w:uiPriority w:val="0"/>
    <w:pPr>
      <w:spacing w:line="520" w:lineRule="exact"/>
      <w:jc w:val="left"/>
    </w:pPr>
    <w:rPr>
      <w:color w:val="auto"/>
      <w:szCs w:val="24"/>
    </w:rPr>
  </w:style>
  <w:style w:type="paragraph" w:customStyle="1" w:styleId="773">
    <w:name w:val="Char Char1 Char Char Char Char Char Char Char Char Char Char Char Char Char Char Char Char Char Char Char Char1 Char1"/>
    <w:basedOn w:val="1"/>
    <w:uiPriority w:val="0"/>
    <w:rPr>
      <w:rFonts w:cs="宋体"/>
      <w:color w:val="auto"/>
      <w:szCs w:val="24"/>
    </w:rPr>
  </w:style>
  <w:style w:type="paragraph" w:customStyle="1" w:styleId="774">
    <w:name w:val="Char Char1 Char Char Char Char"/>
    <w:basedOn w:val="1"/>
    <w:qFormat/>
    <w:uiPriority w:val="0"/>
    <w:rPr>
      <w:rFonts w:cs="宋体"/>
      <w:color w:val="auto"/>
      <w:szCs w:val="24"/>
    </w:rPr>
  </w:style>
  <w:style w:type="paragraph" w:customStyle="1" w:styleId="775">
    <w:name w:val="Char3 Char Char Char"/>
    <w:basedOn w:val="1"/>
    <w:qFormat/>
    <w:uiPriority w:val="0"/>
    <w:rPr>
      <w:rFonts w:cs="宋体"/>
      <w:color w:val="auto"/>
      <w:szCs w:val="24"/>
    </w:rPr>
  </w:style>
  <w:style w:type="paragraph" w:customStyle="1" w:styleId="776">
    <w:name w:val="样式 样式 样式 样式13 + Times New Roman 段前: 1 行 行距: 1.5 倍行距 + 首行缩进:  2 字..."/>
    <w:basedOn w:val="1"/>
    <w:uiPriority w:val="0"/>
    <w:pPr>
      <w:spacing w:beforeLines="50"/>
      <w:outlineLvl w:val="2"/>
    </w:pPr>
    <w:rPr>
      <w:rFonts w:ascii="Times New Roman" w:hAnsi="Times New Roman" w:cs="宋体"/>
      <w:b/>
      <w:bCs/>
      <w:color w:val="auto"/>
      <w:sz w:val="28"/>
      <w:szCs w:val="20"/>
    </w:rPr>
  </w:style>
  <w:style w:type="table" w:customStyle="1" w:styleId="777">
    <w:name w:val="网格型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8">
    <w:name w:val="专业网格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9">
    <w:name w:val="网格型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0">
    <w:name w:val="网格型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81">
    <w:name w:val="表后文 Char2"/>
    <w:qFormat/>
    <w:uiPriority w:val="0"/>
    <w:rPr>
      <w:rFonts w:ascii="宋体" w:hAnsi="宋体" w:eastAsia="宋体"/>
      <w:kern w:val="2"/>
      <w:sz w:val="24"/>
      <w:lang w:val="en-US" w:eastAsia="zh-CN" w:bidi="ar-SA"/>
    </w:rPr>
  </w:style>
  <w:style w:type="character" w:customStyle="1" w:styleId="782">
    <w:name w:val="fontstyle01"/>
    <w:uiPriority w:val="0"/>
    <w:rPr>
      <w:rFonts w:hint="eastAsia" w:ascii="宋体" w:hAnsi="宋体" w:eastAsia="宋体"/>
      <w:color w:val="000000"/>
      <w:sz w:val="24"/>
      <w:szCs w:val="24"/>
    </w:rPr>
  </w:style>
  <w:style w:type="character" w:customStyle="1" w:styleId="783">
    <w:name w:val="fontstyle21"/>
    <w:uiPriority w:val="0"/>
    <w:rPr>
      <w:rFonts w:hint="eastAsia" w:ascii="TimesNewRomanPSMT" w:hAnsi="TimesNewRomanPSMT" w:eastAsia="TimesNewRomanPSMT"/>
      <w:color w:val="000000"/>
      <w:sz w:val="24"/>
      <w:szCs w:val="24"/>
    </w:rPr>
  </w:style>
  <w:style w:type="paragraph" w:customStyle="1" w:styleId="784">
    <w:name w:val="普通(网站)2"/>
    <w:basedOn w:val="1"/>
    <w:qFormat/>
    <w:uiPriority w:val="0"/>
    <w:pPr>
      <w:widowControl/>
      <w:spacing w:before="100" w:beforeAutospacing="1" w:after="100" w:afterAutospacing="1" w:line="240" w:lineRule="auto"/>
      <w:ind w:firstLine="0" w:firstLineChars="0"/>
      <w:jc w:val="left"/>
    </w:pPr>
    <w:rPr>
      <w:rFonts w:hint="eastAsia"/>
      <w:color w:val="auto"/>
      <w:szCs w:val="20"/>
    </w:rPr>
  </w:style>
  <w:style w:type="character" w:customStyle="1" w:styleId="785">
    <w:name w:val="批注文字 Char"/>
    <w:link w:val="25"/>
    <w:qFormat/>
    <w:uiPriority w:val="0"/>
    <w:rPr>
      <w:kern w:val="2"/>
      <w:sz w:val="21"/>
      <w:szCs w:val="24"/>
    </w:rPr>
  </w:style>
  <w:style w:type="character" w:customStyle="1" w:styleId="786">
    <w:name w:val="主体 Char Char"/>
    <w:link w:val="787"/>
    <w:qFormat/>
    <w:uiPriority w:val="0"/>
    <w:rPr>
      <w:rFonts w:eastAsia="仿宋_GB2312"/>
      <w:bCs/>
      <w:sz w:val="24"/>
      <w:szCs w:val="24"/>
      <w:lang w:val="en-US" w:eastAsia="zh-CN" w:bidi="ar-SA"/>
    </w:rPr>
  </w:style>
  <w:style w:type="paragraph" w:customStyle="1" w:styleId="787">
    <w:name w:val="主体"/>
    <w:link w:val="786"/>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sz w:val="24"/>
      <w:szCs w:val="24"/>
      <w:lang w:val="en-US" w:eastAsia="zh-CN" w:bidi="ar-SA"/>
    </w:rPr>
  </w:style>
  <w:style w:type="paragraph" w:customStyle="1" w:styleId="788">
    <w:name w:val="Table Paragraph"/>
    <w:basedOn w:val="1"/>
    <w:qFormat/>
    <w:uiPriority w:val="0"/>
    <w:pPr>
      <w:autoSpaceDE w:val="0"/>
      <w:autoSpaceDN w:val="0"/>
      <w:spacing w:line="240" w:lineRule="auto"/>
      <w:ind w:firstLine="0" w:firstLineChars="0"/>
      <w:jc w:val="left"/>
    </w:pPr>
    <w:rPr>
      <w:rFonts w:cs="宋体"/>
      <w:color w:val="auto"/>
      <w:kern w:val="0"/>
      <w:sz w:val="22"/>
      <w:szCs w:val="22"/>
    </w:rPr>
  </w:style>
  <w:style w:type="character" w:customStyle="1" w:styleId="789">
    <w:name w:val="fontstyle11"/>
    <w:basedOn w:val="87"/>
    <w:qFormat/>
    <w:uiPriority w:val="0"/>
    <w:rPr>
      <w:rFonts w:hint="eastAsia" w:ascii="TimesNewRomanPSMT" w:eastAsia="TimesNewRomanPSMT"/>
      <w:color w:val="000000"/>
      <w:sz w:val="24"/>
      <w:szCs w:val="24"/>
    </w:rPr>
  </w:style>
  <w:style w:type="character" w:customStyle="1" w:styleId="790">
    <w:name w:val="description"/>
    <w:basedOn w:val="87"/>
    <w:qFormat/>
    <w:uiPriority w:val="0"/>
  </w:style>
  <w:style w:type="paragraph" w:customStyle="1" w:styleId="791">
    <w:name w:val="正文3"/>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wmf"/><Relationship Id="rId54" Type="http://schemas.openxmlformats.org/officeDocument/2006/relationships/oleObject" Target="embeddings/oleObject2.bin"/><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wmf"/><Relationship Id="rId50" Type="http://schemas.openxmlformats.org/officeDocument/2006/relationships/image" Target="media/image25.wmf"/><Relationship Id="rId5" Type="http://schemas.openxmlformats.org/officeDocument/2006/relationships/header" Target="header3.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png"/><Relationship Id="rId37" Type="http://schemas.openxmlformats.org/officeDocument/2006/relationships/image" Target="media/image12.jpe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emf"/><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wmf"/><Relationship Id="rId28" Type="http://schemas.openxmlformats.org/officeDocument/2006/relationships/oleObject" Target="embeddings/oleObject1.bin"/><Relationship Id="rId27" Type="http://schemas.openxmlformats.org/officeDocument/2006/relationships/image" Target="media/image3.pn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5646"/>
    <customShpInfo spid="_x0000_s5920"/>
    <customShpInfo spid="_x0000_s5921"/>
    <customShpInfo spid="_x0000_s5922"/>
    <customShpInfo spid="_x0000_s5919"/>
    <customShpInfo spid="_x0000_s5924"/>
    <customShpInfo spid="_x0000_s5925"/>
    <customShpInfo spid="_x0000_s5926"/>
    <customShpInfo spid="_x0000_s5927"/>
    <customShpInfo spid="_x0000_s5928"/>
    <customShpInfo spid="_x0000_s5929"/>
    <customShpInfo spid="_x0000_s5923"/>
    <customShpInfo spid="_x0000_s5653"/>
    <customShpInfo spid="_x0000_s5931"/>
    <customShpInfo spid="_x0000_s5932"/>
    <customShpInfo spid="_x0000_s5933"/>
    <customShpInfo spid="_x0000_s5934"/>
    <customShpInfo spid="_x0000_s5935"/>
    <customShpInfo spid="_x0000_s5936"/>
    <customShpInfo spid="_x0000_s5937"/>
    <customShpInfo spid="_x0000_s5938"/>
    <customShpInfo spid="_x0000_s5939"/>
    <customShpInfo spid="_x0000_s5940"/>
    <customShpInfo spid="_x0000_s5941"/>
    <customShpInfo spid="_x0000_s5942"/>
    <customShpInfo spid="_x0000_s5943"/>
    <customShpInfo spid="_x0000_s5944"/>
    <customShpInfo spid="_x0000_s5945"/>
    <customShpInfo spid="_x0000_s5946"/>
    <customShpInfo spid="_x0000_s5947"/>
    <customShpInfo spid="_x0000_s5948"/>
    <customShpInfo spid="_x0000_s5949"/>
    <customShpInfo spid="_x0000_s5950"/>
    <customShpInfo spid="_x0000_s5951"/>
    <customShpInfo spid="_x0000_s5952"/>
    <customShpInfo spid="_x0000_s5953"/>
    <customShpInfo spid="_x0000_s5954"/>
    <customShpInfo spid="_x0000_s5955"/>
    <customShpInfo spid="_x0000_s5956"/>
    <customShpInfo spid="_x0000_s5957"/>
    <customShpInfo spid="_x0000_s5958"/>
    <customShpInfo spid="_x0000_s5959"/>
    <customShpInfo spid="_x0000_s5960"/>
    <customShpInfo spid="_x0000_s5961"/>
    <customShpInfo spid="_x0000_s5962"/>
    <customShpInfo spid="_x0000_s5963"/>
    <customShpInfo spid="_x0000_s5964"/>
    <customShpInfo spid="_x0000_s5965"/>
    <customShpInfo spid="_x0000_s5930"/>
    <customShpInfo spid="_x0000_s5967"/>
    <customShpInfo spid="_x0000_s5968"/>
    <customShpInfo spid="_x0000_s5969"/>
    <customShpInfo spid="_x0000_s5970"/>
    <customShpInfo spid="_x0000_s5971"/>
    <customShpInfo spid="_x0000_s5972"/>
    <customShpInfo spid="_x0000_s5973"/>
    <customShpInfo spid="_x0000_s5974"/>
    <customShpInfo spid="_x0000_s5975"/>
    <customShpInfo spid="_x0000_s5976"/>
    <customShpInfo spid="_x0000_s5977"/>
    <customShpInfo spid="_x0000_s5978"/>
    <customShpInfo spid="_x0000_s5979"/>
    <customShpInfo spid="_x0000_s5980"/>
    <customShpInfo spid="_x0000_s5981"/>
    <customShpInfo spid="_x0000_s5982"/>
    <customShpInfo spid="_x0000_s5983"/>
    <customShpInfo spid="_x0000_s5984"/>
    <customShpInfo spid="_x0000_s5985"/>
    <customShpInfo spid="_x0000_s5986"/>
    <customShpInfo spid="_x0000_s5987"/>
    <customShpInfo spid="_x0000_s5988"/>
    <customShpInfo spid="_x0000_s5989"/>
    <customShpInfo spid="_x0000_s5990"/>
    <customShpInfo spid="_x0000_s5991"/>
    <customShpInfo spid="_x0000_s5992"/>
    <customShpInfo spid="_x0000_s5993"/>
    <customShpInfo spid="_x0000_s5994"/>
    <customShpInfo spid="_x0000_s5966"/>
    <customShpInfo spid="_x0000_s4001"/>
    <customShpInfo spid="_x0000_s5996"/>
    <customShpInfo spid="_x0000_s5997"/>
    <customShpInfo spid="_x0000_s5998"/>
    <customShpInfo spid="_x0000_s5999"/>
    <customShpInfo spid="_x0000_s6000"/>
    <customShpInfo spid="_x0000_s6001"/>
    <customShpInfo spid="_x0000_s6002"/>
    <customShpInfo spid="_x0000_s6003"/>
    <customShpInfo spid="_x0000_s6004"/>
    <customShpInfo spid="_x0000_s6005"/>
    <customShpInfo spid="_x0000_s6006"/>
    <customShpInfo spid="_x0000_s6007"/>
    <customShpInfo spid="_x0000_s6008"/>
    <customShpInfo spid="_x0000_s6009"/>
    <customShpInfo spid="_x0000_s6010"/>
    <customShpInfo spid="_x0000_s5995"/>
    <customShpInfo spid="_x0000_s5553"/>
    <customShpInfo spid="_x0000_s6012"/>
    <customShpInfo spid="_x0000_s6013"/>
    <customShpInfo spid="_x0000_s6014"/>
    <customShpInfo spid="_x0000_s6015"/>
    <customShpInfo spid="_x0000_s6016"/>
    <customShpInfo spid="_x0000_s6017"/>
    <customShpInfo spid="_x0000_s6018"/>
    <customShpInfo spid="_x0000_s6019"/>
    <customShpInfo spid="_x0000_s6020"/>
    <customShpInfo spid="_x0000_s6021"/>
    <customShpInfo spid="_x0000_s6022"/>
    <customShpInfo spid="_x0000_s6023"/>
    <customShpInfo spid="_x0000_s6011"/>
    <customShpInfo spid="_x0000_s6025"/>
    <customShpInfo spid="_x0000_s6026"/>
    <customShpInfo spid="_x0000_s6027"/>
    <customShpInfo spid="_x0000_s6028"/>
    <customShpInfo spid="_x0000_s6029"/>
    <customShpInfo spid="_x0000_s6030"/>
    <customShpInfo spid="_x0000_s6031"/>
    <customShpInfo spid="_x0000_s6032"/>
    <customShpInfo spid="_x0000_s6024"/>
    <customShpInfo spid="_x0000_s6047"/>
    <customShpInfo spid="_x0000_s6048"/>
    <customShpInfo spid="_x0000_s6049"/>
    <customShpInfo spid="_x0000_s6050"/>
    <customShpInfo spid="_x0000_s6051"/>
    <customShpInfo spid="_x0000_s6052"/>
    <customShpInfo spid="_x0000_s6053"/>
    <customShpInfo spid="_x0000_s6054"/>
    <customShpInfo spid="_x0000_s6055"/>
    <customShpInfo spid="_x0000_s6056"/>
    <customShpInfo spid="_x0000_s6057"/>
    <customShpInfo spid="_x0000_s6058"/>
    <customShpInfo spid="_x0000_s6060"/>
    <customShpInfo spid="_x0000_s6061"/>
    <customShpInfo spid="_x0000_s6046"/>
    <customShpInfo spid="_x0000_s6076"/>
    <customShpInfo spid="_x0000_s6077"/>
    <customShpInfo spid="_x0000_s6078"/>
    <customShpInfo spid="_x0000_s6079"/>
    <customShpInfo spid="_x0000_s6080"/>
    <customShpInfo spid="_x0000_s6081"/>
    <customShpInfo spid="_x0000_s6082"/>
    <customShpInfo spid="_x0000_s6083"/>
    <customShpInfo spid="_x0000_s6084"/>
    <customShpInfo spid="_x0000_s6085"/>
    <customShpInfo spid="_x0000_s6086"/>
    <customShpInfo spid="_x0000_s6087"/>
    <customShpInfo spid="_x0000_s6075"/>
    <customShpInfo spid="_x0000_s6088"/>
    <customShpInfo spid="_x0000_s6063"/>
    <customShpInfo spid="_x0000_s6064"/>
    <customShpInfo spid="_x0000_s6066"/>
    <customShpInfo spid="_x0000_s6067"/>
    <customShpInfo spid="_x0000_s6068"/>
    <customShpInfo spid="_x0000_s606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88CCB0-C2C3-465D-97C8-86C13377DDE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19726</Words>
  <Characters>112439</Characters>
  <Lines>936</Lines>
  <Paragraphs>263</Paragraphs>
  <TotalTime>10</TotalTime>
  <ScaleCrop>false</ScaleCrop>
  <LinksUpToDate>false</LinksUpToDate>
  <CharactersWithSpaces>131902</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2020-04-09T06:40:00Z</dcterms:created>
  <dc:creator>X</dc:creator>
  <cp:lastModifiedBy>Administrator</cp:lastModifiedBy>
  <cp:lastPrinted>2020-04-23T01:32:08Z</cp:lastPrinted>
  <dcterms:modified xsi:type="dcterms:W3CDTF">2020-04-23T01:41:34Z</dcterms:modified>
  <dc:title>前 言</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