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54</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关于浙江赛格工具科技有限公司年产500吨线卡建设项目环境影响报告表审批意见的函</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top"/>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lang w:eastAsia="zh-CN"/>
        </w:rPr>
        <w:t>浙江赛格工具科技有限公司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浙江大森生态环境科技有限公司编制</w:t>
      </w:r>
      <w:r>
        <w:rPr>
          <w:rFonts w:hint="eastAsia" w:ascii="仿宋_GB2312" w:hAnsi="仿宋_GB2312" w:eastAsia="仿宋_GB2312" w:cs="仿宋_GB2312"/>
          <w:sz w:val="32"/>
          <w:szCs w:val="32"/>
        </w:rPr>
        <w:t>的《</w:t>
      </w:r>
      <w:bookmarkStart w:id="1" w:name="_GoBack"/>
      <w:r>
        <w:rPr>
          <w:rFonts w:hint="eastAsia" w:ascii="仿宋_GB2312" w:hAnsi="仿宋_GB2312" w:eastAsia="仿宋_GB2312" w:cs="仿宋_GB2312"/>
          <w:sz w:val="32"/>
          <w:szCs w:val="32"/>
        </w:rPr>
        <w:t>浙江赛格工具科技有限公司年产500吨线卡建设项目</w:t>
      </w:r>
      <w:bookmarkEnd w:id="1"/>
      <w:r>
        <w:rPr>
          <w:rFonts w:hint="eastAsia" w:ascii="仿宋_GB2312" w:hAnsi="仿宋_GB2312" w:eastAsia="仿宋_GB2312" w:cs="仿宋_GB2312"/>
          <w:sz w:val="32"/>
          <w:szCs w:val="32"/>
        </w:rPr>
        <w:t>环境影响报告表》(报批稿)收悉。我局按照建设项目环境管理有关规定对该项目环评文件进行审查并公示，现将审批意见函告如下：</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w:t>
      </w:r>
      <w:r>
        <w:rPr>
          <w:rFonts w:hint="eastAsia" w:ascii="仿宋_GB2312" w:hAnsi="仿宋_GB2312" w:eastAsia="仿宋_GB2312" w:cs="仿宋_GB2312"/>
          <w:sz w:val="32"/>
          <w:szCs w:val="32"/>
          <w:lang w:eastAsia="zh-CN"/>
        </w:rPr>
        <w:t>温州瓯江口产业集聚区瓯帆路</w:t>
      </w:r>
      <w:r>
        <w:rPr>
          <w:rFonts w:hint="eastAsia" w:ascii="仿宋_GB2312" w:hAnsi="仿宋_GB2312" w:eastAsia="仿宋_GB2312" w:cs="仿宋_GB2312"/>
          <w:sz w:val="32"/>
          <w:szCs w:val="32"/>
          <w:lang w:val="en-US" w:eastAsia="zh-CN"/>
        </w:rPr>
        <w:t>266号6号楼，</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总建筑面积：</w:t>
      </w:r>
      <w:r>
        <w:rPr>
          <w:rFonts w:hint="eastAsia" w:ascii="仿宋_GB2312" w:hAnsi="仿宋_GB2312" w:eastAsia="仿宋_GB2312" w:cs="仿宋_GB2312"/>
          <w:sz w:val="32"/>
          <w:szCs w:val="32"/>
          <w:lang w:val="en-US" w:eastAsia="zh-CN"/>
        </w:rPr>
        <w:t>4225</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建年产</w:t>
      </w:r>
      <w:r>
        <w:rPr>
          <w:rFonts w:hint="eastAsia" w:ascii="仿宋_GB2312" w:hAnsi="仿宋_GB2312" w:eastAsia="仿宋_GB2312" w:cs="仿宋_GB2312"/>
          <w:sz w:val="32"/>
          <w:szCs w:val="32"/>
          <w:lang w:val="en-US" w:eastAsia="zh-CN"/>
        </w:rPr>
        <w:t>500吨线卡的生产规模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冷却水和生活污水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冷却水循环使用，不得外排；</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产生的废气为搅拌粉尘、破碎粉尘和注塑粉尘</w:t>
      </w:r>
      <w:r>
        <w:rPr>
          <w:rFonts w:hint="eastAsia" w:ascii="仿宋_GB2312" w:hAnsi="仿宋_GB2312" w:eastAsia="仿宋_GB2312" w:cs="仿宋_GB2312"/>
          <w:sz w:val="32"/>
          <w:szCs w:val="32"/>
          <w:lang w:val="en-US" w:eastAsia="zh-CN"/>
        </w:rPr>
        <w:t>。加强搅拌、破碎车间管理；注塑废气经集气罩收集后通过“UV光解+活性炭吸附”处理后引高排放，排气高度不低于25米。项目废气排放执行《合成树脂工业污染物排放标准》（GB31572-2015）中表5及表9相关标准；厂区内挥发性有机物无组织排放执行《挥发性有机物无组织排放控制标准》（GB37822-2019）大气污染物无组织特别排放限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六、本项目</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固体废弃物主要为</w:t>
      </w:r>
      <w:r>
        <w:rPr>
          <w:rFonts w:hint="eastAsia" w:ascii="仿宋_GB2312" w:hAnsi="仿宋_GB2312" w:eastAsia="仿宋_GB2312" w:cs="仿宋_GB2312"/>
          <w:sz w:val="32"/>
          <w:szCs w:val="32"/>
          <w:lang w:eastAsia="zh-CN"/>
        </w:rPr>
        <w:t>一般包装材料、废活性炭、废</w:t>
      </w:r>
      <w:r>
        <w:rPr>
          <w:rFonts w:hint="eastAsia" w:ascii="仿宋_GB2312" w:hAnsi="仿宋_GB2312" w:eastAsia="仿宋_GB2312" w:cs="仿宋_GB2312"/>
          <w:sz w:val="32"/>
          <w:szCs w:val="32"/>
          <w:lang w:val="en-US" w:eastAsia="zh-CN"/>
        </w:rPr>
        <w:t>UV灯管</w:t>
      </w:r>
      <w:r>
        <w:rPr>
          <w:rFonts w:hint="eastAsia" w:ascii="仿宋_GB2312" w:hAnsi="仿宋_GB2312" w:eastAsia="仿宋_GB2312" w:cs="仿宋_GB2312"/>
          <w:sz w:val="32"/>
          <w:szCs w:val="32"/>
          <w:lang w:eastAsia="zh-CN"/>
        </w:rPr>
        <w:t>和生活垃圾。一般包装材料收集后外售处理；废活性炭和废</w:t>
      </w:r>
      <w:r>
        <w:rPr>
          <w:rFonts w:hint="eastAsia" w:ascii="仿宋_GB2312" w:hAnsi="仿宋_GB2312" w:eastAsia="仿宋_GB2312" w:cs="仿宋_GB2312"/>
          <w:sz w:val="32"/>
          <w:szCs w:val="32"/>
          <w:lang w:val="en-US" w:eastAsia="zh-CN"/>
        </w:rPr>
        <w:t>UV灯管收集后须委托有资质的单位处理；生活垃圾经分类收集后委托环卫部门定期清运。一般固废执行《一般工业固体废物贮存和填埋污染控制标准》（GB18599-2020）；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八、须根据实际情况制定环境风险事故应急预案，落实环境风险防范及应急措施。加强管理，防止环境污染事故发生。按要求落实“污水零直排区”创建工作。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sz w:val="32"/>
          <w:szCs w:val="32"/>
          <w:lang w:eastAsia="zh-CN"/>
        </w:rPr>
        <w:t>温州瓯江口产业集聚区应急管理与生态环境局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15</w:t>
      </w:r>
      <w:r>
        <w:rPr>
          <w:rFonts w:hint="eastAsia" w:ascii="仿宋_GB2312" w:hAnsi="宋体" w:eastAsia="仿宋_GB2312" w:cs="宋体"/>
          <w:sz w:val="32"/>
          <w:szCs w:val="32"/>
        </w:rPr>
        <w:t>日</w:t>
      </w: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15</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063B4E6F"/>
    <w:rsid w:val="1A635100"/>
    <w:rsid w:val="1E21618F"/>
    <w:rsid w:val="2DF13312"/>
    <w:rsid w:val="36EE777E"/>
    <w:rsid w:val="3F450EE2"/>
    <w:rsid w:val="493E5555"/>
    <w:rsid w:val="4E1C04EB"/>
    <w:rsid w:val="56FE667F"/>
    <w:rsid w:val="5BD334CF"/>
    <w:rsid w:val="5C884BE9"/>
    <w:rsid w:val="5D2A20B5"/>
    <w:rsid w:val="6BC941AA"/>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16</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2021-07-15T07:02:44Z</cp:lastPrinted>
  <dcterms:modified xsi:type="dcterms:W3CDTF">2021-07-15T07:03:04Z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