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〕00</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关于苍南县鸿量废旧物资回收有限公司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市苍南县鸿量废旧物资回收有限公司申请跨省转移废旧铅酸蓄电池（HW49  900-044-49）</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000吨，委托贵省江西源丰有限公司金属有限公司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转移有效期自审批之日起</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月4日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：苍南县鸿量废旧物资回收有限公司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5120" w:firstLineChars="1600"/>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9年1月21日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03C0DED"/>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F2C7-B69A-4F1D-8AC0-1BE6FE815E6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419</Words>
  <Characters>481</Characters>
  <Lines>3</Lines>
  <Paragraphs>1</Paragraphs>
  <TotalTime>642</TotalTime>
  <ScaleCrop>false</ScaleCrop>
  <LinksUpToDate>false</LinksUpToDate>
  <CharactersWithSpaces>492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2019-01-21T03:42:00Z</cp:lastPrinted>
  <dcterms:modified xsi:type="dcterms:W3CDTF">2022-07-25T02:46:17Z</dcterms:modified>
  <cp:revision>615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F7523CF1BFC64DF88B3A21C765DDD22C</vt:lpwstr>
  </property>
</Properties>
</file>