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hint="eastAsia" w:ascii="宋体" w:hAnsi="宋体"/>
          <w:sz w:val="32"/>
        </w:rPr>
      </w:pPr>
    </w:p>
    <w:p>
      <w:pPr>
        <w:pStyle w:val="2"/>
        <w:rPr>
          <w:rFonts w:hint="eastAsia"/>
        </w:rPr>
      </w:pPr>
    </w:p>
    <w:p>
      <w:pPr>
        <w:pStyle w:val="2"/>
      </w:pPr>
    </w:p>
    <w:p>
      <w:pPr>
        <w:tabs>
          <w:tab w:val="left" w:pos="1480"/>
        </w:tabs>
        <w:spacing w:line="560" w:lineRule="exact"/>
        <w:jc w:val="center"/>
        <w:rPr>
          <w:rFonts w:hint="eastAsia" w:ascii="宋体" w:hAnsi="宋体" w:cs="宋体"/>
          <w:sz w:val="32"/>
        </w:rPr>
      </w:pPr>
      <w:r>
        <w:rPr>
          <w:rFonts w:hint="eastAsia" w:ascii="宋体" w:hAnsi="宋体" w:cs="宋体"/>
          <w:sz w:val="32"/>
        </w:rPr>
        <w:t>温环建﹝2021﹞0</w:t>
      </w:r>
      <w:r>
        <w:rPr>
          <w:rFonts w:hint="eastAsia" w:ascii="宋体" w:hAnsi="宋体" w:cs="宋体"/>
          <w:sz w:val="32"/>
          <w:lang w:val="en-US" w:eastAsia="zh-CN"/>
        </w:rPr>
        <w:t>71</w:t>
      </w:r>
      <w:r>
        <w:rPr>
          <w:rFonts w:hint="eastAsia" w:ascii="宋体" w:hAnsi="宋体" w:cs="宋体"/>
          <w:sz w:val="32"/>
        </w:rPr>
        <w:t>号</w:t>
      </w:r>
    </w:p>
    <w:p>
      <w:pPr>
        <w:pStyle w:val="3"/>
        <w:spacing w:line="560" w:lineRule="exact"/>
        <w:ind w:firstLine="0" w:firstLineChars="0"/>
        <w:rPr>
          <w:rFonts w:ascii="仿宋_GB2312" w:hAnsi="宋体" w:eastAsia="仿宋_GB2312"/>
          <w:b/>
          <w:sz w:val="28"/>
          <w:szCs w:val="28"/>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关于温州乐联进出口有限公司年产皮鞋40万双建设项目环境影响报告表审批意见的函</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top"/>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lang w:eastAsia="zh-CN"/>
        </w:rPr>
      </w:pPr>
      <w:bookmarkStart w:id="0" w:name="Body"/>
      <w:bookmarkEnd w:id="0"/>
      <w:r>
        <w:rPr>
          <w:rFonts w:hint="eastAsia" w:ascii="仿宋_GB2312" w:hAnsi="仿宋_GB2312" w:eastAsia="仿宋_GB2312" w:cs="仿宋_GB2312"/>
          <w:sz w:val="32"/>
          <w:szCs w:val="32"/>
          <w:lang w:eastAsia="zh-CN"/>
        </w:rPr>
        <w:t>温州乐联进出口有限公司：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你公司的申请报告、由</w:t>
      </w:r>
      <w:r>
        <w:rPr>
          <w:rFonts w:hint="eastAsia" w:ascii="仿宋_GB2312" w:hAnsi="仿宋_GB2312" w:eastAsia="仿宋_GB2312" w:cs="仿宋_GB2312"/>
          <w:sz w:val="32"/>
          <w:szCs w:val="32"/>
          <w:lang w:eastAsia="zh-CN"/>
        </w:rPr>
        <w:t>杭州智特环保有限公司编制</w:t>
      </w:r>
      <w:r>
        <w:rPr>
          <w:rFonts w:hint="eastAsia" w:ascii="仿宋_GB2312" w:hAnsi="仿宋_GB2312" w:eastAsia="仿宋_GB2312" w:cs="仿宋_GB2312"/>
          <w:sz w:val="32"/>
          <w:szCs w:val="32"/>
        </w:rPr>
        <w:t>的《</w:t>
      </w:r>
      <w:bookmarkStart w:id="1" w:name="_GoBack"/>
      <w:r>
        <w:rPr>
          <w:rFonts w:hint="eastAsia" w:ascii="仿宋_GB2312" w:hAnsi="仿宋_GB2312" w:eastAsia="仿宋_GB2312" w:cs="仿宋_GB2312"/>
          <w:sz w:val="32"/>
          <w:szCs w:val="32"/>
        </w:rPr>
        <w:t>温州乐联进出口有限公司年产皮鞋40万双建设项目</w:t>
      </w:r>
      <w:bookmarkEnd w:id="1"/>
      <w:r>
        <w:rPr>
          <w:rFonts w:hint="eastAsia" w:ascii="仿宋_GB2312" w:hAnsi="仿宋_GB2312" w:eastAsia="仿宋_GB2312" w:cs="仿宋_GB2312"/>
          <w:sz w:val="32"/>
          <w:szCs w:val="32"/>
        </w:rPr>
        <w:t>环境影响报告表》(报批稿)收悉。我局按照建设项目环境管理有关规定对该项目环评文件进行审查并公示，现将审批意见函告如下：</w:t>
      </w:r>
    </w:p>
    <w:p>
      <w:pPr>
        <w:keepNext w:val="0"/>
        <w:keepLines w:val="0"/>
        <w:pageBreakBefore w:val="0"/>
        <w:widowControl w:val="0"/>
        <w:numPr>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一、根据《中华人民共和国环境影响评价法》第二十二条的规定，原则同意环评编写单位的结论与建议，环评报告提出的污染防治措施可作为项目环保设计的依据，你公司须逐项予以落实。</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二、项目位于温州瓯江口产业集聚区雁云路706号第35幢1单元，</w:t>
      </w:r>
      <w:r>
        <w:rPr>
          <w:rFonts w:hint="eastAsia" w:ascii="仿宋_GB2312" w:hAnsi="仿宋_GB2312" w:eastAsia="仿宋_GB2312" w:cs="仿宋_GB2312"/>
          <w:sz w:val="32"/>
          <w:szCs w:val="32"/>
          <w:lang w:eastAsia="zh-CN"/>
        </w:rPr>
        <w:t>总建筑面积</w:t>
      </w:r>
      <w:r>
        <w:rPr>
          <w:rFonts w:hint="eastAsia" w:ascii="仿宋_GB2312" w:hAnsi="仿宋_GB2312" w:eastAsia="仿宋_GB2312" w:cs="仿宋_GB2312"/>
          <w:sz w:val="32"/>
          <w:szCs w:val="32"/>
          <w:lang w:val="en-US" w:eastAsia="zh-CN"/>
        </w:rPr>
        <w:t>5716.65</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rPr>
        <w:t>项目总投资</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万元，拟</w:t>
      </w:r>
      <w:r>
        <w:rPr>
          <w:rFonts w:hint="eastAsia" w:ascii="仿宋_GB2312" w:hAnsi="仿宋_GB2312" w:eastAsia="仿宋_GB2312" w:cs="仿宋_GB2312"/>
          <w:sz w:val="32"/>
          <w:szCs w:val="32"/>
          <w:lang w:eastAsia="zh-CN"/>
        </w:rPr>
        <w:t>建年产皮鞋40万双</w:t>
      </w:r>
      <w:r>
        <w:rPr>
          <w:rFonts w:hint="eastAsia" w:ascii="仿宋_GB2312" w:hAnsi="仿宋_GB2312" w:eastAsia="仿宋_GB2312" w:cs="仿宋_GB2312"/>
          <w:sz w:val="32"/>
          <w:szCs w:val="32"/>
          <w:lang w:val="en-US" w:eastAsia="zh-CN"/>
        </w:rPr>
        <w:t>的生产规模</w:t>
      </w:r>
      <w:r>
        <w:rPr>
          <w:rFonts w:hint="eastAsia" w:ascii="仿宋_GB2312" w:hAnsi="仿宋_GB2312" w:eastAsia="仿宋_GB2312" w:cs="仿宋_GB2312"/>
          <w:sz w:val="32"/>
          <w:szCs w:val="32"/>
        </w:rPr>
        <w:t>。具体建设内容见项目环评报告表。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三、本项目</w:t>
      </w:r>
      <w:r>
        <w:rPr>
          <w:rFonts w:hint="eastAsia" w:ascii="仿宋_GB2312" w:hAnsi="仿宋_GB2312" w:eastAsia="仿宋_GB2312" w:cs="仿宋_GB2312"/>
          <w:sz w:val="32"/>
          <w:szCs w:val="32"/>
          <w:lang w:eastAsia="zh-CN"/>
        </w:rPr>
        <w:t>产生</w:t>
      </w:r>
      <w:r>
        <w:rPr>
          <w:rFonts w:hint="eastAsia" w:ascii="仿宋_GB2312" w:hAnsi="仿宋_GB2312" w:eastAsia="仿宋_GB2312" w:cs="仿宋_GB2312"/>
          <w:sz w:val="32"/>
          <w:szCs w:val="32"/>
        </w:rPr>
        <w:t>的废水为</w:t>
      </w:r>
      <w:r>
        <w:rPr>
          <w:rFonts w:hint="eastAsia" w:ascii="仿宋_GB2312" w:hAnsi="仿宋_GB2312" w:eastAsia="仿宋_GB2312" w:cs="仿宋_GB2312"/>
          <w:sz w:val="32"/>
          <w:szCs w:val="32"/>
          <w:lang w:eastAsia="zh-CN"/>
        </w:rPr>
        <w:t>生活污水</w:t>
      </w:r>
      <w:r>
        <w:rPr>
          <w:rFonts w:hint="eastAsia" w:ascii="仿宋_GB2312" w:hAnsi="仿宋_GB2312" w:eastAsia="仿宋_GB2312" w:cs="仿宋_GB2312"/>
          <w:sz w:val="32"/>
          <w:szCs w:val="32"/>
        </w:rPr>
        <w:t>。生活污水经化粪池处理达到《污水综合排放标准》（GB8978-1996）三级标准后纳入市政污水管网，至瓯江口新区西片污水处理厂处理达一级A标准后排放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四、本项目</w:t>
      </w:r>
      <w:r>
        <w:rPr>
          <w:rFonts w:hint="eastAsia" w:ascii="仿宋_GB2312" w:hAnsi="仿宋_GB2312" w:eastAsia="仿宋_GB2312" w:cs="仿宋_GB2312"/>
          <w:sz w:val="32"/>
          <w:szCs w:val="32"/>
          <w:lang w:eastAsia="zh-CN"/>
        </w:rPr>
        <w:t>产生的废气为刷胶及烘干工序的胶水废气、恶臭和打磨粉尘。制鞋流水线上方设置抽风装置，废气经集气罩收集后通过UV光催+活性炭吸附装置净化后，通过25m排气筒高空排放；打磨粉尘经自带除尘器处理后排放。项目废气排放执行《制鞋工业大气污染物排放标准》（DB33/2046-2017）表1大气污染物排放限值和表4厂界大气污染物排放限值；厂区VOC</w:t>
      </w:r>
      <w:r>
        <w:rPr>
          <w:rFonts w:hint="eastAsia" w:ascii="仿宋_GB2312" w:hAnsi="仿宋_GB2312" w:eastAsia="仿宋_GB2312" w:cs="仿宋_GB2312"/>
          <w:sz w:val="32"/>
          <w:szCs w:val="32"/>
          <w:vertAlign w:val="subscript"/>
          <w:lang w:eastAsia="zh-CN"/>
        </w:rPr>
        <w:t>S</w:t>
      </w:r>
      <w:r>
        <w:rPr>
          <w:rFonts w:hint="eastAsia" w:ascii="仿宋_GB2312" w:hAnsi="仿宋_GB2312" w:eastAsia="仿宋_GB2312" w:cs="仿宋_GB2312"/>
          <w:sz w:val="32"/>
          <w:szCs w:val="32"/>
          <w:lang w:eastAsia="zh-CN"/>
        </w:rPr>
        <w:t>无组织排放执行《挥发性有机物无组织排放控制标准》（GB37822-2019）相应标准。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五、运营期噪声</w:t>
      </w:r>
      <w:r>
        <w:rPr>
          <w:rFonts w:hint="eastAsia" w:ascii="仿宋_GB2312" w:hAnsi="仿宋_GB2312" w:eastAsia="仿宋_GB2312" w:cs="仿宋_GB2312"/>
          <w:sz w:val="32"/>
          <w:szCs w:val="32"/>
          <w:lang w:eastAsia="zh-CN"/>
        </w:rPr>
        <w:t>厂界</w:t>
      </w:r>
      <w:r>
        <w:rPr>
          <w:rFonts w:hint="eastAsia" w:ascii="仿宋_GB2312" w:hAnsi="仿宋_GB2312" w:eastAsia="仿宋_GB2312" w:cs="仿宋_GB2312"/>
          <w:sz w:val="32"/>
          <w:szCs w:val="32"/>
        </w:rPr>
        <w:t>执行《工业企业厂界环境噪声排放标准》（GB12348-2008）</w:t>
      </w:r>
      <w:r>
        <w:rPr>
          <w:rFonts w:hint="eastAsia" w:ascii="仿宋_GB2312" w:hAnsi="仿宋_GB2312" w:eastAsia="仿宋_GB2312" w:cs="仿宋_GB2312"/>
          <w:sz w:val="32"/>
          <w:szCs w:val="32"/>
          <w:lang w:val="en-US" w:eastAsia="zh-CN"/>
        </w:rPr>
        <w:t>2类标准。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六、本项目固体废物主要为边角料、收集的粉尘、废包装桶、废活性炭、废UV灯管和生活垃圾。其中边角料和收集的粉尘外售综合利用；废包装桶、废活性炭和废UV灯管需委托有资质的单位处理；生活垃圾收集后委托环卫部门统一清运。</w:t>
      </w:r>
      <w:r>
        <w:rPr>
          <w:rFonts w:hint="eastAsia" w:ascii="仿宋_GB2312" w:hAnsi="仿宋_GB2312" w:eastAsia="仿宋_GB2312" w:cs="仿宋_GB2312"/>
          <w:sz w:val="32"/>
          <w:szCs w:val="32"/>
          <w:highlight w:val="none"/>
          <w:lang w:val="en-US" w:eastAsia="zh-CN"/>
        </w:rPr>
        <w:t>一般工业固废贮存过程应满足相应防渗漏、防雨淋、防扬尘等环境保护</w:t>
      </w:r>
      <w:r>
        <w:rPr>
          <w:rFonts w:hint="eastAsia" w:ascii="仿宋_GB2312" w:hAnsi="仿宋_GB2312" w:eastAsia="仿宋_GB2312" w:cs="仿宋_GB2312"/>
          <w:sz w:val="32"/>
          <w:szCs w:val="32"/>
          <w:highlight w:val="none"/>
          <w:lang w:val="en" w:eastAsia="zh-CN"/>
        </w:rPr>
        <w:t>要求</w:t>
      </w:r>
      <w:r>
        <w:rPr>
          <w:rFonts w:hint="eastAsia" w:ascii="仿宋_GB2312" w:hAnsi="仿宋_GB2312" w:eastAsia="仿宋_GB2312" w:cs="仿宋_GB2312"/>
          <w:sz w:val="32"/>
          <w:szCs w:val="32"/>
          <w:highlight w:val="none"/>
          <w:lang w:val="en-US" w:eastAsia="zh-CN"/>
        </w:rPr>
        <w:t>；危险废物执行《危险废物贮存污染控制标准》（GB18597-2001）及其修改单相关要求。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七、经环评测算，本项目不设置大气环境防护距离，其他防护距离请相关部门落实；根据环评，可不开展土壤环境影响评价工作和地下水评价工作。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八、须根据实际情况制定环境风险事故应急预案，落实环境风险防范及应急措施。加强管理，防止环境污染事故发生。按要求落实“污水零直排区”创建工作。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九</w:t>
      </w:r>
      <w:r>
        <w:rPr>
          <w:rFonts w:hint="eastAsia" w:ascii="仿宋_GB2312" w:hAnsi="仿宋_GB2312" w:eastAsia="仿宋_GB2312" w:cs="仿宋_GB2312"/>
          <w:sz w:val="32"/>
          <w:szCs w:val="32"/>
          <w:highlight w:val="none"/>
        </w:rPr>
        <w:t>、项目建设过程中须严格执行“三同时”制度，其配套的治理设施须与主体工程同时投入使用。项目建设完成后，须依法依规开展环保“三同时”验收工作，经验收合格后，项目方可正式投入生产。项目的日常环境监督管理工作请</w:t>
      </w:r>
      <w:r>
        <w:rPr>
          <w:rFonts w:hint="eastAsia" w:ascii="仿宋_GB2312" w:hAnsi="仿宋_GB2312" w:eastAsia="仿宋_GB2312" w:cs="仿宋_GB2312"/>
          <w:sz w:val="32"/>
          <w:szCs w:val="32"/>
          <w:highlight w:val="none"/>
          <w:lang w:eastAsia="zh-CN"/>
        </w:rPr>
        <w:t>温州瓯江口产业集聚区应急管理与生态环境局</w:t>
      </w:r>
      <w:r>
        <w:rPr>
          <w:rFonts w:hint="eastAsia" w:ascii="仿宋_GB2312" w:hAnsi="仿宋_GB2312" w:eastAsia="仿宋_GB2312" w:cs="仿宋_GB2312"/>
          <w:sz w:val="32"/>
          <w:szCs w:val="32"/>
          <w:highlight w:val="none"/>
        </w:rPr>
        <w:t>负责。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的环境影响评价文件经批准后，建设项目的性质、规模、地点、采用的生产工艺或者防治污染、防止生态破坏的措施发生重大变动的，建设单位应当重新报批建设项目的环境影响评价文件。项目的环境影响评价文件自批准之日起超过五年，方决定该项目开工建设的，其环境影响评价文件应当报原审批部门重新审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中华</w:t>
      </w:r>
      <w:r>
        <w:rPr>
          <w:rFonts w:hint="eastAsia" w:ascii="仿宋_GB2312" w:hAnsi="仿宋_GB2312" w:eastAsia="仿宋_GB2312" w:cs="仿宋_GB2312"/>
          <w:sz w:val="32"/>
          <w:szCs w:val="32"/>
        </w:rPr>
        <w:t>人民共和国行政复议法》第十二条规定，若你单位对本审批意见内容不服的，可以自收到本审批意见之日起六十日内向温州市人民政府提起行政复议，也可以在六个月内直接向鹿城区人民法院提起行政诉讼。</w:t>
      </w:r>
    </w:p>
    <w:p>
      <w:pPr>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温州市生态环境局 </w:t>
      </w:r>
    </w:p>
    <w:p>
      <w:pPr>
        <w:snapToGrid w:val="0"/>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2021年</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日</w:t>
      </w:r>
    </w:p>
    <w:tbl>
      <w:tblPr>
        <w:tblStyle w:val="7"/>
        <w:tblpPr w:leftFromText="180" w:rightFromText="180" w:vertAnchor="text" w:horzAnchor="margin" w:tblpY="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抄送：温州瓯江口产业集聚区应急管理与生态环境局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温州市生态环境局                  2021年</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日印发</w:t>
            </w:r>
          </w:p>
        </w:tc>
      </w:tr>
    </w:tbl>
    <w:p>
      <w:pPr>
        <w:snapToGrid w:val="0"/>
        <w:spacing w:line="560" w:lineRule="exact"/>
        <w:ind w:firstLine="640" w:firstLineChars="200"/>
        <w:rPr>
          <w:rFonts w:ascii="仿宋_GB2312" w:hAnsi="宋体" w:eastAsia="仿宋_GB2312" w:cs="宋体"/>
          <w:sz w:val="32"/>
          <w:szCs w:val="32"/>
        </w:rPr>
      </w:pPr>
    </w:p>
    <w:sectPr>
      <w:headerReference r:id="rId3" w:type="default"/>
      <w:pgSz w:w="11906" w:h="16838"/>
      <w:pgMar w:top="2098" w:right="1474" w:bottom="1701" w:left="1588" w:header="851" w:footer="754" w:gutter="0"/>
      <w:paperSrc/>
      <w:cols w:space="0" w:num="1"/>
      <w:rtlGutter w:val="0"/>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3EC5"/>
    <w:rsid w:val="001547B2"/>
    <w:rsid w:val="00247C70"/>
    <w:rsid w:val="008B45EE"/>
    <w:rsid w:val="00B830B9"/>
    <w:rsid w:val="00DC3EC5"/>
    <w:rsid w:val="00EF194C"/>
    <w:rsid w:val="00F31001"/>
    <w:rsid w:val="04B530D0"/>
    <w:rsid w:val="04E851E9"/>
    <w:rsid w:val="063B4E6F"/>
    <w:rsid w:val="0E7E2E09"/>
    <w:rsid w:val="12A37B9B"/>
    <w:rsid w:val="18F57BE9"/>
    <w:rsid w:val="1A635100"/>
    <w:rsid w:val="1B3D0E19"/>
    <w:rsid w:val="1E21618F"/>
    <w:rsid w:val="2DF13312"/>
    <w:rsid w:val="36EE777E"/>
    <w:rsid w:val="3F450EE2"/>
    <w:rsid w:val="493E5555"/>
    <w:rsid w:val="4E1C04EB"/>
    <w:rsid w:val="5404626D"/>
    <w:rsid w:val="56FE667F"/>
    <w:rsid w:val="584D09B1"/>
    <w:rsid w:val="5BD334CF"/>
    <w:rsid w:val="5C884BE9"/>
    <w:rsid w:val="5D2A20B5"/>
    <w:rsid w:val="602B754E"/>
    <w:rsid w:val="6BC941AA"/>
    <w:rsid w:val="742B5FD8"/>
    <w:rsid w:val="77BB2A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Indent 2"/>
    <w:basedOn w:val="1"/>
    <w:qFormat/>
    <w:uiPriority w:val="0"/>
    <w:pPr>
      <w:tabs>
        <w:tab w:val="right" w:pos="8788"/>
      </w:tabs>
      <w:spacing w:line="300" w:lineRule="auto"/>
      <w:ind w:firstLine="640" w:firstLineChars="200"/>
      <w:jc w:val="left"/>
    </w:pPr>
    <w:rPr>
      <w:sz w:val="32"/>
    </w:rPr>
  </w:style>
  <w:style w:type="paragraph" w:styleId="4">
    <w:name w:val="Balloon Text"/>
    <w:basedOn w:val="1"/>
    <w:link w:val="11"/>
    <w:qFormat/>
    <w:uiPriority w:val="0"/>
    <w:rPr>
      <w:sz w:val="18"/>
      <w:szCs w:val="18"/>
    </w:rPr>
  </w:style>
  <w:style w:type="paragraph" w:styleId="5">
    <w:name w:val="footer"/>
    <w:basedOn w:val="1"/>
    <w:link w:val="9"/>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脚 Char"/>
    <w:basedOn w:val="8"/>
    <w:link w:val="5"/>
    <w:qFormat/>
    <w:uiPriority w:val="0"/>
    <w:rPr>
      <w:rFonts w:ascii="Times New Roman" w:hAnsi="Times New Roman" w:eastAsia="宋体" w:cs="Times New Roman"/>
      <w:sz w:val="18"/>
      <w:szCs w:val="18"/>
    </w:rPr>
  </w:style>
  <w:style w:type="character" w:styleId="10">
    <w:name w:val="Placeholder Text"/>
    <w:basedOn w:val="8"/>
    <w:unhideWhenUsed/>
    <w:qFormat/>
    <w:uiPriority w:val="99"/>
    <w:rPr>
      <w:color w:val="808080"/>
    </w:rPr>
  </w:style>
  <w:style w:type="character" w:customStyle="1" w:styleId="11">
    <w:name w:val="批注框文本 Char"/>
    <w:basedOn w:val="8"/>
    <w:link w:val="4"/>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176</Words>
  <Characters>1005</Characters>
  <Lines>8</Lines>
  <Paragraphs>2</Paragraphs>
  <TotalTime>5</TotalTime>
  <ScaleCrop>false</ScaleCrop>
  <LinksUpToDate>false</LinksUpToDate>
  <CharactersWithSpaces>1179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2021-09-09T08:03:06Z</cp:lastPrinted>
  <dcterms:modified xsi:type="dcterms:W3CDTF">2021-09-09T08:03:25Z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8DCD97EC81194D1FAD91EEA98A814482</vt:lpwstr>
  </property>
</Properties>
</file>