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rFonts w:hint="eastAsia" w:ascii="仿宋_GB2312" w:hAnsi="仿宋_GB2312" w:eastAsia="仿宋_GB2312" w:cs="仿宋_GB2312"/>
          <w:sz w:val="32"/>
        </w:rPr>
      </w:pPr>
    </w:p>
    <w:p>
      <w:pPr>
        <w:pStyle w:val="2"/>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4</w:t>
      </w:r>
      <w:r>
        <w:rPr>
          <w:rFonts w:hint="eastAsia" w:ascii="宋体" w:hAnsi="宋体" w:cs="宋体"/>
          <w:sz w:val="32"/>
        </w:rPr>
        <w:t>﹞</w:t>
      </w:r>
      <w:r>
        <w:rPr>
          <w:rFonts w:hint="eastAsia" w:ascii="宋体" w:hAnsi="宋体" w:cs="宋体"/>
          <w:sz w:val="32"/>
          <w:lang w:val="en-US" w:eastAsia="zh-CN"/>
        </w:rPr>
        <w:t>033</w:t>
      </w:r>
      <w:r>
        <w:rPr>
          <w:rFonts w:hint="eastAsia" w:ascii="宋体" w:hAnsi="宋体" w:cs="宋体"/>
          <w:sz w:val="32"/>
        </w:rPr>
        <w:t>号</w:t>
      </w:r>
    </w:p>
    <w:p>
      <w:pPr>
        <w:pStyle w:val="5"/>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关于温州市安得利耐酸泵有限公司年产3000台水泵建设项目环境影响报告表审批意见的函</w:t>
      </w:r>
    </w:p>
    <w:p>
      <w:pPr>
        <w:pStyle w:val="3"/>
        <w:spacing w:line="240" w:lineRule="auto"/>
        <w:jc w:val="both"/>
        <w:rPr>
          <w:rFonts w:hint="eastAsia" w:ascii="宋体" w:eastAsia="宋体"/>
          <w:sz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温州市安得利耐酸泵有限公司：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温州壹佳环保科技有限公司编制</w:t>
      </w:r>
      <w:r>
        <w:rPr>
          <w:rFonts w:hint="eastAsia" w:ascii="仿宋_GB2312" w:hAnsi="仿宋_GB2312" w:eastAsia="仿宋_GB2312" w:cs="仿宋_GB2312"/>
          <w:sz w:val="32"/>
          <w:szCs w:val="32"/>
        </w:rPr>
        <w:t>的《</w:t>
      </w:r>
      <w:bookmarkStart w:id="0" w:name="_GoBack"/>
      <w:r>
        <w:rPr>
          <w:rFonts w:hint="eastAsia" w:ascii="仿宋_GB2312" w:hAnsi="仿宋_GB2312" w:eastAsia="仿宋_GB2312" w:cs="仿宋_GB2312"/>
          <w:sz w:val="32"/>
          <w:szCs w:val="32"/>
        </w:rPr>
        <w:t>温州市安得利耐酸泵有限公司年产3000台水泵建设项目</w:t>
      </w:r>
      <w:bookmarkEnd w:id="0"/>
      <w:r>
        <w:rPr>
          <w:rFonts w:hint="eastAsia" w:ascii="仿宋_GB2312" w:hAnsi="仿宋_GB2312" w:eastAsia="仿宋_GB2312" w:cs="仿宋_GB2312"/>
          <w:sz w:val="32"/>
          <w:szCs w:val="32"/>
        </w:rPr>
        <w:t>环境影响报告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报批稿</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收悉。我局按照建设项目环境管理有关规定对该项目环评文件进行审查并公示，现将审批意见函告如下：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温州海经区昆鹏街道</w:t>
      </w:r>
      <w:r>
        <w:rPr>
          <w:rFonts w:hint="eastAsia" w:ascii="仿宋_GB2312" w:hAnsi="仿宋_GB2312" w:eastAsia="仿宋_GB2312" w:cs="仿宋_GB2312"/>
          <w:sz w:val="32"/>
          <w:szCs w:val="32"/>
          <w:lang w:val="en" w:eastAsia="zh-CN"/>
        </w:rPr>
        <w:t>雁云路</w:t>
      </w:r>
      <w:r>
        <w:rPr>
          <w:rFonts w:hint="eastAsia" w:ascii="仿宋_GB2312" w:hAnsi="仿宋_GB2312" w:eastAsia="仿宋_GB2312" w:cs="仿宋_GB2312"/>
          <w:sz w:val="32"/>
          <w:szCs w:val="32"/>
          <w:lang w:val="en-US" w:eastAsia="zh-CN"/>
        </w:rPr>
        <w:t>176号8幢104室，项目</w:t>
      </w:r>
      <w:r>
        <w:rPr>
          <w:rFonts w:hint="eastAsia" w:ascii="仿宋_GB2312" w:hAnsi="仿宋_GB2312" w:eastAsia="仿宋_GB2312" w:cs="仿宋_GB2312"/>
          <w:sz w:val="32"/>
          <w:szCs w:val="32"/>
          <w:lang w:val="en" w:eastAsia="zh-CN"/>
        </w:rPr>
        <w:t>建筑</w:t>
      </w:r>
      <w:r>
        <w:rPr>
          <w:rFonts w:hint="eastAsia" w:ascii="仿宋_GB2312" w:hAnsi="仿宋_GB2312" w:eastAsia="仿宋_GB2312" w:cs="仿宋_GB2312"/>
          <w:sz w:val="32"/>
          <w:szCs w:val="32"/>
          <w:lang w:val="en-US" w:eastAsia="zh-CN"/>
        </w:rPr>
        <w:t>面积3869.56m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vertAlign w:val="baseline"/>
          <w:lang w:eastAsia="zh-CN"/>
        </w:rPr>
        <w:t>。项目总</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建成后</w:t>
      </w:r>
      <w:r>
        <w:rPr>
          <w:rFonts w:hint="eastAsia" w:ascii="仿宋_GB2312" w:hAnsi="仿宋_GB2312" w:eastAsia="仿宋_GB2312" w:cs="仿宋_GB2312"/>
          <w:sz w:val="32"/>
          <w:szCs w:val="32"/>
          <w:lang w:val="en" w:eastAsia="zh-CN"/>
        </w:rPr>
        <w:t>形成年产</w:t>
      </w:r>
      <w:r>
        <w:rPr>
          <w:rFonts w:hint="eastAsia" w:ascii="仿宋_GB2312" w:hAnsi="仿宋_GB2312" w:eastAsia="仿宋_GB2312" w:cs="仿宋_GB2312"/>
          <w:sz w:val="32"/>
          <w:szCs w:val="32"/>
          <w:lang w:val="en-US" w:eastAsia="zh-CN"/>
        </w:rPr>
        <w:t>3000台水泵的生产规模</w:t>
      </w:r>
      <w:r>
        <w:rPr>
          <w:rFonts w:hint="eastAsia" w:ascii="仿宋_GB2312" w:hAnsi="仿宋_GB2312" w:eastAsia="仿宋_GB2312" w:cs="仿宋_GB2312"/>
          <w:sz w:val="32"/>
          <w:szCs w:val="32"/>
        </w:rPr>
        <w:t>。具体建设内容见项目环评报告。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三、环境质量标准：</w:t>
      </w:r>
      <w:r>
        <w:rPr>
          <w:rFonts w:hint="eastAsia" w:ascii="仿宋_GB2312" w:hAnsi="仿宋_GB2312" w:eastAsia="仿宋_GB2312" w:cs="仿宋_GB2312"/>
          <w:sz w:val="32"/>
          <w:szCs w:val="32"/>
          <w:lang w:eastAsia="zh-CN"/>
        </w:rPr>
        <w:t>地表水执行《地表水环境质量标准》（</w:t>
      </w:r>
      <w:r>
        <w:rPr>
          <w:rFonts w:hint="eastAsia" w:ascii="仿宋_GB2312" w:hAnsi="仿宋_GB2312" w:eastAsia="仿宋_GB2312" w:cs="仿宋_GB2312"/>
          <w:sz w:val="32"/>
          <w:szCs w:val="32"/>
          <w:lang w:val="en-US" w:eastAsia="zh-CN"/>
        </w:rPr>
        <w:t>GB3838-2002</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IV类标准。涉及海域分别执行《海水水质标准》（GB3097-1997）第一类标准，第四类标准。地下水参照执行《地下水环境质量标准》(GB/T14848-2017)IV类标准。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项目周边环境空气执行《环境空气质量标准》（GB3095-2012）中的二级标准，特征污染物参照执行《环境影响评价技术导则 大气环境》（HJ2.2-2008）中附录D相关标准</w:t>
      </w:r>
      <w:r>
        <w:rPr>
          <w:rFonts w:hint="eastAsia" w:ascii="仿宋_GB2312" w:hAnsi="仿宋_GB2312" w:eastAsia="仿宋_GB2312" w:cs="仿宋_GB2312"/>
          <w:sz w:val="32"/>
          <w:szCs w:val="32"/>
          <w:lang w:eastAsia="zh-CN"/>
        </w:rPr>
        <w:t>。非甲烷总烃参照执行</w:t>
      </w:r>
      <w:r>
        <w:rPr>
          <w:rFonts w:hint="eastAsia" w:ascii="仿宋_GB2312" w:hAnsi="仿宋_GB2312" w:eastAsia="仿宋_GB2312" w:cs="仿宋_GB2312"/>
          <w:sz w:val="32"/>
          <w:szCs w:val="32"/>
          <w:lang w:val="en-US" w:eastAsia="zh-CN"/>
        </w:rPr>
        <w:t>2.0mg/m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FF0000"/>
          <w:sz w:val="32"/>
          <w:szCs w:val="32"/>
          <w:lang w:val="en-US"/>
        </w:rPr>
      </w:pPr>
      <w:r>
        <w:rPr>
          <w:rFonts w:hint="eastAsia" w:ascii="仿宋_GB2312" w:hAnsi="仿宋_GB2312" w:eastAsia="仿宋_GB2312" w:cs="仿宋_GB2312"/>
          <w:color w:val="auto"/>
          <w:sz w:val="32"/>
          <w:szCs w:val="32"/>
        </w:rPr>
        <w:t>区域声环境质量执行《声环境质量标准》（GB3096-2008）的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类标准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土壤环境质量执行《土壤环境质量标准 建设用地土壤污染风险管控标准（试行）》（GB36600-2018）</w:t>
      </w:r>
      <w:r>
        <w:rPr>
          <w:rFonts w:hint="eastAsia" w:ascii="仿宋_GB2312" w:hAnsi="仿宋_GB2312" w:eastAsia="仿宋_GB2312" w:cs="仿宋_GB2312"/>
          <w:sz w:val="32"/>
          <w:szCs w:val="32"/>
          <w:lang w:eastAsia="zh-CN"/>
        </w:rPr>
        <w:t>相关筛选值。</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项目污染物排放标准：</w:t>
      </w:r>
      <w:r>
        <w:rPr>
          <w:rFonts w:hint="eastAsia" w:ascii="仿宋_GB2312" w:hAnsi="仿宋_GB2312" w:eastAsia="仿宋_GB2312" w:cs="仿宋_GB2312"/>
          <w:sz w:val="32"/>
          <w:szCs w:val="32"/>
          <w:lang w:eastAsia="zh-CN"/>
        </w:rPr>
        <w:t>项目主要废水为</w:t>
      </w:r>
      <w:r>
        <w:rPr>
          <w:rFonts w:hint="eastAsia" w:ascii="仿宋_GB2312" w:hAnsi="仿宋_GB2312" w:eastAsia="仿宋_GB2312" w:cs="仿宋_GB2312"/>
          <w:sz w:val="32"/>
          <w:szCs w:val="32"/>
          <w:lang w:val="en" w:eastAsia="zh-CN"/>
        </w:rPr>
        <w:t>测试废水、喷漆废水和</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lang w:val="en" w:eastAsia="zh-CN"/>
        </w:rPr>
        <w:t>。测试废水和喷漆废水经自建污水处理设施处理达</w:t>
      </w:r>
      <w:r>
        <w:rPr>
          <w:rFonts w:hint="eastAsia" w:ascii="仿宋_GB2312" w:hAnsi="仿宋_GB2312" w:eastAsia="仿宋_GB2312" w:cs="仿宋_GB2312"/>
          <w:sz w:val="32"/>
          <w:szCs w:val="32"/>
          <w:lang w:val="en-US" w:eastAsia="zh-CN"/>
        </w:rPr>
        <w:t>《污水综合排放标准》（GB8978-1996）三级标准及其相关标准后</w:t>
      </w:r>
      <w:r>
        <w:rPr>
          <w:rFonts w:hint="eastAsia" w:ascii="仿宋_GB2312" w:hAnsi="仿宋_GB2312" w:eastAsia="仿宋_GB2312" w:cs="仿宋_GB2312"/>
          <w:sz w:val="32"/>
          <w:szCs w:val="32"/>
          <w:lang w:val="en" w:eastAsia="zh-CN"/>
        </w:rPr>
        <w:t>纳管排放；生活污水</w:t>
      </w:r>
      <w:r>
        <w:rPr>
          <w:rFonts w:hint="eastAsia" w:ascii="仿宋_GB2312" w:hAnsi="仿宋_GB2312" w:eastAsia="仿宋_GB2312" w:cs="仿宋_GB2312"/>
          <w:sz w:val="32"/>
          <w:szCs w:val="32"/>
          <w:lang w:val="en-US" w:eastAsia="zh-CN"/>
        </w:rPr>
        <w:t>经预处理达《污水综合排放标准》（GB8978-1996）三级标准及其相关标准后纳入瓯江口西片污水处理厂处理达标后排放。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项目主要废气为焊接烟尘、机加工粉尘、切割粉尘、打磨粉尘、喷漆废气、晾干废气和恶臭。项目喷漆废气和晾干废气排放执行《工业涂装工序大气污染物排放标准》（</w:t>
      </w:r>
      <w:r>
        <w:rPr>
          <w:rFonts w:hint="eastAsia" w:ascii="仿宋_GB2312" w:hAnsi="仿宋_GB2312" w:eastAsia="仿宋_GB2312" w:cs="仿宋_GB2312"/>
          <w:sz w:val="32"/>
          <w:szCs w:val="32"/>
          <w:lang w:val="en-US" w:eastAsia="zh-CN"/>
        </w:rPr>
        <w:t>DB33/2146</w:t>
      </w:r>
      <w:r>
        <w:rPr>
          <w:rFonts w:hint="eastAsia" w:ascii="仿宋_GB2312" w:hAnsi="仿宋_GB2312" w:eastAsia="仿宋_GB2312" w:cs="仿宋_GB2312"/>
          <w:sz w:val="32"/>
          <w:szCs w:val="32"/>
          <w:lang w:eastAsia="zh-CN"/>
        </w:rPr>
        <w:t>）中表</w:t>
      </w:r>
      <w:r>
        <w:rPr>
          <w:rFonts w:hint="eastAsia" w:ascii="仿宋_GB2312" w:hAnsi="仿宋_GB2312" w:eastAsia="仿宋_GB2312" w:cs="仿宋_GB2312"/>
          <w:sz w:val="32"/>
          <w:szCs w:val="32"/>
          <w:lang w:val="en-US" w:eastAsia="zh-CN"/>
        </w:rPr>
        <w:t>1大气污染物排放限值和表6企业边界大气污染物浓度限值；焊接烟尘、机加工粉尘、切割粉尘、打磨粉尘和颗粒物无组织排放执行《大气污染物综合排放标准》（GB16297-1996）中表2中的无组织排放浓度限值；厂区内VOCs无组织排放执行《工业涂装工序大气污染物排放标准》（DB33/2146-2018）表5的排放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噪声</w:t>
      </w:r>
      <w:r>
        <w:rPr>
          <w:rFonts w:hint="eastAsia" w:ascii="仿宋_GB2312" w:hAnsi="仿宋_GB2312" w:eastAsia="仿宋_GB2312" w:cs="仿宋_GB2312"/>
          <w:sz w:val="32"/>
          <w:szCs w:val="32"/>
          <w:lang w:val="en"/>
        </w:rPr>
        <w:t>营运期</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危险废物执行《危险废物贮存污染控制标准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（GB18597-20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相关标准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一般工业固废</w:t>
      </w:r>
      <w:r>
        <w:rPr>
          <w:rFonts w:hint="eastAsia" w:ascii="仿宋_GB2312" w:hAnsi="仿宋_GB2312" w:eastAsia="仿宋_GB2312" w:cs="仿宋_GB2312"/>
          <w:sz w:val="32"/>
          <w:szCs w:val="32"/>
          <w:lang w:eastAsia="zh-CN"/>
        </w:rPr>
        <w:t>贮存过程满足相应防渗漏、防雨淋、防扬尘等环境保护要求</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五、</w:t>
      </w:r>
      <w:r>
        <w:rPr>
          <w:rFonts w:hint="eastAsia" w:ascii="仿宋_GB2312" w:hAnsi="仿宋_GB2312" w:eastAsia="仿宋_GB2312" w:cs="仿宋_GB2312"/>
          <w:color w:val="auto"/>
          <w:sz w:val="32"/>
          <w:szCs w:val="32"/>
        </w:rPr>
        <w:t>落实废气处理设施</w:t>
      </w:r>
      <w:r>
        <w:rPr>
          <w:rFonts w:hint="eastAsia" w:ascii="仿宋_GB2312" w:hAnsi="仿宋_GB2312" w:eastAsia="仿宋_GB2312" w:cs="仿宋_GB2312"/>
          <w:color w:val="auto"/>
          <w:sz w:val="32"/>
          <w:szCs w:val="32"/>
          <w:lang w:eastAsia="zh-CN"/>
        </w:rPr>
        <w:t>。喷漆废气经水帘去除漆雾后汇同晾干废气一并经“水喷淋</w:t>
      </w:r>
      <w:r>
        <w:rPr>
          <w:rFonts w:hint="eastAsia" w:ascii="仿宋_GB2312" w:hAnsi="仿宋_GB2312" w:eastAsia="仿宋_GB2312" w:cs="仿宋_GB2312"/>
          <w:color w:val="auto"/>
          <w:sz w:val="32"/>
          <w:szCs w:val="32"/>
          <w:lang w:val="en-US" w:eastAsia="zh-CN"/>
        </w:rPr>
        <w:t>+水雾分离+活性炭吸附</w:t>
      </w:r>
      <w:r>
        <w:rPr>
          <w:rFonts w:hint="eastAsia" w:ascii="仿宋_GB2312" w:hAnsi="仿宋_GB2312" w:eastAsia="仿宋_GB2312" w:cs="仿宋_GB2312"/>
          <w:color w:val="auto"/>
          <w:sz w:val="32"/>
          <w:szCs w:val="32"/>
          <w:lang w:eastAsia="zh-CN"/>
        </w:rPr>
        <w:t>”处理后引高排放；同时加强车间管理；排气筒高度应符合环评要求，且不低于15米，应高出周围200m半径范围的建筑5m以上。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、落实环评中相应降噪、隔声、消声措施，使厂界噪声达标排放。危险废物须按环评要求分类收集，妥善贮存、处置，一般固废、生活垃圾及时收集清运。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项目污染物排放总量：</w:t>
      </w:r>
      <w:r>
        <w:rPr>
          <w:rFonts w:hint="eastAsia" w:ascii="仿宋_GB2312" w:hAnsi="仿宋_GB2312" w:eastAsia="仿宋_GB2312" w:cs="仿宋_GB2312"/>
          <w:sz w:val="32"/>
          <w:szCs w:val="32"/>
          <w:highlight w:val="none"/>
          <w:lang w:eastAsia="zh-CN"/>
        </w:rPr>
        <w:t>化学需氧量</w:t>
      </w:r>
      <w:r>
        <w:rPr>
          <w:rFonts w:hint="eastAsia" w:ascii="仿宋_GB2312" w:hAnsi="仿宋_GB2312" w:eastAsia="仿宋_GB2312" w:cs="仿宋_GB2312"/>
          <w:sz w:val="32"/>
          <w:szCs w:val="32"/>
          <w:highlight w:val="none"/>
          <w:lang w:val="en-US" w:eastAsia="zh-CN"/>
        </w:rPr>
        <w:t>0.016吨/年、氨氮0.001吨/年。经环评测算，厂区温室气体排放总量为28.515tCO</w:t>
      </w:r>
      <w:r>
        <w:rPr>
          <w:rFonts w:hint="eastAsia" w:ascii="仿宋_GB2312" w:hAnsi="仿宋_GB2312" w:eastAsia="仿宋_GB2312" w:cs="仿宋_GB2312"/>
          <w:sz w:val="32"/>
          <w:szCs w:val="32"/>
          <w:highlight w:val="none"/>
          <w:vertAlign w:val="subscript"/>
          <w:lang w:val="en-US" w:eastAsia="zh-CN"/>
        </w:rPr>
        <w:t>2</w:t>
      </w:r>
      <w:r>
        <w:rPr>
          <w:rFonts w:hint="eastAsia" w:ascii="仿宋_GB2312" w:hAnsi="仿宋_GB2312" w:eastAsia="仿宋_GB2312" w:cs="仿宋_GB2312"/>
          <w:sz w:val="32"/>
          <w:szCs w:val="32"/>
          <w:highlight w:val="none"/>
          <w:vertAlign w:val="baseline"/>
          <w:lang w:val="en-US" w:eastAsia="zh-CN"/>
        </w:rPr>
        <w:t>。</w:t>
      </w:r>
      <w:r>
        <w:rPr>
          <w:rFonts w:hint="eastAsia" w:ascii="仿宋_GB2312" w:hAnsi="仿宋_GB2312" w:eastAsia="仿宋_GB2312" w:cs="仿宋_GB2312"/>
          <w:sz w:val="32"/>
          <w:szCs w:val="32"/>
          <w:highlight w:val="none"/>
        </w:rPr>
        <w:t>其他污染物排放量不得超过环评提出的总量指标，新增总量指标须通过排污权交易取得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、完善环境风险事故应急预案，落实环境风险防范及应急措施。加强管理，防止环境污染事故发生。</w:t>
      </w:r>
      <w:r>
        <w:rPr>
          <w:rFonts w:hint="eastAsia" w:ascii="仿宋_GB2312" w:hAnsi="仿宋_GB2312" w:eastAsia="仿宋_GB2312" w:cs="仿宋_GB2312"/>
          <w:sz w:val="32"/>
          <w:szCs w:val="32"/>
          <w:lang w:eastAsia="zh-CN"/>
        </w:rPr>
        <w:t>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 xml:space="preserve">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   </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、项目须严格执行环保“三同时”制度，</w:t>
      </w:r>
      <w:r>
        <w:rPr>
          <w:rFonts w:hint="eastAsia" w:ascii="仿宋_GB2312" w:hAnsi="仿宋_GB2312" w:eastAsia="仿宋_GB2312" w:cs="仿宋_GB2312"/>
          <w:sz w:val="32"/>
          <w:szCs w:val="32"/>
          <w:highlight w:val="none"/>
        </w:rPr>
        <w:t>项目的日常环境监督管理工作请</w:t>
      </w:r>
      <w:r>
        <w:rPr>
          <w:rFonts w:hint="eastAsia" w:ascii="仿宋_GB2312" w:hAnsi="仿宋_GB2312" w:eastAsia="仿宋_GB2312" w:cs="仿宋_GB2312"/>
          <w:sz w:val="32"/>
          <w:szCs w:val="32"/>
          <w:highlight w:val="none"/>
          <w:lang w:eastAsia="zh-CN"/>
        </w:rPr>
        <w:t>温州海洋经济发展示范区经信生态局</w:t>
      </w:r>
      <w:r>
        <w:rPr>
          <w:rFonts w:hint="eastAsia" w:ascii="仿宋_GB2312" w:hAnsi="仿宋_GB2312" w:eastAsia="仿宋_GB2312" w:cs="仿宋_GB2312"/>
          <w:sz w:val="32"/>
          <w:szCs w:val="32"/>
          <w:highlight w:val="none"/>
        </w:rPr>
        <w:t>负责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项目建成后应在产生实际排污行为前申领排污许可证，并依法依规做好“三同时”环保竣工验收工作。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十一、若你单位及项目利害关系人对本审批意见内容不服的，可以在六十日内向温州市人民政府提起行政复议,或者在六个月内向鹿城区人民法院提起行政诉讼。</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sz w:val="32"/>
          <w:szCs w:val="32"/>
        </w:rPr>
        <w:t>日</w:t>
      </w:r>
    </w:p>
    <w:p>
      <w:pPr>
        <w:pStyle w:val="2"/>
        <w:rPr>
          <w:rFonts w:hint="eastAsia"/>
        </w:rPr>
      </w:pPr>
    </w:p>
    <w:p>
      <w:pPr>
        <w:pStyle w:val="2"/>
        <w:rPr>
          <w:rFonts w:hint="eastAsia"/>
        </w:rPr>
      </w:pPr>
    </w:p>
    <w:tbl>
      <w:tblPr>
        <w:tblStyle w:val="9"/>
        <w:tblpPr w:leftFromText="180" w:rightFromText="180" w:vertAnchor="text" w:horzAnchor="page" w:tblpX="1690" w:tblpY="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抄送：</w:t>
            </w:r>
            <w:r>
              <w:rPr>
                <w:rFonts w:hint="eastAsia" w:ascii="Times New Roman" w:hAnsi="Times New Roman" w:eastAsia="仿宋_GB2312" w:cs="Times New Roman"/>
                <w:sz w:val="32"/>
                <w:szCs w:val="32"/>
                <w:highlight w:val="none"/>
                <w:lang w:eastAsia="zh-CN"/>
              </w:rPr>
              <w:t>温州海洋经济发展示范区经信生态局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日印发</w:t>
            </w:r>
          </w:p>
        </w:tc>
      </w:tr>
    </w:tbl>
    <w:p>
      <w:pPr>
        <w:pStyle w:val="2"/>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3D74A"/>
    <w:multiLevelType w:val="singleLevel"/>
    <w:tmpl w:val="8FE3D74A"/>
    <w:lvl w:ilvl="0" w:tentative="0">
      <w:start w:val="4"/>
      <w:numFmt w:val="chineseCounting"/>
      <w:suff w:val="nothing"/>
      <w:lvlText w:val="%1、"/>
      <w:lvlJc w:val="left"/>
      <w:rPr>
        <w:rFonts w:hint="eastAsia"/>
      </w:rPr>
    </w:lvl>
  </w:abstractNum>
  <w:abstractNum w:abstractNumId="1">
    <w:nsid w:val="B023FEC3"/>
    <w:multiLevelType w:val="singleLevel"/>
    <w:tmpl w:val="B023FEC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3879EC"/>
    <w:rsid w:val="0049307C"/>
    <w:rsid w:val="00667255"/>
    <w:rsid w:val="008B45EE"/>
    <w:rsid w:val="00B830B9"/>
    <w:rsid w:val="00B95092"/>
    <w:rsid w:val="00DC3EC5"/>
    <w:rsid w:val="00EF194C"/>
    <w:rsid w:val="00F31001"/>
    <w:rsid w:val="02521CF0"/>
    <w:rsid w:val="04B530D0"/>
    <w:rsid w:val="04DA57A6"/>
    <w:rsid w:val="04E851E9"/>
    <w:rsid w:val="05462A66"/>
    <w:rsid w:val="05694CE1"/>
    <w:rsid w:val="05E736B5"/>
    <w:rsid w:val="063B4E6F"/>
    <w:rsid w:val="07481E7E"/>
    <w:rsid w:val="0A984C04"/>
    <w:rsid w:val="0AB13916"/>
    <w:rsid w:val="0B8D7398"/>
    <w:rsid w:val="0CA50439"/>
    <w:rsid w:val="0E0452EF"/>
    <w:rsid w:val="0E7E2E09"/>
    <w:rsid w:val="0F352A49"/>
    <w:rsid w:val="121C615D"/>
    <w:rsid w:val="12A37B9B"/>
    <w:rsid w:val="135E286B"/>
    <w:rsid w:val="14C8725B"/>
    <w:rsid w:val="14D8425B"/>
    <w:rsid w:val="163B4A87"/>
    <w:rsid w:val="17604DAB"/>
    <w:rsid w:val="176A5D84"/>
    <w:rsid w:val="18593B10"/>
    <w:rsid w:val="18AC5A24"/>
    <w:rsid w:val="18F57BE9"/>
    <w:rsid w:val="1A635100"/>
    <w:rsid w:val="1B3D0E19"/>
    <w:rsid w:val="1C5203DB"/>
    <w:rsid w:val="1D2F4CBA"/>
    <w:rsid w:val="1D4D095D"/>
    <w:rsid w:val="1DC1392A"/>
    <w:rsid w:val="1E21618F"/>
    <w:rsid w:val="1F434B54"/>
    <w:rsid w:val="20174B33"/>
    <w:rsid w:val="21510D65"/>
    <w:rsid w:val="218B6EE0"/>
    <w:rsid w:val="22942DCC"/>
    <w:rsid w:val="23BC0464"/>
    <w:rsid w:val="24FC0E9A"/>
    <w:rsid w:val="27946297"/>
    <w:rsid w:val="27AF7A58"/>
    <w:rsid w:val="28F371A8"/>
    <w:rsid w:val="2B652CA7"/>
    <w:rsid w:val="2C0D3AE9"/>
    <w:rsid w:val="2CB7552D"/>
    <w:rsid w:val="2CE7613E"/>
    <w:rsid w:val="2DEB6572"/>
    <w:rsid w:val="2DF13312"/>
    <w:rsid w:val="2EDA092B"/>
    <w:rsid w:val="2F027BFA"/>
    <w:rsid w:val="2F333CB2"/>
    <w:rsid w:val="2F8E785D"/>
    <w:rsid w:val="30054380"/>
    <w:rsid w:val="30AE70AD"/>
    <w:rsid w:val="323557C2"/>
    <w:rsid w:val="33E856A3"/>
    <w:rsid w:val="347436C1"/>
    <w:rsid w:val="35835D75"/>
    <w:rsid w:val="359249E5"/>
    <w:rsid w:val="36EC38E5"/>
    <w:rsid w:val="36EE777E"/>
    <w:rsid w:val="36FB0C74"/>
    <w:rsid w:val="376427D7"/>
    <w:rsid w:val="376E164F"/>
    <w:rsid w:val="397E423B"/>
    <w:rsid w:val="3A937DE9"/>
    <w:rsid w:val="3F450EE2"/>
    <w:rsid w:val="40EB1A3D"/>
    <w:rsid w:val="41D37DD1"/>
    <w:rsid w:val="424F3974"/>
    <w:rsid w:val="428C2599"/>
    <w:rsid w:val="45AF37E9"/>
    <w:rsid w:val="489A01C2"/>
    <w:rsid w:val="48ED65C6"/>
    <w:rsid w:val="493E5555"/>
    <w:rsid w:val="49500F4B"/>
    <w:rsid w:val="49C61A31"/>
    <w:rsid w:val="4B1C16D9"/>
    <w:rsid w:val="4BBD55B7"/>
    <w:rsid w:val="4E1C04EB"/>
    <w:rsid w:val="501B75FF"/>
    <w:rsid w:val="51B23253"/>
    <w:rsid w:val="53651E82"/>
    <w:rsid w:val="5404626D"/>
    <w:rsid w:val="56316276"/>
    <w:rsid w:val="566B005F"/>
    <w:rsid w:val="56FE667F"/>
    <w:rsid w:val="584D09B1"/>
    <w:rsid w:val="59AC02AD"/>
    <w:rsid w:val="5BD334CF"/>
    <w:rsid w:val="5C884BE9"/>
    <w:rsid w:val="5D2A20B5"/>
    <w:rsid w:val="5F0F220E"/>
    <w:rsid w:val="5F7E3425"/>
    <w:rsid w:val="602B754E"/>
    <w:rsid w:val="61334C87"/>
    <w:rsid w:val="61BD079F"/>
    <w:rsid w:val="627D79CC"/>
    <w:rsid w:val="63D12988"/>
    <w:rsid w:val="63ED4DF9"/>
    <w:rsid w:val="644E665C"/>
    <w:rsid w:val="65B1302C"/>
    <w:rsid w:val="67835CA1"/>
    <w:rsid w:val="69924B04"/>
    <w:rsid w:val="6A16031B"/>
    <w:rsid w:val="6B75334D"/>
    <w:rsid w:val="6BC941AA"/>
    <w:rsid w:val="6C2615FD"/>
    <w:rsid w:val="6DB17719"/>
    <w:rsid w:val="6EEE7E92"/>
    <w:rsid w:val="72AD635A"/>
    <w:rsid w:val="735A27E4"/>
    <w:rsid w:val="741A1211"/>
    <w:rsid w:val="742B5FD8"/>
    <w:rsid w:val="760279BD"/>
    <w:rsid w:val="7676051E"/>
    <w:rsid w:val="77342CAA"/>
    <w:rsid w:val="77471B03"/>
    <w:rsid w:val="77BB2A95"/>
    <w:rsid w:val="78DC670E"/>
    <w:rsid w:val="7DA91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8"/>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w:basedOn w:val="1"/>
    <w:autoRedefine/>
    <w:qFormat/>
    <w:uiPriority w:val="0"/>
    <w:pPr>
      <w:tabs>
        <w:tab w:val="left" w:pos="1480"/>
      </w:tabs>
      <w:spacing w:line="252" w:lineRule="auto"/>
      <w:jc w:val="center"/>
    </w:pPr>
    <w:rPr>
      <w:rFonts w:ascii="仿宋_GB2312" w:hAnsi="宋体" w:eastAsia="仿宋_GB2312"/>
      <w:b/>
      <w:bCs/>
      <w:sz w:val="44"/>
    </w:rPr>
  </w:style>
  <w:style w:type="paragraph" w:styleId="4">
    <w:name w:val="Body Text Indent"/>
    <w:basedOn w:val="1"/>
    <w:autoRedefine/>
    <w:qFormat/>
    <w:uiPriority w:val="0"/>
    <w:pPr>
      <w:tabs>
        <w:tab w:val="left" w:pos="1480"/>
      </w:tabs>
      <w:adjustRightInd w:val="0"/>
      <w:snapToGrid w:val="0"/>
      <w:ind w:firstLine="640" w:firstLineChars="200"/>
    </w:pPr>
    <w:rPr>
      <w:rFonts w:ascii="宋体" w:hAnsi="宋体"/>
      <w:sz w:val="32"/>
    </w:rPr>
  </w:style>
  <w:style w:type="paragraph" w:styleId="5">
    <w:name w:val="Body Text Indent 2"/>
    <w:basedOn w:val="1"/>
    <w:autoRedefine/>
    <w:qFormat/>
    <w:uiPriority w:val="0"/>
    <w:pPr>
      <w:tabs>
        <w:tab w:val="right" w:pos="8788"/>
      </w:tabs>
      <w:spacing w:line="300" w:lineRule="auto"/>
      <w:ind w:firstLine="640" w:firstLineChars="200"/>
      <w:jc w:val="left"/>
    </w:pPr>
    <w:rPr>
      <w:sz w:val="32"/>
    </w:rPr>
  </w:style>
  <w:style w:type="paragraph" w:styleId="6">
    <w:name w:val="Balloon Text"/>
    <w:basedOn w:val="1"/>
    <w:link w:val="13"/>
    <w:autoRedefine/>
    <w:qFormat/>
    <w:uiPriority w:val="0"/>
    <w:rPr>
      <w:sz w:val="18"/>
      <w:szCs w:val="18"/>
    </w:rPr>
  </w:style>
  <w:style w:type="paragraph" w:styleId="7">
    <w:name w:val="footer"/>
    <w:basedOn w:val="1"/>
    <w:link w:val="1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脚 Char"/>
    <w:basedOn w:val="10"/>
    <w:link w:val="7"/>
    <w:autoRedefine/>
    <w:qFormat/>
    <w:uiPriority w:val="0"/>
    <w:rPr>
      <w:rFonts w:ascii="Times New Roman" w:hAnsi="Times New Roman" w:eastAsia="宋体" w:cs="Times New Roman"/>
      <w:sz w:val="18"/>
      <w:szCs w:val="18"/>
    </w:rPr>
  </w:style>
  <w:style w:type="character" w:styleId="12">
    <w:name w:val="Placeholder Text"/>
    <w:basedOn w:val="10"/>
    <w:autoRedefine/>
    <w:unhideWhenUsed/>
    <w:qFormat/>
    <w:uiPriority w:val="99"/>
    <w:rPr>
      <w:color w:val="808080"/>
    </w:rPr>
  </w:style>
  <w:style w:type="character" w:customStyle="1" w:styleId="13">
    <w:name w:val="批注框文本 Char"/>
    <w:basedOn w:val="10"/>
    <w:link w:val="6"/>
    <w:autoRedefine/>
    <w:qFormat/>
    <w:uiPriority w:val="0"/>
    <w:rPr>
      <w:rFonts w:ascii="Times New Roman" w:hAnsi="Times New Roman" w:eastAsia="宋体" w:cs="Times New Roman"/>
      <w:sz w:val="18"/>
      <w:szCs w:val="18"/>
    </w:rPr>
  </w:style>
  <w:style w:type="paragraph" w:customStyle="1" w:styleId="14">
    <w:name w:val="正文01"/>
    <w:basedOn w:val="1"/>
    <w:autoRedefine/>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1964</Words>
  <Characters>2312</Characters>
  <Lines>2</Lines>
  <Paragraphs>3</Paragraphs>
  <TotalTime>13</TotalTime>
  <ScaleCrop>false</ScaleCrop>
  <LinksUpToDate>false</LinksUpToDate>
  <CharactersWithSpaces>2388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2024-04-18T06:50:21Z</cp:lastPrinted>
  <dcterms:modified xsi:type="dcterms:W3CDTF">2024-04-18T06:50:49Z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