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50</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温州新思维制笔有限公司年产一百万支笔</w:t>
      </w:r>
      <w:r>
        <w:rPr>
          <w:rFonts w:hint="eastAsia" w:ascii="方正小标宋简体" w:eastAsia="方正小标宋简体"/>
          <w:sz w:val="44"/>
          <w:szCs w:val="44"/>
        </w:rPr>
        <w:t>建设项目环境影响报告表审批意见的函</w:t>
      </w:r>
    </w:p>
    <w:p>
      <w:pPr>
        <w:snapToGrid w:val="0"/>
        <w:spacing w:line="520" w:lineRule="exact"/>
        <w:jc w:val="center"/>
        <w:textAlignment w:val="top"/>
        <w:rPr>
          <w:rFonts w:ascii="仿宋_GB231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rPr>
        <w:t>温州新思维制笔有限公司：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杭州智特环保有限公司编制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lang w:eastAsia="zh-CN"/>
        </w:rPr>
        <w:t>温州新思维制笔有限公司年产一百万支笔</w:t>
      </w:r>
      <w:r>
        <w:rPr>
          <w:rFonts w:hint="eastAsia" w:ascii="仿宋_GB2312" w:hAnsi="仿宋_GB2312" w:eastAsia="仿宋_GB2312" w:cs="仿宋_GB2312"/>
          <w:sz w:val="32"/>
          <w:szCs w:val="32"/>
        </w:rPr>
        <w:t>建设项目环境影响报告表</w:t>
      </w:r>
      <w:bookmarkEnd w:id="1"/>
      <w:r>
        <w:rPr>
          <w:rFonts w:hint="eastAsia" w:ascii="仿宋_GB2312" w:hAnsi="仿宋_GB2312" w:eastAsia="仿宋_GB2312" w:cs="仿宋_GB2312"/>
          <w:sz w:val="32"/>
          <w:szCs w:val="32"/>
        </w:rPr>
        <w:t>》(报批稿)收悉。我局按照建设项目环境管理有关规定对该项目环评文件进行审查并公示，现将审批意见函告如下：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温州瓯江口产业集聚区文博科技产业园</w:t>
      </w:r>
      <w:r>
        <w:rPr>
          <w:rFonts w:hint="eastAsia" w:ascii="仿宋_GB2312" w:hAnsi="仿宋_GB2312" w:eastAsia="仿宋_GB2312" w:cs="仿宋_GB2312"/>
          <w:sz w:val="32"/>
          <w:szCs w:val="32"/>
          <w:lang w:val="en-US" w:eastAsia="zh-CN"/>
        </w:rPr>
        <w:t>30幢2单元，</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总建筑面积：</w:t>
      </w:r>
      <w:r>
        <w:rPr>
          <w:rFonts w:hint="eastAsia" w:ascii="仿宋_GB2312" w:hAnsi="仿宋_GB2312" w:eastAsia="仿宋_GB2312" w:cs="仿宋_GB2312"/>
          <w:sz w:val="32"/>
          <w:szCs w:val="32"/>
          <w:lang w:val="en-US" w:eastAsia="zh-CN"/>
        </w:rPr>
        <w:t>3765</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建年产一百万支笔</w:t>
      </w:r>
      <w:r>
        <w:rPr>
          <w:rFonts w:hint="eastAsia" w:ascii="仿宋_GB2312" w:hAnsi="仿宋_GB2312" w:eastAsia="仿宋_GB2312" w:cs="仿宋_GB2312"/>
          <w:sz w:val="32"/>
          <w:szCs w:val="32"/>
          <w:lang w:val="en-US" w:eastAsia="zh-CN"/>
        </w:rPr>
        <w:t>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冷却水和生活污水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冷却水循环使用，不得外排；</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产生的废气为注塑废气和粉碎粉尘</w:t>
      </w:r>
      <w:r>
        <w:rPr>
          <w:rFonts w:hint="eastAsia" w:ascii="仿宋_GB2312" w:hAnsi="仿宋_GB2312" w:eastAsia="仿宋_GB2312" w:cs="仿宋_GB2312"/>
          <w:sz w:val="32"/>
          <w:szCs w:val="32"/>
          <w:lang w:val="en-US" w:eastAsia="zh-CN"/>
        </w:rPr>
        <w:t>。注塑废气经集气罩收集后通过UV光催化+活性炭吸附处理后引高排放，排气高度不低于20米；加强粉碎车间管理。注塑废气排放执行《合成树脂工业污染物排放标准》（GB31572-2015）中表5、表9的标准限值；厂区内挥发性有机物无组织排放执行《挥发性有机物无组织排放控制标准》（GB37822-2019）表A.1特别排放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固体废弃物主要为</w:t>
      </w:r>
      <w:r>
        <w:rPr>
          <w:rFonts w:hint="eastAsia" w:ascii="仿宋_GB2312" w:hAnsi="仿宋_GB2312" w:eastAsia="仿宋_GB2312" w:cs="仿宋_GB2312"/>
          <w:sz w:val="32"/>
          <w:szCs w:val="32"/>
          <w:lang w:eastAsia="zh-CN"/>
        </w:rPr>
        <w:t>一般包装物、废</w:t>
      </w:r>
      <w:r>
        <w:rPr>
          <w:rFonts w:hint="eastAsia" w:ascii="仿宋_GB2312" w:hAnsi="仿宋_GB2312" w:eastAsia="仿宋_GB2312" w:cs="仿宋_GB2312"/>
          <w:sz w:val="32"/>
          <w:szCs w:val="32"/>
          <w:lang w:val="en-US" w:eastAsia="zh-CN"/>
        </w:rPr>
        <w:t>UV灯管、废活性炭</w:t>
      </w:r>
      <w:r>
        <w:rPr>
          <w:rFonts w:hint="eastAsia" w:ascii="仿宋_GB2312" w:hAnsi="仿宋_GB2312" w:eastAsia="仿宋_GB2312" w:cs="仿宋_GB2312"/>
          <w:sz w:val="32"/>
          <w:szCs w:val="32"/>
          <w:lang w:eastAsia="zh-CN"/>
        </w:rPr>
        <w:t>和生活垃圾。一般包装物外售综合利用；废</w:t>
      </w:r>
      <w:r>
        <w:rPr>
          <w:rFonts w:hint="eastAsia" w:ascii="仿宋_GB2312" w:hAnsi="仿宋_GB2312" w:eastAsia="仿宋_GB2312" w:cs="仿宋_GB2312"/>
          <w:sz w:val="32"/>
          <w:szCs w:val="32"/>
          <w:lang w:val="en-US" w:eastAsia="zh-CN"/>
        </w:rPr>
        <w:t>UV灯管和废活性炭经收集后须委托有资质的单位处理；生活垃圾收集后委托环卫部门定期清运。一般固废执行《一般工业固体废物贮存和填埋污染控制标准》（GB18599-2020）；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八、须根据实际情况制定环境管理制度。加强管理，防止环境污染事故发生。落实清洁生产相应措施。按要求落实“污水零直排区”创建工作。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lang w:eastAsia="zh-CN"/>
        </w:rPr>
        <w:t>温州瓯江口产业集聚区应急管理与生态环境局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日</w:t>
      </w:r>
    </w:p>
    <w:p>
      <w:pPr>
        <w:pStyle w:val="2"/>
        <w:rPr>
          <w:rFonts w:hint="eastAsia"/>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1A635100"/>
    <w:rsid w:val="2DF13312"/>
    <w:rsid w:val="36EE777E"/>
    <w:rsid w:val="3F450EE2"/>
    <w:rsid w:val="493E5555"/>
    <w:rsid w:val="4E1C04EB"/>
    <w:rsid w:val="56FE667F"/>
    <w:rsid w:val="5BD334CF"/>
    <w:rsid w:val="5C884BE9"/>
    <w:rsid w:val="5D2A20B5"/>
    <w:rsid w:val="6BC941AA"/>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6</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2021-05-21T02:39:00Z</cp:lastPrinted>
  <dcterms:modified xsi:type="dcterms:W3CDTF">2021-07-06T02:31:14Z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