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48</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关于温州市威格尔科技有限公司年产PEEK阀片16吨、阀座及各类机械配件36吨建设项目环境影响报告表审批意见的函</w:t>
      </w:r>
    </w:p>
    <w:p>
      <w:pPr>
        <w:snapToGrid w:val="0"/>
        <w:spacing w:line="520" w:lineRule="exact"/>
        <w:jc w:val="center"/>
        <w:textAlignment w:val="top"/>
        <w:rPr>
          <w:rFonts w:ascii="仿宋_GB231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rPr>
        <w:t>温州市威格尔科技有限公司：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杭州智特环保有限公司编制</w:t>
      </w:r>
      <w:r>
        <w:rPr>
          <w:rFonts w:hint="eastAsia" w:ascii="仿宋_GB2312" w:hAnsi="仿宋_GB2312" w:eastAsia="仿宋_GB2312" w:cs="仿宋_GB2312"/>
          <w:sz w:val="32"/>
          <w:szCs w:val="32"/>
        </w:rPr>
        <w:t>的《温州市威格尔科技有限公司年产PEEK阀片16吨、阀座及各类机械配件36吨建设项目环境影响报告表》(报批稿)收悉。我局按照建设项目环境管理有关规定对该项目环评文件进行审查并公示，现将审批意见函告如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温州瓯江口产业集聚区文博科技产业园</w:t>
      </w:r>
      <w:r>
        <w:rPr>
          <w:rFonts w:hint="eastAsia" w:ascii="仿宋_GB2312" w:hAnsi="仿宋_GB2312" w:eastAsia="仿宋_GB2312" w:cs="仿宋_GB2312"/>
          <w:sz w:val="32"/>
          <w:szCs w:val="32"/>
          <w:lang w:val="en-US" w:eastAsia="zh-CN"/>
        </w:rPr>
        <w:t>5幢1单元，</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总建筑面积：</w:t>
      </w:r>
      <w:r>
        <w:rPr>
          <w:rFonts w:hint="eastAsia" w:ascii="仿宋_GB2312" w:hAnsi="仿宋_GB2312" w:eastAsia="仿宋_GB2312" w:cs="仿宋_GB2312"/>
          <w:sz w:val="32"/>
          <w:szCs w:val="32"/>
          <w:lang w:val="en-US" w:eastAsia="zh-CN"/>
        </w:rPr>
        <w:t>3644</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w:t>
      </w:r>
      <w:r>
        <w:rPr>
          <w:rFonts w:hint="eastAsia" w:ascii="仿宋_GB2312" w:hAnsi="仿宋_GB2312" w:eastAsia="仿宋_GB2312" w:cs="仿宋_GB2312"/>
          <w:sz w:val="32"/>
          <w:szCs w:val="32"/>
          <w:lang w:val="en" w:eastAsia="zh-CN"/>
        </w:rPr>
        <w:t>PEEK</w:t>
      </w:r>
      <w:r>
        <w:rPr>
          <w:rFonts w:hint="eastAsia" w:ascii="仿宋_GB2312" w:hAnsi="仿宋_GB2312" w:eastAsia="仿宋_GB2312" w:cs="仿宋_GB2312"/>
          <w:sz w:val="32"/>
          <w:szCs w:val="32"/>
          <w:lang w:val="en-US" w:eastAsia="zh-CN"/>
        </w:rPr>
        <w:t>阀片16吨、阀座及各类机械配件36吨的生产规模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冷却水和生活污水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冷却水循环使用，不得外排；</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产生的废气为注塑废气、粉碎粉尘、烘干废气、挤出废气和喷砂粉尘</w:t>
      </w:r>
      <w:r>
        <w:rPr>
          <w:rFonts w:hint="eastAsia" w:ascii="仿宋_GB2312" w:hAnsi="仿宋_GB2312" w:eastAsia="仿宋_GB2312" w:cs="仿宋_GB2312"/>
          <w:sz w:val="32"/>
          <w:szCs w:val="32"/>
          <w:lang w:val="en-US" w:eastAsia="zh-CN"/>
        </w:rPr>
        <w:t>。注塑废气和挤出废气经集气罩收集后通过UV光+活性炭吸附处理后引高排放，排气高度不低于20米；加强粉碎车间和烘干车间管理；喷砂粉尘经收集后通过布袋除尘器处理后引高排放，排气高度不低于20米；项目注塑废气、粉尘、烘干废气、挤出废气排放执行《合成树脂工业污染物排放标准》（GB31572-2015）中表5、表9的标准限值；厂区内挥发性有机物无组织排放执行《挥发性有机物无组织排放控制标准》（GB37822-2019）特别排放限值；喷砂粉尘排放执行《大气污染物综合排放标准》（GB16297-1996）二级标准。</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固体废弃物主要为</w:t>
      </w:r>
      <w:r>
        <w:rPr>
          <w:rFonts w:hint="eastAsia" w:ascii="仿宋_GB2312" w:hAnsi="仿宋_GB2312" w:eastAsia="仿宋_GB2312" w:cs="仿宋_GB2312"/>
          <w:sz w:val="32"/>
          <w:szCs w:val="32"/>
          <w:lang w:eastAsia="zh-CN"/>
        </w:rPr>
        <w:t>边角料、废切削液、一般包装物、废</w:t>
      </w:r>
      <w:r>
        <w:rPr>
          <w:rFonts w:hint="eastAsia" w:ascii="仿宋_GB2312" w:hAnsi="仿宋_GB2312" w:eastAsia="仿宋_GB2312" w:cs="仿宋_GB2312"/>
          <w:sz w:val="32"/>
          <w:szCs w:val="32"/>
          <w:lang w:val="en-US" w:eastAsia="zh-CN"/>
        </w:rPr>
        <w:t>UV灯管、废活性炭</w:t>
      </w:r>
      <w:r>
        <w:rPr>
          <w:rFonts w:hint="eastAsia" w:ascii="仿宋_GB2312" w:hAnsi="仿宋_GB2312" w:eastAsia="仿宋_GB2312" w:cs="仿宋_GB2312"/>
          <w:sz w:val="32"/>
          <w:szCs w:val="32"/>
          <w:lang w:eastAsia="zh-CN"/>
        </w:rPr>
        <w:t>和生活垃圾。边角料和一般包装物收集后外售利用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废切削液、废</w:t>
      </w:r>
      <w:r>
        <w:rPr>
          <w:rFonts w:hint="eastAsia" w:ascii="仿宋_GB2312" w:hAnsi="仿宋_GB2312" w:eastAsia="仿宋_GB2312" w:cs="仿宋_GB2312"/>
          <w:sz w:val="32"/>
          <w:szCs w:val="32"/>
          <w:lang w:val="en-US" w:eastAsia="zh-CN"/>
        </w:rPr>
        <w:t>UV灯管和废活性炭收集后须委托有资质的单位处理；生活垃圾收集后委托环卫部门定期清运。一般固废执行《一般工业固体废物贮存和填埋污染控制标准》（GB18599-2020）；危险废物执行《危险废物贮存污染控制标准》（GB18597-2001）及其修改单相关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八、须根据实际情况制定环境管理制度。加强管理，防止环境污染事故发生。落实清洁生产相应措施。按要求落实“污水零直排区”创建工作。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lang w:eastAsia="zh-CN"/>
        </w:rPr>
        <w:t>温州瓯江口产业集聚区应急管理与生态环境局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1A635100"/>
    <w:rsid w:val="2DF13312"/>
    <w:rsid w:val="36EE777E"/>
    <w:rsid w:val="493E5555"/>
    <w:rsid w:val="4E1C04EB"/>
    <w:rsid w:val="56FE667F"/>
    <w:rsid w:val="5BD334CF"/>
    <w:rsid w:val="5C884BE9"/>
    <w:rsid w:val="641900D2"/>
    <w:rsid w:val="6BC941AA"/>
    <w:rsid w:val="754A57B7"/>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uiPriority w:val="0"/>
    <w:rPr>
      <w:sz w:val="18"/>
      <w:szCs w:val="18"/>
    </w:rPr>
  </w:style>
  <w:style w:type="paragraph" w:styleId="5">
    <w:name w:val="footer"/>
    <w:basedOn w:val="1"/>
    <w:link w:val="9"/>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5</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2021-08-24T06:59:20Z</cp:lastPrinted>
  <dcterms:modified xsi:type="dcterms:W3CDTF">2021-08-24T06:59:42Z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